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Lezzjoni moħbija tal-vers erbgħin — numru tnejn u għoxrin</w:t>
      </w:r>
    </w:p>
    <w:p>
      <w:pPr>
        <w:pStyle w:val="ArticleSubtitle"/>
        <w:jc w:val="left"/>
      </w:pPr>
      <w:r>
        <w:rPr>
          <w:rFonts w:ascii="Arial" w:hAnsi="Arial" w:eastAsia="Arial" w:cs="Arial"/>
        </w:rPr>
        <w:t>Ézéchiel numéro trois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ni kuhani katika kipindi cha kutiwa muhuri kwa wale mia moja arobaini na nne elfu. Katika sura ya kwanza, Ezekiel anachukuliwa kuingia patakatifu.</w:t>
      </w:r>
    </w:p>
    <w:p>
      <w:pPr>
        <w:pStyle w:val="ArticleScripture"/>
        <w:jc w:val="left"/>
      </w:pPr>
      <w:r>
        <w:rPr>
          <w:rFonts w:ascii="Myanmar Text" w:hAnsi="Myanmar Text" w:eastAsia="Myanmar Text" w:cs="Myanmar Text"/>
        </w:rPr>
        <w:t>လျှင်</w:t>
      </w:r>
      <w:r>
        <w:rPr>
          <w:rFonts w:ascii="Times New Roman" w:hAnsi="Times New Roman" w:eastAsia="Times New Roman" w:cs="Times New Roman"/>
        </w:rPr>
        <w:t xml:space="preserve"> </w:t>
      </w:r>
      <w:r>
        <w:rPr>
          <w:rFonts w:ascii="Myanmar Text" w:hAnsi="Myanmar Text" w:eastAsia="Myanmar Text" w:cs="Myanmar Text"/>
        </w:rPr>
        <w:t>သုံးဆယ်မြောက်နှစ်၌၊</w:t>
      </w:r>
      <w:r>
        <w:rPr>
          <w:rFonts w:ascii="Times New Roman" w:hAnsi="Times New Roman" w:eastAsia="Times New Roman" w:cs="Times New Roman"/>
        </w:rPr>
        <w:t xml:space="preserve"> </w:t>
      </w:r>
      <w:r>
        <w:rPr>
          <w:rFonts w:ascii="Myanmar Text" w:hAnsi="Myanmar Text" w:eastAsia="Myanmar Text" w:cs="Myanmar Text"/>
        </w:rPr>
        <w:t>စတုတ္ထလ၌၊</w:t>
      </w:r>
      <w:r>
        <w:rPr>
          <w:rFonts w:ascii="Times New Roman" w:hAnsi="Times New Roman" w:eastAsia="Times New Roman" w:cs="Times New Roman"/>
        </w:rPr>
        <w:t xml:space="preserve"> </w:t>
      </w:r>
      <w:r>
        <w:rPr>
          <w:rFonts w:ascii="Myanmar Text" w:hAnsi="Myanmar Text" w:eastAsia="Myanmar Text" w:cs="Myanmar Text"/>
        </w:rPr>
        <w:t>လဆန်းငါးရက်နေ့တွင်၊</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ခေဗာမြစ်နား၌</w:t>
      </w:r>
      <w:r>
        <w:rPr>
          <w:rFonts w:ascii="Times New Roman" w:hAnsi="Times New Roman" w:eastAsia="Times New Roman" w:cs="Times New Roman"/>
        </w:rPr>
        <w:t xml:space="preserve"> </w:t>
      </w:r>
      <w:r>
        <w:rPr>
          <w:rFonts w:ascii="Myanmar Text" w:hAnsi="Myanmar Text" w:eastAsia="Myanmar Text" w:cs="Myanmar Text"/>
        </w:rPr>
        <w:t>သိမ်းသွားခြင်းခံရသူတို့အလယ်၌</w:t>
      </w:r>
      <w:r>
        <w:rPr>
          <w:rFonts w:ascii="Times New Roman" w:hAnsi="Times New Roman" w:eastAsia="Times New Roman" w:cs="Times New Roman"/>
        </w:rPr>
        <w:t xml:space="preserve"> </w:t>
      </w:r>
      <w:r>
        <w:rPr>
          <w:rFonts w:ascii="Myanmar Text" w:hAnsi="Myanmar Text" w:eastAsia="Myanmar Text" w:cs="Myanmar Text"/>
        </w:rPr>
        <w:t>ရှိစဉ်၊</w:t>
      </w:r>
      <w:r>
        <w:rPr>
          <w:rFonts w:ascii="Times New Roman" w:hAnsi="Times New Roman" w:eastAsia="Times New Roman" w:cs="Times New Roman"/>
        </w:rPr>
        <w:t xml:space="preserve"> </w:t>
      </w:r>
      <w:r>
        <w:rPr>
          <w:rFonts w:ascii="Myanmar Text" w:hAnsi="Myanmar Text" w:eastAsia="Myanmar Text" w:cs="Myanmar Text"/>
        </w:rPr>
        <w:t>ကောင်းကင်တို့သည်</w:t>
      </w:r>
      <w:r>
        <w:rPr>
          <w:rFonts w:ascii="Times New Roman" w:hAnsi="Times New Roman" w:eastAsia="Times New Roman" w:cs="Times New Roman"/>
        </w:rPr>
        <w:t xml:space="preserve"> </w:t>
      </w:r>
      <w:r>
        <w:rPr>
          <w:rFonts w:ascii="Myanmar Text" w:hAnsi="Myanmar Text" w:eastAsia="Myanmar Text" w:cs="Myanmar Text"/>
        </w:rPr>
        <w:t>ဖွင့်လှစ်ခံရ၍၊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ရူပါရုံများကို</w:t>
      </w:r>
      <w:r>
        <w:rPr>
          <w:rFonts w:ascii="Times New Roman" w:hAnsi="Times New Roman" w:eastAsia="Times New Roman" w:cs="Times New Roman"/>
        </w:rPr>
        <w:t xml:space="preserve"> </w:t>
      </w:r>
      <w:r>
        <w:rPr>
          <w:rFonts w:ascii="Myanmar Text" w:hAnsi="Myanmar Text" w:eastAsia="Myanmar Text" w:cs="Myanmar Text"/>
        </w:rPr>
        <w:t>ကျွန်ုပ်မြင်ရ၏။</w:t>
      </w:r>
      <w:r>
        <w:rPr>
          <w:rFonts w:ascii="Times New Roman" w:hAnsi="Times New Roman" w:eastAsia="Times New Roman" w:cs="Times New Roman"/>
        </w:rPr>
        <w:t xml:space="preserve"> </w:t>
      </w:r>
      <w:r>
        <w:rPr>
          <w:rFonts w:ascii="Myanmar Text" w:hAnsi="Myanmar Text" w:eastAsia="Myanmar Text" w:cs="Myanmar Text"/>
        </w:rPr>
        <w:t>ထိုလဆန်းငါးရက်နေ့သည်</w:t>
      </w:r>
      <w:r>
        <w:rPr>
          <w:rFonts w:ascii="Times New Roman" w:hAnsi="Times New Roman" w:eastAsia="Times New Roman" w:cs="Times New Roman"/>
        </w:rPr>
        <w:t xml:space="preserve"> </w:t>
      </w:r>
      <w:r>
        <w:rPr>
          <w:rFonts w:ascii="Myanmar Text" w:hAnsi="Myanmar Text" w:eastAsia="Myanmar Text" w:cs="Myanmar Text"/>
        </w:rPr>
        <w:t>ယေဟောယာခင်မင်း၏</w:t>
      </w:r>
      <w:r>
        <w:rPr>
          <w:rFonts w:ascii="Times New Roman" w:hAnsi="Times New Roman" w:eastAsia="Times New Roman" w:cs="Times New Roman"/>
        </w:rPr>
        <w:t xml:space="preserve"> </w:t>
      </w:r>
      <w:r>
        <w:rPr>
          <w:rFonts w:ascii="Myanmar Text" w:hAnsi="Myanmar Text" w:eastAsia="Myanmar Text" w:cs="Myanmar Text"/>
        </w:rPr>
        <w:t>သိမ်းသွားခြင်းခံရသည့်</w:t>
      </w:r>
      <w:r>
        <w:rPr>
          <w:rFonts w:ascii="Times New Roman" w:hAnsi="Times New Roman" w:eastAsia="Times New Roman" w:cs="Times New Roman"/>
        </w:rPr>
        <w:t xml:space="preserve"> </w:t>
      </w:r>
      <w:r>
        <w:rPr>
          <w:rFonts w:ascii="Myanmar Text" w:hAnsi="Myanmar Text" w:eastAsia="Myanmar Text" w:cs="Myanmar Text"/>
        </w:rPr>
        <w:t>ငါးနှစ်မြောက်နှစ်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ခေဗာမြစ်နား၊</w:t>
      </w:r>
      <w:r>
        <w:rPr>
          <w:rFonts w:ascii="Times New Roman" w:hAnsi="Times New Roman" w:eastAsia="Times New Roman" w:cs="Times New Roman"/>
        </w:rPr>
        <w:t xml:space="preserve"> </w:t>
      </w:r>
      <w:r>
        <w:rPr>
          <w:rFonts w:ascii="Myanmar Text" w:hAnsi="Myanmar Text" w:eastAsia="Myanmar Text" w:cs="Myanmar Text"/>
        </w:rPr>
        <w:t>ခါလဒဲပြည်၌၊</w:t>
      </w:r>
      <w:r>
        <w:rPr>
          <w:rFonts w:ascii="Times New Roman" w:hAnsi="Times New Roman" w:eastAsia="Times New Roman" w:cs="Times New Roman"/>
        </w:rPr>
        <w:t xml:space="preserve"> </w:t>
      </w:r>
      <w:r>
        <w:rPr>
          <w:rFonts w:ascii="Myanmar Text" w:hAnsi="Myanmar Text" w:eastAsia="Myanmar Text" w:cs="Myanmar Text"/>
        </w:rPr>
        <w:t>ဗုဇိ၏သားဖြစ်သော</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ယေဇကျေလထံသို့</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ထိုအရပ်၌လည်း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လက်တော်သည်</w:t>
      </w:r>
      <w:r>
        <w:rPr>
          <w:rFonts w:ascii="Times New Roman" w:hAnsi="Times New Roman" w:eastAsia="Times New Roman" w:cs="Times New Roman"/>
        </w:rPr>
        <w:t xml:space="preserve"> </w:t>
      </w:r>
      <w:r>
        <w:rPr>
          <w:rFonts w:ascii="Myanmar Text" w:hAnsi="Myanmar Text" w:eastAsia="Myanmar Text" w:cs="Myanmar Text"/>
        </w:rPr>
        <w:t>သူ့အပေါ်၌</w:t>
      </w:r>
      <w:r>
        <w:rPr>
          <w:rFonts w:ascii="Times New Roman" w:hAnsi="Times New Roman" w:eastAsia="Times New Roman" w:cs="Times New Roman"/>
        </w:rPr>
        <w:t xml:space="preserve"> </w:t>
      </w:r>
      <w:r>
        <w:rPr>
          <w:rFonts w:ascii="Myanmar Text" w:hAnsi="Myanmar Text" w:eastAsia="Myanmar Text" w:cs="Myanmar Text"/>
        </w:rPr>
        <w:t>ရှိ၏။</w:t>
      </w:r>
    </w:p>
    <w:p>
      <w:pPr>
        <w:pStyle w:val="ArticleScripture"/>
        <w:jc w:val="left"/>
      </w:pPr>
      <w:r>
        <w:rPr>
          <w:rFonts w:ascii="Times New Roman" w:hAnsi="Times New Roman" w:eastAsia="Times New Roman" w:cs="Times New Roman"/>
        </w:rPr>
        <w:t>اور میں نے نگاہ کی، اور دیکھو، شمال کی طرف سے ایک بگولا آیا، ایک بڑا بادل، اور ایک آگ جو اپنے اندر لپٹتی جاتی تھی، اور اس کے گرد ایک چمک تھی، اور اس کے وسط میں سے عنبر کے رنگ کی مانند کچھ ظاہر ہوا، یعنی آگ کے وسط میں سے۔ اور اس کے وسط ہی میں سے چار جانداروں کی شبیہ نمودار ہوئی۔ اور ان کی صورت یہ تھی کہ اُن میں انسان کی سی شبیہ تھی۔ اور اُن میں سے ہر ایک کے چار چہرے تھے، اور ہر ایک کے چار بازو تھے۔ اور اُن کے پاؤں سیدھے پاؤں تھے؛ اور اُن کے پاؤں کے تلوے بچھڑے کے پاؤں کے تلوے کی مانند تھے؛ اور وہ صیقل کیے ہوئے پیتل کے رنگ کی مانند چمکتے تھے۔ اور اُن کی چاروں طرف، اُن کے بازوؤں کے نیچے، انسان کے ہاتھ تھے؛ اور اُن چاروں کے اپنے چہرے بھی تھے اور اپنے بازو بھی۔ اُن کے بازو ایک دوسرے سے ملے ہوئے تھے؛ جب وہ چلتے تھے تو مڑتے نہ تھے؛ وہ ہر ایک سیدھا آگے ہی بڑھتا تھا۔ اور اُن کے چہروں کی شبیہ یہ تھی کہ اُن چاروں کے داہنی طرف انسان کا چہرہ اور شیر کا چہرہ تھا؛ اور اُن چاروں کے بائیں طرف بیل کا چہرہ تھا؛ اُن چاروں کے عقاب کا چہرہ بھی تھا۔ یوں اُن کے چہرے تھے؛ اور اُن کے بازو اوپر کی طرف پھیلے ہوئے تھے؛ ہر ایک کے دو بازو ایک دوسرے سے ملے ہوئے تھے، اور دو اُن کے جسموں کو ڈھانپتے تھے۔</w:t>
      </w:r>
    </w:p>
    <w:p>
      <w:pPr>
        <w:pStyle w:val="ArticleScripture"/>
        <w:jc w:val="left"/>
      </w:pPr>
      <w:r>
        <w:rPr>
          <w:rFonts w:ascii="Times New Roman" w:hAnsi="Times New Roman" w:eastAsia="Times New Roman" w:cs="Times New Roman"/>
        </w:rPr>
        <w:t>Nawo bakagenda, buli omu butereevu mu maaso; omwoyo gye gwali okwagalira okugenda, gye bagendanga; so tebaakyukanga bwe baali bagenda. Ate ku kifaananyi ky’ebiramu, okulabika kwabyo kwali ng’amanda ag’omuliro agaka, era ng’okulabika kw’ettaala: ne kinyenya waggulu ne wansi wakati mu biramu; n’omuliro gwali gwaka nnyo, era mu muliro ne muvaamu okumyansa. N’ebiramu ne bidduka ne bikomawo ng’okulabika kw’okumyansa. Awo bwe nneeraba ebiramu, laba, nnamuziga gumu ku nsi ku mabbali g’ebiramu, awamu n’amaaso gaabyo ana. Okulabika kw’ennamuziga n’omulimu gyazo kwali ng’erangi ya berulo: era zonna ennya zaalina okufaanana kumu: n’okulabika kwazo n’omulimu gwazo kwali nga nnamuziga wakati mu nnamuziga. Bwe zaagenda, zaagendanga ku mbiriizi zaazo ennya: so tezakyukanga bwe zaali zigenda. Ate ku mpeta zaazo, zaali waggulu nnyo ne zitiisa; era empeta zaazo zaali zijjudde amaaso enjuyi zonna ku zo ennya. Era ebiramu bwe byaagendanga, ennamuziga zaagendanga ku mabbali gaabyo: era ebiramu bwe byawanikibwanga okuva ku nsi, ennamuziga nazo ne ziwulikibwanga waggulu. Omwoyo gye gwali okwagalira okugenda, gye zaagendanga, eyo omwoyo gwazo gye gwali okugenda; n’ennamuziga ne ziwulikibwanga waggulu awamu na byo: kubanga omwoyo gw’ekiramu gwali mu nnamuziga.</w:t>
      </w:r>
    </w:p>
    <w:p>
      <w:pPr>
        <w:pStyle w:val="ArticleScripture"/>
        <w:jc w:val="left"/>
      </w:pPr>
      <w:r>
        <w:rPr>
          <w:rFonts w:ascii="Times New Roman" w:hAnsi="Times New Roman" w:eastAsia="Times New Roman" w:cs="Times New Roman"/>
        </w:rPr>
        <w:t>Kun ne liikkuivat, nämä liikkuivat; ja kun ne seisoivat, nämä seisoivat; ja kun ne kohotettiin maasta, pyörät kohotettiin niiden rinnalle, sillä elävän olennon henki oli pyörissä. Ja elävien olentojen pään päällä olevan taivaankannen hahmo oli kuin pelottavan kristallin näköinen, levittäytyneenä ylhäällä heidän päänsä ylle. Ja taivaankannen alla niiden siivet olivat ojennettuina, toinen toistaan kohti; kullakin oli kaksi, jotka peittivät tältä puolelta, ja kullakin oli kaksi, jotka peittivät tuolta puolelta, niiden ruumiit. Ja kun ne liikkuivat, minä kuulin niiden siipien kohinan, kuin suurten vetten pauhinan, kuin Kaikkivaltiaan äänen, puheen äänenä, kuin sotajoukon melun; kun ne seisoivat, ne laskivat siipensä alas. Ja taivaankannesta, joka oli niiden päiden yläpuolella, kuului ääni, kun ne seisoivat ja olivat laskeneet siipensä alas. Ja taivaankannen yläpuolella, joka oli niiden päiden yläpuolella, oli valtaistuimen hahmo, näöltään kuin safiirikivi; ja valtaistuimen hahmon päällä oli hahmo, näöltään kuin ihminen sen päällä ylhäällä. Ja minä näin ikään kuin meripihkan hohteen, ikään kuin tulen näyn sen sisällä kaikkialla ympärillä; hänen kupeittensa näystä ylöspäin ja hänen kupeittensa näystä alaspäin minä näin ikään kuin tulen näyn, ja sillä oli kirkkaus ympärillään. Niin kuin sateenkaaren näkö, joka on pilvessä sadepäivänä, niin oli kirkkauden näkö kaikkialla ympärillä. Tämä oli Herran kirkkauden kaltaisuuden näky. Ja kun minä sen näin, minä lankesin kasvoilleni, ja minä kuulin puhuvan äänen. Hesekiel 1:1–28.</w:t>
      </w:r>
    </w:p>
    <w:p>
      <w:pPr>
        <w:pStyle w:val="ArticleScripture"/>
        <w:jc w:val="left"/>
      </w:pPr>
      <w:r>
        <w:rPr>
          <w:rFonts w:ascii="Times New Roman" w:hAnsi="Times New Roman" w:eastAsia="Times New Roman" w:cs="Times New Roman"/>
        </w:rPr>
        <w:t>“</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የሚያለቅስ</w:t>
      </w:r>
      <w:r>
        <w:rPr>
          <w:rFonts w:ascii="Times New Roman" w:hAnsi="Times New Roman" w:eastAsia="Times New Roman" w:cs="Times New Roman"/>
        </w:rPr>
        <w:t xml:space="preserve"> </w:t>
      </w:r>
      <w:r>
        <w:rPr>
          <w:rFonts w:ascii="Ebrima" w:hAnsi="Ebrima" w:eastAsia="Ebrima" w:cs="Ebrima"/>
        </w:rPr>
        <w:t>ምርኮኛ</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በከለዳውያን</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የእምነትን</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ያስተምር</w:t>
      </w:r>
      <w:r>
        <w:rPr>
          <w:rFonts w:ascii="Times New Roman" w:hAnsi="Times New Roman" w:eastAsia="Times New Roman" w:cs="Times New Roman"/>
        </w:rPr>
        <w:t xml:space="preserve"> </w:t>
      </w:r>
      <w:r>
        <w:rPr>
          <w:rFonts w:ascii="Ebrima" w:hAnsi="Ebrima" w:eastAsia="Ebrima" w:cs="Ebrima"/>
        </w:rPr>
        <w:t>የነበረ</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በኮባር</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ዳር</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ከሰሜን</w:t>
      </w:r>
      <w:r>
        <w:rPr>
          <w:rFonts w:ascii="Times New Roman" w:hAnsi="Times New Roman" w:eastAsia="Times New Roman" w:cs="Times New Roman"/>
        </w:rPr>
        <w:t xml:space="preserve"> </w:t>
      </w:r>
      <w:r>
        <w:rPr>
          <w:rFonts w:ascii="Ebrima" w:hAnsi="Ebrima" w:eastAsia="Ebrima" w:cs="Ebrima"/>
        </w:rPr>
        <w:t>የሚመጣ</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አውሎ</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ታየ፤</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ደመናም፣</w:t>
      </w:r>
      <w:r>
        <w:rPr>
          <w:rFonts w:ascii="Times New Roman" w:hAnsi="Times New Roman" w:eastAsia="Times New Roman" w:cs="Times New Roman"/>
        </w:rPr>
        <w:t xml:space="preserve"> </w:t>
      </w:r>
      <w:r>
        <w:rPr>
          <w:rFonts w:ascii="Ebrima" w:hAnsi="Ebrima" w:eastAsia="Ebrima" w:cs="Ebrima"/>
        </w:rPr>
        <w:t>እሳትም</w:t>
      </w:r>
      <w:r>
        <w:rPr>
          <w:rFonts w:ascii="Times New Roman" w:hAnsi="Times New Roman" w:eastAsia="Times New Roman" w:cs="Times New Roman"/>
        </w:rPr>
        <w:t xml:space="preserve"> </w:t>
      </w:r>
      <w:r>
        <w:rPr>
          <w:rFonts w:ascii="Ebrima" w:hAnsi="Ebrima" w:eastAsia="Ebrima" w:cs="Ebrima"/>
        </w:rPr>
        <w:t>በራሱ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የሚተካ፣</w:t>
      </w:r>
      <w:r>
        <w:rPr>
          <w:rFonts w:ascii="Times New Roman" w:hAnsi="Times New Roman" w:eastAsia="Times New Roman" w:cs="Times New Roman"/>
        </w:rPr>
        <w:t xml:space="preserve"> </w:t>
      </w:r>
      <w:r>
        <w:rPr>
          <w:rFonts w:ascii="Ebrima" w:hAnsi="Ebrima" w:eastAsia="Ebrima" w:cs="Ebrima"/>
        </w:rPr>
        <w:t>ብርሃንም</w:t>
      </w:r>
      <w:r>
        <w:rPr>
          <w:rFonts w:ascii="Times New Roman" w:hAnsi="Times New Roman" w:eastAsia="Times New Roman" w:cs="Times New Roman"/>
        </w:rPr>
        <w:t xml:space="preserve"> </w:t>
      </w:r>
      <w:r>
        <w:rPr>
          <w:rFonts w:ascii="Ebrima" w:hAnsi="Ebrima" w:eastAsia="Ebrima" w:cs="Ebrima"/>
        </w:rPr>
        <w:t>በዙሪያው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ከመካከሉም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ኤሌክትሮን</w:t>
      </w:r>
      <w:r>
        <w:rPr>
          <w:rFonts w:ascii="Times New Roman" w:hAnsi="Times New Roman" w:eastAsia="Times New Roman" w:cs="Times New Roman"/>
        </w:rPr>
        <w:t xml:space="preserve"> </w:t>
      </w:r>
      <w:r>
        <w:rPr>
          <w:rFonts w:ascii="Ebrima" w:hAnsi="Ebrima" w:eastAsia="Ebrima" w:cs="Ebrima"/>
        </w:rPr>
        <w:t>ቀለም</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ይታይ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የሚተላለፉ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እንግዳ</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መንኰራኵሮች</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ሕያዋን</w:t>
      </w:r>
      <w:r>
        <w:rPr>
          <w:rFonts w:ascii="Times New Roman" w:hAnsi="Times New Roman" w:eastAsia="Times New Roman" w:cs="Times New Roman"/>
        </w:rPr>
        <w:t xml:space="preserve"> </w:t>
      </w:r>
      <w:r>
        <w:rPr>
          <w:rFonts w:ascii="Ebrima" w:hAnsi="Ebrima" w:eastAsia="Ebrima" w:cs="Ebrima"/>
        </w:rPr>
        <w:t>ፍጥረታት</w:t>
      </w:r>
      <w:r>
        <w:rPr>
          <w:rFonts w:ascii="Times New Roman" w:hAnsi="Times New Roman" w:eastAsia="Times New Roman" w:cs="Times New Roman"/>
        </w:rPr>
        <w:t xml:space="preserve"> </w:t>
      </w:r>
      <w:r>
        <w:rPr>
          <w:rFonts w:ascii="Ebrima" w:hAnsi="Ebrima" w:eastAsia="Ebrima" w:cs="Ebrima"/>
        </w:rPr>
        <w:t>ይንቀሳቀሱ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የዙፋን</w:t>
      </w:r>
      <w:r>
        <w:rPr>
          <w:rFonts w:ascii="Times New Roman" w:hAnsi="Times New Roman" w:eastAsia="Times New Roman" w:cs="Times New Roman"/>
        </w:rPr>
        <w:t xml:space="preserve"> </w:t>
      </w:r>
      <w:r>
        <w:rPr>
          <w:rFonts w:ascii="Ebrima" w:hAnsi="Ebrima" w:eastAsia="Ebrima" w:cs="Ebrima"/>
        </w:rPr>
        <w:t>አምሳል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በዙፋኑም</w:t>
      </w:r>
      <w:r>
        <w:rPr>
          <w:rFonts w:ascii="Times New Roman" w:hAnsi="Times New Roman" w:eastAsia="Times New Roman" w:cs="Times New Roman"/>
        </w:rPr>
        <w:t xml:space="preserve"> </w:t>
      </w:r>
      <w:r>
        <w:rPr>
          <w:rFonts w:ascii="Ebrima" w:hAnsi="Ebrima" w:eastAsia="Ebrima" w:cs="Ebrima"/>
        </w:rPr>
        <w:t>አምሳል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ከላይ</w:t>
      </w:r>
      <w:r>
        <w:rPr>
          <w:rFonts w:ascii="Times New Roman" w:hAnsi="Times New Roman" w:eastAsia="Times New Roman" w:cs="Times New Roman"/>
        </w:rPr>
        <w:t xml:space="preserve"> </w:t>
      </w:r>
      <w:r>
        <w:rPr>
          <w:rFonts w:ascii="Ebrima" w:hAnsi="Ebrima" w:eastAsia="Ebrima" w:cs="Ebrima"/>
        </w:rPr>
        <w:t>የተቀመጠ</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አምሳል</w:t>
      </w:r>
      <w:r>
        <w:rPr>
          <w:rFonts w:ascii="Times New Roman" w:hAnsi="Times New Roman" w:eastAsia="Times New Roman" w:cs="Times New Roman"/>
        </w:rPr>
        <w:t xml:space="preserve"> </w:t>
      </w:r>
      <w:r>
        <w:rPr>
          <w:rFonts w:ascii="Ebrima" w:hAnsi="Ebrima" w:eastAsia="Ebrima" w:cs="Ebrima"/>
        </w:rPr>
        <w:t>ነበረበት።</w:t>
      </w:r>
      <w:r>
        <w:rPr>
          <w:rFonts w:ascii="Times New Roman" w:hAnsi="Times New Roman" w:eastAsia="Times New Roman" w:cs="Times New Roman"/>
        </w:rPr>
        <w:t>’ ‘</w:t>
      </w:r>
      <w:r>
        <w:rPr>
          <w:rFonts w:ascii="Ebrima" w:hAnsi="Ebrima" w:eastAsia="Ebrima" w:cs="Ebrima"/>
        </w:rPr>
        <w:t>የሕያዋን</w:t>
      </w:r>
      <w:r>
        <w:rPr>
          <w:rFonts w:ascii="Times New Roman" w:hAnsi="Times New Roman" w:eastAsia="Times New Roman" w:cs="Times New Roman"/>
        </w:rPr>
        <w:t xml:space="preserve"> </w:t>
      </w:r>
      <w:r>
        <w:rPr>
          <w:rFonts w:ascii="Ebrima" w:hAnsi="Ebrima" w:eastAsia="Ebrima" w:cs="Ebrima"/>
        </w:rPr>
        <w:t>ፍጥረታትም</w:t>
      </w:r>
      <w:r>
        <w:rPr>
          <w:rFonts w:ascii="Times New Roman" w:hAnsi="Times New Roman" w:eastAsia="Times New Roman" w:cs="Times New Roman"/>
        </w:rPr>
        <w:t xml:space="preserve"> </w:t>
      </w:r>
      <w:r>
        <w:rPr>
          <w:rFonts w:ascii="Ebrima" w:hAnsi="Ebrima" w:eastAsia="Ebrima" w:cs="Ebrima"/>
        </w:rPr>
        <w:t>አምሳል</w:t>
      </w:r>
      <w:r>
        <w:rPr>
          <w:rFonts w:ascii="Times New Roman" w:hAnsi="Times New Roman" w:eastAsia="Times New Roman" w:cs="Times New Roman"/>
        </w:rPr>
        <w:t xml:space="preserve"> </w:t>
      </w:r>
      <w:r>
        <w:rPr>
          <w:rFonts w:ascii="Ebrima" w:hAnsi="Ebrima" w:eastAsia="Ebrima" w:cs="Ebrima"/>
        </w:rPr>
        <w:t>ሲታይ፣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የሚነድ</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ፍም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መብራቶችም</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በሕያዋኑም</w:t>
      </w:r>
      <w:r>
        <w:rPr>
          <w:rFonts w:ascii="Times New Roman" w:hAnsi="Times New Roman" w:eastAsia="Times New Roman" w:cs="Times New Roman"/>
        </w:rPr>
        <w:t xml:space="preserve"> </w:t>
      </w:r>
      <w:r>
        <w:rPr>
          <w:rFonts w:ascii="Ebrima" w:hAnsi="Ebrima" w:eastAsia="Ebrima" w:cs="Ebrima"/>
        </w:rPr>
        <w:t>ፍጥረታት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ታች</w:t>
      </w:r>
      <w:r>
        <w:rPr>
          <w:rFonts w:ascii="Times New Roman" w:hAnsi="Times New Roman" w:eastAsia="Times New Roman" w:cs="Times New Roman"/>
        </w:rPr>
        <w:t xml:space="preserve"> </w:t>
      </w:r>
      <w:r>
        <w:rPr>
          <w:rFonts w:ascii="Ebrima" w:hAnsi="Ebrima" w:eastAsia="Ebrima" w:cs="Ebrima"/>
        </w:rPr>
        <w:t>ይመላለስ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እሳቱም</w:t>
      </w:r>
      <w:r>
        <w:rPr>
          <w:rFonts w:ascii="Times New Roman" w:hAnsi="Times New Roman" w:eastAsia="Times New Roman" w:cs="Times New Roman"/>
        </w:rPr>
        <w:t xml:space="preserve"> </w:t>
      </w:r>
      <w:r>
        <w:rPr>
          <w:rFonts w:ascii="Ebrima" w:hAnsi="Ebrima" w:eastAsia="Ebrima" w:cs="Ebrima"/>
        </w:rPr>
        <w:t>ደማቅ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ከእሳቱም</w:t>
      </w:r>
      <w:r>
        <w:rPr>
          <w:rFonts w:ascii="Times New Roman" w:hAnsi="Times New Roman" w:eastAsia="Times New Roman" w:cs="Times New Roman"/>
        </w:rPr>
        <w:t xml:space="preserve"> </w:t>
      </w:r>
      <w:r>
        <w:rPr>
          <w:rFonts w:ascii="Ebrima" w:hAnsi="Ebrima" w:eastAsia="Ebrima" w:cs="Ebrima"/>
        </w:rPr>
        <w:t>መብረቅ</w:t>
      </w:r>
      <w:r>
        <w:rPr>
          <w:rFonts w:ascii="Times New Roman" w:hAnsi="Times New Roman" w:eastAsia="Times New Roman" w:cs="Times New Roman"/>
        </w:rPr>
        <w:t xml:space="preserve"> </w:t>
      </w:r>
      <w:r>
        <w:rPr>
          <w:rFonts w:ascii="Ebrima" w:hAnsi="Ebrima" w:eastAsia="Ebrima" w:cs="Ebrima"/>
        </w:rPr>
        <w:t>ይወጣ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w:t>
      </w:r>
      <w:r>
        <w:rPr>
          <w:rFonts w:ascii="Ebrima" w:hAnsi="Ebrima" w:eastAsia="Ebrima" w:cs="Ebrima"/>
        </w:rPr>
        <w:t>በኪሩቤልም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ከክንፎቻቸው</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አምሳል</w:t>
      </w:r>
      <w:r>
        <w:rPr>
          <w:rFonts w:ascii="Times New Roman" w:hAnsi="Times New Roman" w:eastAsia="Times New Roman" w:cs="Times New Roman"/>
        </w:rPr>
        <w:t xml:space="preserve"> </w:t>
      </w:r>
      <w:r>
        <w:rPr>
          <w:rFonts w:ascii="Ebrima" w:hAnsi="Ebrima" w:eastAsia="Ebrima" w:cs="Ebrima"/>
        </w:rPr>
        <w:t>ታየ።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“Er waren raderen in raderen, in een zo ingewikkelde ordening dat zij Ezechiël op het eerste gezicht geheel verward toeschenen. Maar wanneer zij zich bewogen, geschiedde dit met wonderbare nauwkeurigheid en in volmaakte harmonie. Hemelse wezens dreven deze raderen voort, en daarboven, op de heerlijke saffieren troon, was de Eeuwige; terwijl rondom de troon de omringende regenboog was, het zinnebeeld van genade en liefde. Overweldigd door de ontzagwekkende heerlijkheid van het tafereel, viel Ezechiël op zijn aangezicht, toen een stem hem gebood op te staan en het woord des Heeren te horen. Toen werd hem een boodschap van waarschuwing voor Israël gegeven.” Testimonies, 751.</w:t>
      </w:r>
    </w:p>
    <w:p>
      <w:pPr>
        <w:pStyle w:val="ArticleScripture"/>
        <w:jc w:val="left"/>
      </w:pPr>
      <w:r>
        <w:rPr>
          <w:rFonts w:ascii="Times New Roman" w:hAnsi="Times New Roman" w:eastAsia="Times New Roman" w:cs="Times New Roman"/>
        </w:rPr>
        <w:t>Ni en la jara, kel la reĝo Uzijah mortis, mi vidis ankaŭ la Sinjoron sidantan sur trono, alta kaj levita, kaj la rando de Lia vesto plenigis la templon. Super ĝi staris la serafoj; ĉiu havis ses flugilojn: per du li kovris sian vizaĝon, kaj per du li kovris siajn piedojn, kaj per du li flugis. Kaj unu kriis al alia, dirante: Sankta, sankta, sankta estas la Eternulo Cebaot; la tuta tero estas plena de Lia gloro. Kaj la fostoj de la pordo skuiĝis pro la voĉo de tiu, kiu kriis, kaj la domo pleniĝis de fumo. Tiam mi diris: Ve al mi! ĉar mi pereas; ĉar mi estas homo kun malpuraj lipoj, kaj mi loĝas meze de popolo kun malpuraj lipoj; ĉar miaj okuloj vidis la Reĝon, la Eternulon Cebaot. Tiam alflugis al mi unu el la serafoj, havante en sia mano brulantan karbon, kiun li estis preninta per preniloj de sur la altaro; kaj li tuŝis per ĝi mian buŝon, kaj diris: Jen, ĉi tio tuŝis viajn lipojn; kaj via maljusteco estas forigita, kaj via peko estas repacigita. Mi ankaŭ aŭdis la voĉon de la Sinjoro, dirantan: Kiun Mi sendu, kaj kiu iros por ni? Tiam mi diris: Jen mi estas; sendu min. Jesaja 6:1–8.</w:t>
      </w:r>
    </w:p>
    <w:p>
      <w:pPr>
        <w:pStyle w:val="ArticleScripture"/>
        <w:jc w:val="left"/>
      </w:pPr>
      <w:r>
        <w:rPr>
          <w:rFonts w:ascii="Times New Roman" w:hAnsi="Times New Roman" w:eastAsia="Times New Roman" w:cs="Times New Roman"/>
        </w:rPr>
        <w:t>“Lokhu umbono wanikwa uHezekeli ngesikhathi lapho ingqondo yakhe yayigcwele izixwayiso ezimnyama. Wabona izwe lawoyise lilele liyincithakalo. Umuzi owake wagcwala ngabantu wawungasahlalwa muntu. Izwi lentokozo nengoma yokudumisa kwakungasezwa phakathi kwezindonga zawo. Umprofethi uqobo lwakhe wayeyisihambi ezweni lokungeyilo lakhe, lapho isifiso sokubusa esingenamingcele nobulwane obunesihluku kwakubusa khona ngokuphelele. Lokho akubona nakuzwa ngokucindezela komuntu nokungalungi kwahlupha umphefumulo wakhe, wamemeza ngosizi olukhulu imini nobusuku. Kodwa izimpawu ezimangalisayo ezavezwa phambi kwakhe ngasemfuleni iKhebari zembula amandla abusayo ngaphezu kwakho konke, anamandla kunawabusi basemhlabeni. Phezu kwamakhosi azidlayo nanesihluku ase-Asiriya naseBhabhiloni kwakuhlezi esihlalweni sobukhosi uNkulunkulu wesihe noweqiniso.”</w:t>
      </w:r>
    </w:p>
    <w:p>
      <w:pPr>
        <w:pStyle w:val="ArticleScripture"/>
        <w:jc w:val="left"/>
      </w:pPr>
      <w:r>
        <w:rPr>
          <w:rFonts w:ascii="Times New Roman" w:hAnsi="Times New Roman" w:eastAsia="Times New Roman" w:cs="Times New Roman"/>
        </w:rPr>
        <w:t>Les complications semblables à des roues, qui apparurent au prophète comme engagées dans une telle confusion, étaient sous la direction d’une main infinie. L’Esprit de Dieu, qui lui fut révélé comme mouvant et dirigeant ces roues, fit sortir l’harmonie de la confusion ; ainsi, le monde entier était sous son contrôle. Des myriades d’êtres glorifiés étaient prêtes, à sa parole, à dominer la puissance et la politique des hommes mauvais, et à faire du bien à ses fidèles.</w:t>
      </w:r>
    </w:p>
    <w:p>
      <w:pPr>
        <w:pStyle w:val="ArticleScripture"/>
        <w:jc w:val="left"/>
      </w:pPr>
      <w:r>
        <w:rPr>
          <w:rFonts w:ascii="Times New Roman" w:hAnsi="Times New Roman" w:eastAsia="Times New Roman" w:cs="Times New Roman"/>
        </w:rPr>
        <w:t>“De même, lorsque Dieu allait révéler au bien-aimé Jean l’histoire de l’Église pour les siècles à venir, Il lui donna l’assurance de l’intérêt et des soins du Sauveur pour Son peuple, en lui montrant ‘quelqu’un qui ressemblait à un fils d’homme’, marchant au milieu des chandeliers, lesquels symbolisaient les sept Églises. Tandis qu’il était montré à Jean les dernières grandes luttes de l’Église contre les puissances terrestres, il lui fut aussi permis de contempler la victoire finale et la délivrance des fidèles. Il vit l’Église engagée dans un conflit mortel avec la bête et son image, et l’adoration de cette bête imposée sous peine de mort. Mais, regardant au-delà de la fumée et du fracas de la bataille, il aperçut sur la montagne de Sion une troupe avec l’Agneau, portant, au lieu de la marque de la bête, ‘le nom de son Père écrit sur leurs fronts’. Et de nouveau il vit ‘ceux qui avaient vaincu la bête, et son image, et sa marque, et le nombre de son nom, se tenant sur la mer de verre, ayant les harpes de Dieu’ et chantant le cantique de Moïse et de l’Agneau.”</w:t>
      </w:r>
    </w:p>
    <w:p>
      <w:pPr>
        <w:pStyle w:val="ArticleScripture"/>
        <w:jc w:val="left"/>
      </w:pPr>
      <w:r>
        <w:rPr>
          <w:rFonts w:ascii="Times New Roman" w:hAnsi="Times New Roman" w:eastAsia="Times New Roman" w:cs="Times New Roman"/>
        </w:rPr>
        <w:t>« Ces leçons sont pour notre profit. Nous devons affermir notre foi en Dieu, car il y a devant nous un temps qui éprouvera l’âme des hommes. Christ, sur le mont des Oliviers, retraça les jugements redoutables qui devaient précéder sa seconde venue : “Vous entendrez parler de guerres et de bruits de guerres.” “Une nation s’élèvera contre une nation, et un royaume contre un royaume ; et il y aura, en divers lieux, des famines, des pestes et des tremblements de terre. Tout cela ne sera que le commencement des douleurs.” Si ces prophéties ont reçu un accomplissement partiel lors de la destruction de Jérusalem, elles ont une application plus directe aux derniers jours. »</w:t>
      </w:r>
    </w:p>
    <w:p>
      <w:pPr>
        <w:pStyle w:val="ArticleScripture"/>
        <w:jc w:val="left"/>
      </w:pPr>
      <w:r>
        <w:rPr>
          <w:rFonts w:ascii="Times New Roman" w:hAnsi="Times New Roman" w:eastAsia="Times New Roman" w:cs="Times New Roman"/>
        </w:rPr>
        <w:t>«Մենք կանգնած ենք մեծ և հանդիսավոր իրադարձությունների շեմին։ Մարգարեությունը արագորեն կատարվում է։ Տերը դռան մոտ է։ Շուտով մեր առաջ պիտի բացվի մի ժամանակաշրջան, որ ճնշող հետաքրքրություն պիտի ներկայացնի բոլոր կենդանիների համար։ Անցյալի հակամարտությունները պիտի վերսկսվեն, և նոր հակամարտություններ պիտի ծագեն։ Այն տեսարանները, որ պիտի կատարվեն մեր աշխարհում, դեռևս անգամ չեն էլ երազվել։ Սատանան գործում է մարդկային գործակալությունների միջոցով։ Նրանք, ովքեր ջանք են թափում փոխելու Սահմանադրությունը և ձեռք բերելու մի օրենք, որը կպարտադրի կիրակի օրվա պահպանումը, քիչ են գիտակցում, թե ինչ պիտի լինի դրա հետևանքը։ Ճգնաժամը հենց մեր վրա է հասնում։»</w:t>
      </w:r>
    </w:p>
    <w:p>
      <w:pPr>
        <w:pStyle w:val="ArticleScripture"/>
        <w:jc w:val="left"/>
      </w:pPr>
      <w:r>
        <w:rPr>
          <w:rFonts w:ascii="Times New Roman" w:hAnsi="Times New Roman" w:eastAsia="Times New Roman" w:cs="Times New Roman"/>
        </w:rPr>
        <w:t>“Mais les serviteurs de Dieu ne doivent pas se fier à eux-mêmes dans cette grande crise. Dans les visions données à Ésaïe, à Ézéchiel et à Jean, nous voyons combien étroitement le ciel est lié aux événements qui se déroulent sur la terre, et combien grande est la sollicitude de Dieu pour ceux qui Lui sont fidèles. Le monde n’est pas sans souverain. Le déroulement des événements à venir est entre les mains du Seigneur. La Majesté du ciel a sous sa propre garde la destinée des nations, aussi bien que les intérêts de son Église.”</w:t>
      </w:r>
    </w:p>
    <w:p>
      <w:pPr>
        <w:pStyle w:val="ArticleScripture"/>
        <w:jc w:val="left"/>
      </w:pPr>
      <w:r>
        <w:rPr>
          <w:rFonts w:ascii="Times New Roman" w:hAnsi="Times New Roman" w:eastAsia="Times New Roman" w:cs="Times New Roman"/>
        </w:rPr>
        <w:t>“Enyigye nti, yɛma yɛn ho kwan ma yɛte ahwɛyiye, ɔhaw, ne adwinnwen pii dodo wɔ Awurade adwuma mu. Wɔn a wɔyɛ nnipa a wɔwɔ ahyeɛ no, wɔannyaw wɔn sɛ wɔnssoa asɛyɛde no adesoa. Ɛsɛ sɛ yɛde yɛn ho to Onyankopɔn so, gye No di, na yɛkɔ so. Ɔsoro abɔfo no ahwɛyiye a wɔnnya mmerɛw da, ne wɔn som a wɔde wɔn ho hyɛ mu daa wɔ asase so abɔde no ho no, kyerɛ yɛn sɛnea Onyankopɔn nsa rekyerɛ kwan ama ntwahonan bi a ɛwɔ ntwahonan bi mu no. Ɔkyerɛkyerɛfo Kronkron no reka akyerɛ obiara a ɔyɛ adwuma wɔ Ne dwuma mu no, sɛnea Ɔka kyerɛɛ Kores tete no no sɛ: ‘Mede abɔ wo mu den, ɛwom sɛ na wonnim Me.’”</w:t>
      </w:r>
    </w:p>
    <w:p>
      <w:pPr>
        <w:pStyle w:val="ArticleScripture"/>
        <w:jc w:val="left"/>
      </w:pPr>
      <w:r>
        <w:rPr>
          <w:rFonts w:ascii="Times New Roman" w:hAnsi="Times New Roman" w:eastAsia="Times New Roman" w:cs="Times New Roman"/>
        </w:rPr>
        <w:t>«У видении Иезекииля рука Божия была под крыльями херувимов. Это должно научить Его слуг тому, что именно Божественная сила дарует им успех. Он будет действовать вместе с ними, если они отложат беззаконие и станут чистыми сердцем и жизнью. »</w:t>
      </w:r>
    </w:p>
    <w:p>
      <w:pPr>
        <w:pStyle w:val="ArticleScripture"/>
        <w:jc w:val="left"/>
      </w:pPr>
      <w:r>
        <w:rPr>
          <w:rFonts w:ascii="Times New Roman" w:hAnsi="Times New Roman" w:eastAsia="Times New Roman" w:cs="Times New Roman"/>
        </w:rPr>
        <w:t>«La brillante lumière qui allait parmi les êtres vivants avec la rapidité de l’éclair représente la promptitude avec laquelle cette œuvre finira par avancer jusqu’à son achèvement. Celui qui ne sommeille point, qui travaille continuellement à l’accomplissement de ses desseins, peut faire progresser harmonieusement sa grande œuvre. Ce qui paraît aux esprits finis, embarrassés et compliqués, la main du Seigneur peut le maintenir dans un ordre parfait. Il peut concevoir des voies et des moyens pour déjouer les desseins des hommes méchants, et il réduira à la confusion les conseils de ceux qui trament le mal contre son peuple. »</w:t>
      </w:r>
    </w:p>
    <w:p>
      <w:pPr>
        <w:pStyle w:val="ArticleScripture"/>
        <w:jc w:val="left"/>
      </w:pPr>
      <w:r>
        <w:rPr>
          <w:rFonts w:ascii="Times New Roman" w:hAnsi="Times New Roman" w:eastAsia="Times New Roman" w:cs="Times New Roman"/>
        </w:rPr>
        <w:t>« Frères, ce n’est pas maintenant le temps du deuil et du désespoir, ni le temps de céder au doute et à l’incrédulité. Christ n’est pas maintenant un Sauveur dans le tombeau neuf de Joseph, fermé par une grande pierre et scellé du sceau romain ; nous avons un Sauveur ressuscité. Il est le Roi, le Seigneur des armées ; Il siège entre les chérubins ; et, au milieu des luttes et du tumulte des nations, Il garde encore Son peuple. Celui qui règne dans les cieux est notre Sauveur. Il mesure chaque épreuve. Il surveille le feu de la fournaise qui doit éprouver chaque âme. Quand les forteresses des rois seront renversées, quand les flèches de la colère de Dieu transperceront le cœur de Ses ennemis, Son peuple sera en sécurité dans Ses mains. » Testimonies, volume 5, 752–754.</w:t>
      </w:r>
    </w:p>
    <w:p>
      <w:pPr>
        <w:pStyle w:val="ArticleBody"/>
        <w:jc w:val="left"/>
      </w:pPr>
      <w:r>
        <w:rPr>
          <w:rFonts w:ascii="Times New Roman" w:hAnsi="Times New Roman" w:eastAsia="Times New Roman" w:cs="Times New Roman"/>
        </w:rPr>
        <w:t>Ezekiel ffuje ndị na-azọ ọkwa ịbụ n’etiti puku narị otu na iri anọ na anọ ahụ, ma n’ahịrị n’elu ahịrị ahụmahụ ya n’ụlọ nsọ kwekọrọ na ahụmahụ Aịzaya na Jọn n’ime ụlọ nsọ ahụ. Anyị nọ ugbu a n’ule nke ụlọ nsọ, nke abụọ n’ime ule atọ ahụ nke na-akara puku narị otu na iri anọ na anọ ahụ akara. Oge ahụ bụ ime ka e dị ọcha nke Onyeozi nke Ọgbụgba-ndụ na-arụzu n’ime mmezu nke Malakaị isi atọ. Usoro ime ka e dị ọcha nke ule atọ ahụ bụ “oku ọkụ” Malakaị, “oke ọkụ” ahụ “nke ga-anwale mkpụrụ obi ọ bụla.” Mgbe mmụọ ozi nke atọ bịarutere n’October 22, 1844, Onyeozi nke Ọgbụgba-ndụ bịara n’ụlọ nsọ Ya na mberede ma duru ụmụ agbọghọ amamihe nke akụkọ ihe mere eme ahụ banye n’Ebe Kachasị Nsọ, ka O wee kaa ndị Ya kwesịrị ntụkwasị obi akara, ma ụmụ agbọghọ ndị ahụ nke akụkọ ihe mere eme ahụ nupụrụ isi, ma ka ọ na-erule 1856 ngagharị Millerite nke Filadelfịa agbanweela bụrụ ngagharị Millerite nke Laodisia, ma n’afọ 1863 ọ ghọrọ ụka Seventh-day Adventist nke Laodisia.</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फर्किए।</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दोहोरिँदै</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दशांश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एघारदेखि</w:t>
      </w:r>
      <w:r>
        <w:rPr>
          <w:rFonts w:ascii="Times New Roman" w:hAnsi="Times New Roman" w:eastAsia="Times New Roman" w:cs="Times New Roman"/>
        </w:rPr>
        <w:t xml:space="preserve"> </w:t>
      </w:r>
      <w:r>
        <w:rPr>
          <w:rFonts w:ascii="Nirmala UI" w:hAnsi="Nirmala UI" w:eastAsia="Nirmala UI" w:cs="Nirmala UI"/>
        </w:rPr>
        <w:t>पन्ध्रसम्म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इजकिएलको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दर्शनभित्रको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चक्का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दुष्टहरूको</w:t>
      </w:r>
      <w:r>
        <w:rPr>
          <w:rFonts w:ascii="Times New Roman" w:hAnsi="Times New Roman" w:eastAsia="Times New Roman" w:cs="Times New Roman"/>
        </w:rPr>
        <w:t xml:space="preserve"> </w:t>
      </w:r>
      <w:r>
        <w:rPr>
          <w:rFonts w:ascii="Nirmala UI" w:hAnsi="Nirmala UI" w:eastAsia="Nirmala UI" w:cs="Nirmala UI"/>
        </w:rPr>
        <w:t>विभाजनको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सन्देशवाहकद्वारा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परीक्षाप्रक्रियाको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पर्छ।</w:t>
      </w:r>
    </w:p>
    <w:p>
      <w:pPr>
        <w:pStyle w:val="ArticleBody"/>
        <w:jc w:val="left"/>
      </w:pPr>
      <w:r>
        <w:rPr>
          <w:rFonts w:ascii="Nirmala UI" w:hAnsi="Nirmala UI" w:eastAsia="Nirmala UI" w:cs="Nirmala UI"/>
        </w:rPr>
        <w:t>மத்தேயு</w:t>
      </w:r>
      <w:r>
        <w:rPr>
          <w:rFonts w:ascii="Times New Roman" w:hAnsi="Times New Roman" w:eastAsia="Times New Roman" w:cs="Times New Roman"/>
        </w:rPr>
        <w:t xml:space="preserve"> </w:t>
      </w:r>
      <w:r>
        <w:rPr>
          <w:rFonts w:ascii="Nirmala UI" w:hAnsi="Nirmala UI" w:eastAsia="Nirmala UI" w:cs="Nirmala UI"/>
        </w:rPr>
        <w:t>இருபத்தைந்தாம்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உவமைகள்</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உவமையும்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முத்திரைக்காலத்தில்</w:t>
      </w:r>
      <w:r>
        <w:rPr>
          <w:rFonts w:ascii="Times New Roman" w:hAnsi="Times New Roman" w:eastAsia="Times New Roman" w:cs="Times New Roman"/>
        </w:rPr>
        <w:t xml:space="preserve"> </w:t>
      </w:r>
      <w:r>
        <w:rPr>
          <w:rFonts w:ascii="Nirmala UI" w:hAnsi="Nirmala UI" w:eastAsia="Nirmala UI" w:cs="Nirmala UI"/>
        </w:rPr>
        <w:t>ஞானிகளும்</w:t>
      </w:r>
      <w:r>
        <w:rPr>
          <w:rFonts w:ascii="Times New Roman" w:hAnsi="Times New Roman" w:eastAsia="Times New Roman" w:cs="Times New Roman"/>
        </w:rPr>
        <w:t xml:space="preserve"> </w:t>
      </w:r>
      <w:r>
        <w:rPr>
          <w:rFonts w:ascii="Nirmala UI" w:hAnsi="Nirmala UI" w:eastAsia="Nirmala UI" w:cs="Nirmala UI"/>
        </w:rPr>
        <w:t>துஷ்டர்களும்</w:t>
      </w:r>
      <w:r>
        <w:rPr>
          <w:rFonts w:ascii="Times New Roman" w:hAnsi="Times New Roman" w:eastAsia="Times New Roman" w:cs="Times New Roman"/>
        </w:rPr>
        <w:t xml:space="preserve"> </w:t>
      </w:r>
      <w:r>
        <w:rPr>
          <w:rFonts w:ascii="Nirmala UI" w:hAnsi="Nirmala UI" w:eastAsia="Nirmala UI" w:cs="Nirmala UI"/>
        </w:rPr>
        <w:t>பிரிக்கப்படுதலைக்</w:t>
      </w:r>
      <w:r>
        <w:rPr>
          <w:rFonts w:ascii="Times New Roman" w:hAnsi="Times New Roman" w:eastAsia="Times New Roman" w:cs="Times New Roman"/>
        </w:rPr>
        <w:t xml:space="preserve"> </w:t>
      </w:r>
      <w:r>
        <w:rPr>
          <w:rFonts w:ascii="Nirmala UI" w:hAnsi="Nirmala UI" w:eastAsia="Nirmala UI" w:cs="Nirmala UI"/>
        </w:rPr>
        <w:t>குறிப்பிடுகிறது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ஜனங்களின்</w:t>
      </w:r>
      <w:r>
        <w:rPr>
          <w:rFonts w:ascii="Times New Roman" w:hAnsi="Times New Roman" w:eastAsia="Times New Roman" w:cs="Times New Roman"/>
        </w:rPr>
        <w:t xml:space="preserve"> </w:t>
      </w:r>
      <w:r>
        <w:rPr>
          <w:rFonts w:ascii="Nirmala UI" w:hAnsi="Nirmala UI" w:eastAsia="Nirmala UI" w:cs="Nirmala UI"/>
        </w:rPr>
        <w:t>நம்பிக்கை</w:t>
      </w:r>
      <w:r>
        <w:rPr>
          <w:rFonts w:ascii="Times New Roman" w:hAnsi="Times New Roman" w:eastAsia="Times New Roman" w:cs="Times New Roman"/>
        </w:rPr>
        <w:t xml:space="preserve"> </w:t>
      </w:r>
      <w:r>
        <w:rPr>
          <w:rFonts w:ascii="Nirmala UI" w:hAnsi="Nirmala UI" w:eastAsia="Nirmala UI" w:cs="Nirmala UI"/>
        </w:rPr>
        <w:t>என்னவெனில்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நடுநிசி</w:t>
      </w:r>
      <w:r>
        <w:rPr>
          <w:rFonts w:ascii="Times New Roman" w:hAnsi="Times New Roman" w:eastAsia="Times New Roman" w:cs="Times New Roman"/>
        </w:rPr>
        <w:t xml:space="preserve"> </w:t>
      </w:r>
      <w:r>
        <w:rPr>
          <w:rFonts w:ascii="Nirmala UI" w:hAnsi="Nirmala UI" w:eastAsia="Nirmala UI" w:cs="Nirmala UI"/>
        </w:rPr>
        <w:t>முழக்கத்தின்</w:t>
      </w:r>
      <w:r>
        <w:rPr>
          <w:rFonts w:ascii="Times New Roman" w:hAnsi="Times New Roman" w:eastAsia="Times New Roman" w:cs="Times New Roman"/>
        </w:rPr>
        <w:t xml:space="preserve"> </w:t>
      </w:r>
      <w:r>
        <w:rPr>
          <w:rFonts w:ascii="Nirmala UI" w:hAnsi="Nirmala UI" w:eastAsia="Nirmala UI" w:cs="Nirmala UI"/>
        </w:rPr>
        <w:t>செய்தியாகிய</w:t>
      </w:r>
      <w:r>
        <w:rPr>
          <w:rFonts w:ascii="Times New Roman" w:hAnsi="Times New Roman" w:eastAsia="Times New Roman" w:cs="Times New Roman"/>
        </w:rPr>
        <w:t xml:space="preserve"> </w:t>
      </w:r>
      <w:r>
        <w:rPr>
          <w:rFonts w:ascii="Nirmala UI" w:hAnsi="Nirmala UI" w:eastAsia="Nirmala UI" w:cs="Nirmala UI"/>
        </w:rPr>
        <w:t>எண்ணெயை</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ஞானமுள்ள</w:t>
      </w:r>
      <w:r>
        <w:rPr>
          <w:rFonts w:ascii="Times New Roman" w:hAnsi="Times New Roman" w:eastAsia="Times New Roman" w:cs="Times New Roman"/>
        </w:rPr>
        <w:t xml:space="preserve"> </w:t>
      </w:r>
      <w:r>
        <w:rPr>
          <w:rFonts w:ascii="Nirmala UI" w:hAnsi="Nirmala UI" w:eastAsia="Nirmala UI" w:cs="Nirmala UI"/>
        </w:rPr>
        <w:t>கன்னிகையாக</w:t>
      </w:r>
      <w:r>
        <w:rPr>
          <w:rFonts w:ascii="Times New Roman" w:hAnsi="Times New Roman" w:eastAsia="Times New Roman" w:cs="Times New Roman"/>
        </w:rPr>
        <w:t xml:space="preserve"> </w:t>
      </w:r>
      <w:r>
        <w:rPr>
          <w:rFonts w:ascii="Nirmala UI" w:hAnsi="Nirmala UI" w:eastAsia="Nirmala UI" w:cs="Nirmala UI"/>
        </w:rPr>
        <w:t>இருக்கக்கூடும்</w:t>
      </w:r>
      <w:r>
        <w:rPr>
          <w:rFonts w:ascii="Times New Roman" w:hAnsi="Times New Roman" w:eastAsia="Times New Roman" w:cs="Times New Roman"/>
        </w:rPr>
        <w:t xml:space="preserve"> </w:t>
      </w:r>
      <w:r>
        <w:rPr>
          <w:rFonts w:ascii="Nirmala UI" w:hAnsi="Nirmala UI" w:eastAsia="Nirmala UI" w:cs="Nirmala UI"/>
        </w:rPr>
        <w:t>என்பதாகும்</w:t>
      </w:r>
      <w:r>
        <w:rPr>
          <w:rFonts w:ascii="Times New Roman" w:hAnsi="Times New Roman" w:eastAsia="Times New Roman" w:cs="Times New Roman"/>
        </w:rPr>
        <w:t xml:space="preserve">. </w:t>
      </w:r>
      <w:r>
        <w:rPr>
          <w:rFonts w:ascii="Nirmala UI" w:hAnsi="Nirmala UI" w:eastAsia="Nirmala UI" w:cs="Nirmala UI"/>
        </w:rPr>
        <w:t>அவர்களுக்கு</w:t>
      </w:r>
      <w:r>
        <w:rPr>
          <w:rFonts w:ascii="Times New Roman" w:hAnsi="Times New Roman" w:eastAsia="Times New Roman" w:cs="Times New Roman"/>
        </w:rPr>
        <w:t xml:space="preserve"> </w:t>
      </w:r>
      <w:r>
        <w:rPr>
          <w:rFonts w:ascii="Nirmala UI" w:hAnsi="Nirmala UI" w:eastAsia="Nirmala UI" w:cs="Nirmala UI"/>
        </w:rPr>
        <w:t>வழங்கப்பட்ட</w:t>
      </w:r>
      <w:r>
        <w:rPr>
          <w:rFonts w:ascii="Times New Roman" w:hAnsi="Times New Roman" w:eastAsia="Times New Roman" w:cs="Times New Roman"/>
        </w:rPr>
        <w:t xml:space="preserve"> </w:t>
      </w:r>
      <w:r>
        <w:rPr>
          <w:rFonts w:ascii="Nirmala UI" w:hAnsi="Nirmala UI" w:eastAsia="Nirmala UI" w:cs="Nirmala UI"/>
        </w:rPr>
        <w:t>விசேஷத்</w:t>
      </w:r>
      <w:r>
        <w:rPr>
          <w:rFonts w:ascii="Times New Roman" w:hAnsi="Times New Roman" w:eastAsia="Times New Roman" w:cs="Times New Roman"/>
        </w:rPr>
        <w:t xml:space="preserve"> </w:t>
      </w:r>
      <w:r>
        <w:rPr>
          <w:rFonts w:ascii="Nirmala UI" w:hAnsi="Nirmala UI" w:eastAsia="Nirmala UI" w:cs="Nirmala UI"/>
        </w:rPr>
        <w:t>திறமைகளை</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தனிப்பட்ட</w:t>
      </w:r>
      <w:r>
        <w:rPr>
          <w:rFonts w:ascii="Times New Roman" w:hAnsi="Times New Roman" w:eastAsia="Times New Roman" w:cs="Times New Roman"/>
        </w:rPr>
        <w:t xml:space="preserve"> </w:t>
      </w:r>
      <w:r>
        <w:rPr>
          <w:rFonts w:ascii="Nirmala UI" w:hAnsi="Nirmala UI" w:eastAsia="Nirmala UI" w:cs="Nirmala UI"/>
        </w:rPr>
        <w:t>கிருபைக்காலத்தில்</w:t>
      </w:r>
      <w:r>
        <w:rPr>
          <w:rFonts w:ascii="Times New Roman" w:hAnsi="Times New Roman" w:eastAsia="Times New Roman" w:cs="Times New Roman"/>
        </w:rPr>
        <w:t xml:space="preserve"> </w:t>
      </w:r>
      <w:r>
        <w:rPr>
          <w:rFonts w:ascii="Nirmala UI" w:hAnsi="Nirmala UI" w:eastAsia="Nirmala UI" w:cs="Nirmala UI"/>
        </w:rPr>
        <w:t>நிர்வகிக்கும்படி</w:t>
      </w:r>
      <w:r>
        <w:rPr>
          <w:rFonts w:ascii="Times New Roman" w:hAnsi="Times New Roman" w:eastAsia="Times New Roman" w:cs="Times New Roman"/>
        </w:rPr>
        <w:t xml:space="preserve"> </w:t>
      </w:r>
      <w:r>
        <w:rPr>
          <w:rFonts w:ascii="Nirmala UI" w:hAnsi="Nirmala UI" w:eastAsia="Nirmala UI" w:cs="Nirmala UI"/>
        </w:rPr>
        <w:t>ஒப்புவிக்கப்பட்ட</w:t>
      </w:r>
      <w:r>
        <w:rPr>
          <w:rFonts w:ascii="Times New Roman" w:hAnsi="Times New Roman" w:eastAsia="Times New Roman" w:cs="Times New Roman"/>
        </w:rPr>
        <w:t xml:space="preserve"> </w:t>
      </w:r>
      <w:r>
        <w:rPr>
          <w:rFonts w:ascii="Nirmala UI" w:hAnsi="Nirmala UI" w:eastAsia="Nirmala UI" w:cs="Nirmala UI"/>
        </w:rPr>
        <w:t>பொறுப்பில்</w:t>
      </w:r>
      <w:r>
        <w:rPr>
          <w:rFonts w:ascii="Times New Roman" w:hAnsi="Times New Roman" w:eastAsia="Times New Roman" w:cs="Times New Roman"/>
        </w:rPr>
        <w:t xml:space="preserve"> </w:t>
      </w:r>
      <w:r>
        <w:rPr>
          <w:rFonts w:ascii="Nirmala UI" w:hAnsi="Nirmala UI" w:eastAsia="Nirmala UI" w:cs="Nirmala UI"/>
        </w:rPr>
        <w:t>பயன்படுத்தியதற்காக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விசுவாசமான</w:t>
      </w:r>
      <w:r>
        <w:rPr>
          <w:rFonts w:ascii="Times New Roman" w:hAnsi="Times New Roman" w:eastAsia="Times New Roman" w:cs="Times New Roman"/>
        </w:rPr>
        <w:t xml:space="preserve"> </w:t>
      </w:r>
      <w:r>
        <w:rPr>
          <w:rFonts w:ascii="Nirmala UI" w:hAnsi="Nirmala UI" w:eastAsia="Nirmala UI" w:cs="Nirmala UI"/>
        </w:rPr>
        <w:t>ஊழியக்காரனாக</w:t>
      </w:r>
      <w:r>
        <w:rPr>
          <w:rFonts w:ascii="Times New Roman" w:hAnsi="Times New Roman" w:eastAsia="Times New Roman" w:cs="Times New Roman"/>
        </w:rPr>
        <w:t xml:space="preserve"> </w:t>
      </w:r>
      <w:r>
        <w:rPr>
          <w:rFonts w:ascii="Nirmala UI" w:hAnsi="Nirmala UI" w:eastAsia="Nirmala UI" w:cs="Nirmala UI"/>
        </w:rPr>
        <w:t>நியாயந்தீர்க்கப்படுவார்கள்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நம்பிக்கை</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நம்பிக்கை</w:t>
      </w:r>
      <w:r>
        <w:rPr>
          <w:rFonts w:ascii="Times New Roman" w:hAnsi="Times New Roman" w:eastAsia="Times New Roman" w:cs="Times New Roman"/>
        </w:rPr>
        <w:t xml:space="preserve"> </w:t>
      </w:r>
      <w:r>
        <w:rPr>
          <w:rFonts w:ascii="Nirmala UI" w:hAnsi="Nirmala UI" w:eastAsia="Nirmala UI" w:cs="Nirmala UI"/>
        </w:rPr>
        <w:t>என்னவெனில்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மேய்ச்சலின்</w:t>
      </w:r>
      <w:r>
        <w:rPr>
          <w:rFonts w:ascii="Times New Roman" w:hAnsi="Times New Roman" w:eastAsia="Times New Roman" w:cs="Times New Roman"/>
        </w:rPr>
        <w:t xml:space="preserve"> </w:t>
      </w:r>
      <w:r>
        <w:rPr>
          <w:rFonts w:ascii="Nirmala UI" w:hAnsi="Nirmala UI" w:eastAsia="Nirmala UI" w:cs="Nirmala UI"/>
        </w:rPr>
        <w:t>ஆடாக</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வலதுபக்கத்தில்</w:t>
      </w:r>
      <w:r>
        <w:rPr>
          <w:rFonts w:ascii="Times New Roman" w:hAnsi="Times New Roman" w:eastAsia="Times New Roman" w:cs="Times New Roman"/>
        </w:rPr>
        <w:t xml:space="preserve"> </w:t>
      </w:r>
      <w:r>
        <w:rPr>
          <w:rFonts w:ascii="Nirmala UI" w:hAnsi="Nirmala UI" w:eastAsia="Nirmala UI" w:cs="Nirmala UI"/>
        </w:rPr>
        <w:t>அமர்த்தப்பட்டவர்களாக</w:t>
      </w:r>
      <w:r>
        <w:rPr>
          <w:rFonts w:ascii="Times New Roman" w:hAnsi="Times New Roman" w:eastAsia="Times New Roman" w:cs="Times New Roman"/>
        </w:rPr>
        <w:t xml:space="preserve"> </w:t>
      </w:r>
      <w:r>
        <w:rPr>
          <w:rFonts w:ascii="Nirmala UI" w:hAnsi="Nirmala UI" w:eastAsia="Nirmala UI" w:cs="Nirmala UI"/>
        </w:rPr>
        <w:t>நியாயந்தீர்க்கப்படுவார்கள்</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இடதுபக்கத்திலுள்ள</w:t>
      </w:r>
      <w:r>
        <w:rPr>
          <w:rFonts w:ascii="Times New Roman" w:hAnsi="Times New Roman" w:eastAsia="Times New Roman" w:cs="Times New Roman"/>
        </w:rPr>
        <w:t xml:space="preserve"> </w:t>
      </w:r>
      <w:r>
        <w:rPr>
          <w:rFonts w:ascii="Nirmala UI" w:hAnsi="Nirmala UI" w:eastAsia="Nirmala UI" w:cs="Nirmala UI"/>
        </w:rPr>
        <w:t>வெள்ளாடாக</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இருபத்தைந்து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முத்திரைக்காலத்தில்</w:t>
      </w:r>
      <w:r>
        <w:rPr>
          <w:rFonts w:ascii="Times New Roman" w:hAnsi="Times New Roman" w:eastAsia="Times New Roman" w:cs="Times New Roman"/>
        </w:rPr>
        <w:t xml:space="preserve"> </w:t>
      </w:r>
      <w:r>
        <w:rPr>
          <w:rFonts w:ascii="Nirmala UI" w:hAnsi="Nirmala UI" w:eastAsia="Nirmala UI" w:cs="Nirmala UI"/>
        </w:rPr>
        <w:t>ஞானிகளும்</w:t>
      </w:r>
      <w:r>
        <w:rPr>
          <w:rFonts w:ascii="Times New Roman" w:hAnsi="Times New Roman" w:eastAsia="Times New Roman" w:cs="Times New Roman"/>
        </w:rPr>
        <w:t xml:space="preserve"> </w:t>
      </w:r>
      <w:r>
        <w:rPr>
          <w:rFonts w:ascii="Nirmala UI" w:hAnsi="Nirmala UI" w:eastAsia="Nirmala UI" w:cs="Nirmala UI"/>
        </w:rPr>
        <w:t>துஷ்டர்களும்</w:t>
      </w:r>
      <w:r>
        <w:rPr>
          <w:rFonts w:ascii="Times New Roman" w:hAnsi="Times New Roman" w:eastAsia="Times New Roman" w:cs="Times New Roman"/>
        </w:rPr>
        <w:t xml:space="preserve"> </w:t>
      </w:r>
      <w:r>
        <w:rPr>
          <w:rFonts w:ascii="Nirmala UI" w:hAnsi="Nirmala UI" w:eastAsia="Nirmala UI" w:cs="Nirmala UI"/>
        </w:rPr>
        <w:t>பிரிக்கப்படுதலின்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குறியீடாகும்</w:t>
      </w:r>
      <w:r>
        <w:rPr>
          <w:rFonts w:ascii="Times New Roman" w:hAnsi="Times New Roman" w:eastAsia="Times New Roman" w:cs="Times New Roman"/>
        </w:rPr>
        <w:t xml:space="preserve">. </w:t>
      </w:r>
      <w:r>
        <w:rPr>
          <w:rFonts w:ascii="Nirmala UI" w:hAnsi="Nirmala UI" w:eastAsia="Nirmala UI" w:cs="Nirmala UI"/>
        </w:rPr>
        <w:t>இருபத்தைந்து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சக்கரங்களில்</w:t>
      </w:r>
      <w:r>
        <w:rPr>
          <w:rFonts w:ascii="Times New Roman" w:hAnsi="Times New Roman" w:eastAsia="Times New Roman" w:cs="Times New Roman"/>
        </w:rPr>
        <w:t xml:space="preserve"> </w:t>
      </w:r>
      <w:r>
        <w:rPr>
          <w:rFonts w:ascii="Nirmala UI" w:hAnsi="Nirmala UI" w:eastAsia="Nirmala UI" w:cs="Nirmala UI"/>
        </w:rPr>
        <w:t>ஒன்றாகும்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У двадцять п’ятому році нашого полону, на початку року, десятого дня місяця, на чотирнадцятому році після того, як було вражене місто, того самого дня була на мені рука Господа, і Він привів мене туди. Єзекіїля 40:1.</w:t>
      </w:r>
    </w:p>
    <w:p>
      <w:pPr>
        <w:pStyle w:val="ArticleBody"/>
        <w:jc w:val="left"/>
      </w:pPr>
      <w:r>
        <w:rPr>
          <w:rFonts w:ascii="Times New Roman" w:hAnsi="Times New Roman" w:eastAsia="Times New Roman" w:cs="Times New Roman"/>
        </w:rPr>
        <w:t>Ang ikadalawampu’t limang taon ng pagkabihag ay kinakatawanan ng Oktubre 22, na kinakatawanan ng pagsasara ng isang dispensasyonal na pinto. Noong Oktubre 22, 1844, isang pinto ang nabuksan at isang pinto ang naisara habang ang dalawang pangkat ay pinagbukod.</w:t>
      </w:r>
    </w:p>
    <w:p>
      <w:pPr>
        <w:pStyle w:val="ArticleScripture"/>
        <w:jc w:val="left"/>
      </w:pPr>
      <w:r>
        <w:rPr>
          <w:rFonts w:ascii="Times New Roman" w:hAnsi="Times New Roman" w:eastAsia="Times New Roman" w:cs="Times New Roman"/>
        </w:rPr>
        <w:t>Ku malaa'ikicha waldaa Filadelfiyaa keessatti argamtiitti akkana jedhii barreessi; Wanti kana jedhu inni qulqulluu taʼe, inni dhugaa taʼe, inni furtuu Daawit qabu, inni banu, namni kam iyyuu cufuu hin dandaʼu; inni cufu, namni kam iyyuu banuu hin dandaʼu; Ani hojii kee nan beeka: kunoo, ani balbala banaa tokko fuula kee dura kaaʼeera, namni kam iyyuu isa cufuu hin dandaʼu; ati humna xinnoo qabdaatii, dubbii koo eegdeetta, maqaa koos hin ganu. Mulʼata 3:7, 8.</w:t>
      </w:r>
    </w:p>
    <w:p>
      <w:pPr>
        <w:pStyle w:val="ArticleBody"/>
        <w:jc w:val="left"/>
      </w:pPr>
      <w:r>
        <w:rPr>
          <w:rFonts w:ascii="Times New Roman" w:hAnsi="Times New Roman" w:eastAsia="Times New Roman" w:cs="Times New Roman"/>
        </w:rPr>
        <w:t>Krisztus azt mondja a filadelfiai gyülekezet angyalának, hogy ismeri cselekedeteiket, és hogy a filadelfiai gyülekezet elé nyitott ajtót adott. Ezt az ajtót „Dávid kulcsa” nyitja meg, az a kulcs, amely Eljákímra helyeztetett.</w:t>
      </w:r>
    </w:p>
    <w:p>
      <w:pPr>
        <w:pStyle w:val="ArticleScripture"/>
        <w:jc w:val="left"/>
      </w:pP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સેવક</w:t>
      </w:r>
      <w:r>
        <w:rPr>
          <w:rFonts w:ascii="Times New Roman" w:hAnsi="Times New Roman" w:eastAsia="Times New Roman" w:cs="Times New Roman"/>
        </w:rPr>
        <w:t xml:space="preserve"> </w:t>
      </w:r>
      <w:r>
        <w:rPr>
          <w:rFonts w:ascii="Nirmala UI" w:hAnsi="Nirmala UI" w:eastAsia="Nirmala UI" w:cs="Nirmala UI"/>
        </w:rPr>
        <w:t>હિલ્કીયાના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એલ્યાકીમને</w:t>
      </w:r>
      <w:r>
        <w:rPr>
          <w:rFonts w:ascii="Times New Roman" w:hAnsi="Times New Roman" w:eastAsia="Times New Roman" w:cs="Times New Roman"/>
        </w:rPr>
        <w:t xml:space="preserve"> </w:t>
      </w:r>
      <w:r>
        <w:rPr>
          <w:rFonts w:ascii="Nirmala UI" w:hAnsi="Nirmala UI" w:eastAsia="Nirmala UI" w:cs="Nirmala UI"/>
        </w:rPr>
        <w:t>બોલાવીશ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ઝભ્ભો</w:t>
      </w:r>
      <w:r>
        <w:rPr>
          <w:rFonts w:ascii="Times New Roman" w:hAnsi="Times New Roman" w:eastAsia="Times New Roman" w:cs="Times New Roman"/>
        </w:rPr>
        <w:t xml:space="preserve"> </w:t>
      </w:r>
      <w:r>
        <w:rPr>
          <w:rFonts w:ascii="Nirmala UI" w:hAnsi="Nirmala UI" w:eastAsia="Nirmala UI" w:cs="Nirmala UI"/>
        </w:rPr>
        <w:t>પહેરાવીશ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કમરબંધ</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મજબૂત</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શાસન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સોંપી</w:t>
      </w:r>
      <w:r>
        <w:rPr>
          <w:rFonts w:ascii="Times New Roman" w:hAnsi="Times New Roman" w:eastAsia="Times New Roman" w:cs="Times New Roman"/>
        </w:rPr>
        <w:t xml:space="preserve"> </w:t>
      </w:r>
      <w:r>
        <w:rPr>
          <w:rFonts w:ascii="Nirmala UI" w:hAnsi="Nirmala UI" w:eastAsia="Nirmala UI" w:cs="Nirmala UI"/>
        </w:rPr>
        <w:t>દઈશ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નિવાસીઓ</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ઘરના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દાવિદના</w:t>
      </w:r>
      <w:r>
        <w:rPr>
          <w:rFonts w:ascii="Times New Roman" w:hAnsi="Times New Roman" w:eastAsia="Times New Roman" w:cs="Times New Roman"/>
        </w:rPr>
        <w:t xml:space="preserve"> </w:t>
      </w:r>
      <w:r>
        <w:rPr>
          <w:rFonts w:ascii="Nirmala UI" w:hAnsi="Nirmala UI" w:eastAsia="Nirmala UI" w:cs="Nirmala UI"/>
        </w:rPr>
        <w:t>ઘરની</w:t>
      </w:r>
      <w:r>
        <w:rPr>
          <w:rFonts w:ascii="Times New Roman" w:hAnsi="Times New Roman" w:eastAsia="Times New Roman" w:cs="Times New Roman"/>
        </w:rPr>
        <w:t xml:space="preserve"> </w:t>
      </w:r>
      <w:r>
        <w:rPr>
          <w:rFonts w:ascii="Nirmala UI" w:hAnsi="Nirmala UI" w:eastAsia="Nirmala UI" w:cs="Nirmala UI"/>
        </w:rPr>
        <w:t>કુંજી</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ખભા</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મૂકીશ</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ખોલશે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ખોલશે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22:20–22.</w:t>
      </w:r>
    </w:p>
    <w:p>
      <w:pPr>
        <w:pStyle w:val="ArticleBody"/>
        <w:jc w:val="left"/>
      </w:pPr>
      <w:r>
        <w:rPr>
          <w:rFonts w:ascii="Times New Roman" w:hAnsi="Times New Roman" w:eastAsia="Times New Roman" w:cs="Times New Roman"/>
        </w:rPr>
        <w:t>Moo Eliakim a wɔfrɛ no no, wɔyi no fi ɔbɔnefo Shebna ho.</w:t>
      </w:r>
    </w:p>
    <w:p>
      <w:pPr>
        <w:pStyle w:val="ArticleScripture"/>
        <w:jc w:val="left"/>
      </w:pPr>
      <w:r>
        <w:rPr>
          <w:rFonts w:ascii="Times New Roman" w:hAnsi="Times New Roman" w:eastAsia="Times New Roman" w:cs="Times New Roman"/>
        </w:rPr>
        <w:t>Bwana MUNGU wa majeshi asema hivi: Nenda, ukamfikie mtunza-hazina huyu, yaani Shebna, aliye msimamizi wa nyumba, ukamwambie, Una nini hapa? nawe una nani hapa, hata ukajichimbia kaburi hapa, kama yeye ajichimbiaye kaburi mahali pa juu, na kujichongea makao mwambani? Tazama, Bwana atakuchukua na kukupeleka mbali kwa utumwa mkuu, naye hakika atakufunika. Hakika atakuzungusha-zungusha kwa nguvu, na kukutupia kama mpira katika nchi iliyo kubwa; huko ndipo utakakokufa, na huko magari ya utukufu wako yatakuwa aibu ya nyumba ya bwana wako. Isaya 22:15–18.</w:t>
      </w:r>
    </w:p>
    <w:p>
      <w:pPr>
        <w:pStyle w:val="ArticleBody"/>
        <w:jc w:val="left"/>
      </w:pPr>
      <w:r>
        <w:rPr>
          <w:rFonts w:ascii="Leelawadee UI" w:hAnsi="Leelawadee UI" w:eastAsia="Leelawadee UI" w:cs="Leelawadee UI"/>
        </w:rPr>
        <w:t>ការបំបែកព្រហ្មចារីប្រាជ្ញា</w:t>
      </w:r>
      <w:r>
        <w:rPr>
          <w:rFonts w:ascii="Times New Roman" w:hAnsi="Times New Roman" w:eastAsia="Times New Roman" w:cs="Times New Roman"/>
        </w:rPr>
        <w:t xml:space="preserve"> </w:t>
      </w:r>
      <w:r>
        <w:rPr>
          <w:rFonts w:ascii="Leelawadee UI" w:hAnsi="Leelawadee UI" w:eastAsia="Leelawadee UI" w:cs="Leelawadee UI"/>
        </w:rPr>
        <w:t>និងព្រហ្មចារីល្ងង់</w:t>
      </w:r>
      <w:r>
        <w:rPr>
          <w:rFonts w:ascii="Times New Roman" w:hAnsi="Times New Roman" w:eastAsia="Times New Roman" w:cs="Times New Roman"/>
        </w:rPr>
        <w:t xml:space="preserve"> </w:t>
      </w:r>
      <w:r>
        <w:rPr>
          <w:rFonts w:ascii="Leelawadee UI" w:hAnsi="Leelawadee UI" w:eastAsia="Leelawadee UI" w:cs="Leelawadee UI"/>
        </w:rPr>
        <w:t>ដែលបានបំពេញការប្រៀបប្រដូចអំពី</w:t>
      </w:r>
      <w:r>
        <w:rPr>
          <w:rFonts w:ascii="Times New Roman" w:hAnsi="Times New Roman" w:eastAsia="Times New Roman" w:cs="Times New Roman"/>
        </w:rPr>
        <w:t xml:space="preserve"> Shebna </w:t>
      </w:r>
      <w:r>
        <w:rPr>
          <w:rFonts w:ascii="Leelawadee UI" w:hAnsi="Leelawadee UI" w:eastAsia="Leelawadee UI" w:cs="Leelawadee UI"/>
        </w:rPr>
        <w:t>និង</w:t>
      </w:r>
      <w:r>
        <w:rPr>
          <w:rFonts w:ascii="Times New Roman" w:hAnsi="Times New Roman" w:eastAsia="Times New Roman" w:cs="Times New Roman"/>
        </w:rPr>
        <w:t xml:space="preserve"> Eliakim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បានសម្រេចឡើងនៅថ្ងៃទី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ហើយក៏ដូចគ្នានៅក្នុងឆ្នាំទីម្ភៃប្រាំនៃការជាប់ជានិរទេសរបស់</w:t>
      </w:r>
      <w:r>
        <w:rPr>
          <w:rFonts w:ascii="Times New Roman" w:hAnsi="Times New Roman" w:eastAsia="Times New Roman" w:cs="Times New Roman"/>
        </w:rPr>
        <w:t xml:space="preserve"> Jehoiachin </w:t>
      </w:r>
      <w:r>
        <w:rPr>
          <w:rFonts w:ascii="Leelawadee UI" w:hAnsi="Leelawadee UI" w:eastAsia="Leelawadee UI" w:cs="Leelawadee UI"/>
        </w:rPr>
        <w:t>ដែលគឺថ្ងៃទី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573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8 </w:t>
      </w:r>
      <w:r>
        <w:rPr>
          <w:rFonts w:ascii="Leelawadee UI" w:hAnsi="Leelawadee UI" w:eastAsia="Leelawadee UI" w:cs="Leelawadee UI"/>
        </w:rPr>
        <w:t>មនុស្សអាក្រក់នៅក្នុង</w:t>
      </w:r>
      <w:r>
        <w:rPr>
          <w:rFonts w:ascii="Times New Roman" w:hAnsi="Times New Roman" w:eastAsia="Times New Roman" w:cs="Times New Roman"/>
        </w:rPr>
        <w:t xml:space="preserve"> Adventism </w:t>
      </w:r>
      <w:r>
        <w:rPr>
          <w:rFonts w:ascii="Leelawadee UI" w:hAnsi="Leelawadee UI" w:eastAsia="Leelawadee UI" w:cs="Leelawadee UI"/>
        </w:rPr>
        <w:t>ដែលត្រូវបានតំណាងដោយក្រុងយេរូសាឡឹម</w:t>
      </w:r>
      <w:r>
        <w:rPr>
          <w:rFonts w:ascii="Times New Roman" w:hAnsi="Times New Roman" w:eastAsia="Times New Roman" w:cs="Times New Roman"/>
        </w:rPr>
        <w:t xml:space="preserve"> </w:t>
      </w:r>
      <w:r>
        <w:rPr>
          <w:rFonts w:ascii="Leelawadee UI" w:hAnsi="Leelawadee UI" w:eastAsia="Leelawadee UI" w:cs="Leelawadee UI"/>
        </w:rPr>
        <w:t>ត្រូវបានតំណាងដោយបុរសម្ភៃប្រាំនាក់កំពុងក្រាបថ្វាយបង្គំព្រះអាទិត្យ។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ការបំផ្លាញក្រុងយេរូសាឡឹមតំណាងឱ្យច្បាប់ថ្ងៃអាទិត្យ</w:t>
      </w:r>
      <w:r>
        <w:rPr>
          <w:rFonts w:ascii="Times New Roman" w:hAnsi="Times New Roman" w:eastAsia="Times New Roman" w:cs="Times New Roman"/>
        </w:rPr>
        <w:t xml:space="preserve"> </w:t>
      </w:r>
      <w:r>
        <w:rPr>
          <w:rFonts w:ascii="Leelawadee UI" w:hAnsi="Leelawadee UI" w:eastAsia="Leelawadee UI" w:cs="Leelawadee UI"/>
        </w:rPr>
        <w:t>ដែលក៏ជាសញ្ញាសម្គាល់ផ្លូវដែលបញ្ចប់ពេលវេលានៃការបោះត្រារបស់មួយសែនបួនម៉ឺនបួនពាន់នាក់ផងដែរ។</w:t>
      </w:r>
      <w:r>
        <w:rPr>
          <w:rFonts w:ascii="Times New Roman" w:hAnsi="Times New Roman" w:eastAsia="Times New Roman" w:cs="Times New Roman"/>
        </w:rPr>
        <w:t xml:space="preserve"> </w:t>
      </w:r>
      <w:r>
        <w:rPr>
          <w:rFonts w:ascii="Leelawadee UI" w:hAnsi="Leelawadee UI" w:eastAsia="Leelawadee UI" w:cs="Leelawadee UI"/>
        </w:rPr>
        <w:t>ពេលវេលានៃការបោះត្រានោះបានចាប់ផ្តើមនៅថ្ងៃទី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ហើយព្រះយេស៊ូវគឺទាំង</w:t>
      </w:r>
      <w:r>
        <w:rPr>
          <w:rFonts w:ascii="Times New Roman" w:hAnsi="Times New Roman" w:eastAsia="Times New Roman" w:cs="Times New Roman"/>
        </w:rPr>
        <w:t xml:space="preserve"> Alpha </w:t>
      </w:r>
      <w:r>
        <w:rPr>
          <w:rFonts w:ascii="Leelawadee UI" w:hAnsi="Leelawadee UI" w:eastAsia="Leelawadee UI" w:cs="Leelawadee UI"/>
        </w:rPr>
        <w:t>និង</w:t>
      </w:r>
      <w:r>
        <w:rPr>
          <w:rFonts w:ascii="Times New Roman" w:hAnsi="Times New Roman" w:eastAsia="Times New Roman" w:cs="Times New Roman"/>
        </w:rPr>
        <w:t xml:space="preserve"> Omega </w:t>
      </w:r>
      <w:r>
        <w:rPr>
          <w:rFonts w:ascii="Leelawadee UI" w:hAnsi="Leelawadee UI" w:eastAsia="Leelawadee UI" w:cs="Leelawadee UI"/>
        </w:rPr>
        <w:t>ដូច្នេះថ្ងៃទី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ជាការចាប់ផ្តើមនៃការបោះត្រា</w:t>
      </w:r>
      <w:r>
        <w:rPr>
          <w:rFonts w:ascii="Times New Roman" w:hAnsi="Times New Roman" w:eastAsia="Times New Roman" w:cs="Times New Roman"/>
        </w:rPr>
        <w:t xml:space="preserve"> </w:t>
      </w:r>
      <w:r>
        <w:rPr>
          <w:rFonts w:ascii="Leelawadee UI" w:hAnsi="Leelawadee UI" w:eastAsia="Leelawadee UI" w:cs="Leelawadee UI"/>
        </w:rPr>
        <w:t>ក៏បង្ហាញអំពីទីបញ្ចប់ដែរ</w:t>
      </w:r>
      <w:r>
        <w:rPr>
          <w:rFonts w:ascii="Times New Roman" w:hAnsi="Times New Roman" w:eastAsia="Times New Roman" w:cs="Times New Roman"/>
        </w:rPr>
        <w:t xml:space="preserve"> </w:t>
      </w:r>
      <w:r>
        <w:rPr>
          <w:rFonts w:ascii="Leelawadee UI" w:hAnsi="Leelawadee UI" w:eastAsia="Leelawadee UI" w:cs="Leelawadee UI"/>
        </w:rPr>
        <w:t>គឺនៅពេលច្បាប់ថ្ងៃអាទិត្យ។</w:t>
      </w:r>
    </w:p>
    <w:p>
      <w:pPr>
        <w:pStyle w:val="ArticleBody"/>
        <w:jc w:val="left"/>
      </w:pPr>
      <w:r>
        <w:rPr>
          <w:rFonts w:ascii="Times New Roman" w:hAnsi="Times New Roman" w:eastAsia="Times New Roman" w:cs="Times New Roman"/>
        </w:rPr>
        <w:t>Le 11 septembre 2001 fut préfiguré par les assemblées de Minneapolis de 1888, car Sœur White indique que, lorsque les grands immeubles de New York s’effondrèrent lors du 11 septembre, Apocalypse 18:1–3 s’accomplit. En ce temps-là, comme en 1888, elle identifia l’ange d’Apocalypse dix-huit comme étant descendu pour éclairer la terre de sa gloire. La rébellion de 1888, elle l’aligna sur la rébellion de Koré, Dathan et Abiram, auxquels se joignirent aussi deux cent cinquante hommes de renom dans leur apostasie. Les deux cent cinquante rebelles de la rébellion de Koré et de ses compagnons, dans l’histoire initiale de l’ancien Israël, préfiguraient les vingt-cinq hommes qui se prosternaient devant le soleil à la fin de l’ancien Israël.</w:t>
      </w:r>
    </w:p>
    <w:p>
      <w:pPr>
        <w:pStyle w:val="ArticleBody"/>
        <w:jc w:val="left"/>
      </w:pPr>
      <w:r>
        <w:rPr>
          <w:rFonts w:ascii="Times New Roman" w:hAnsi="Times New Roman" w:eastAsia="Times New Roman" w:cs="Times New Roman"/>
        </w:rPr>
        <w:t>پنج‌وپنج رهبرِ ادونتیسمِ لائودیکیه‌ای که در برابرِ قانونِ یکشنبه سر فرود می‌آورند، و دویست‌وپنجاه تن در ۱۱ سپتامبر، زمانِ مُهرشدن را با نمادِ بیست‌وپنج آشکار می‌سازد؛ یعنی نمادِ جداییِ حکیمان از شریران، تا آغاز و پایانِ زمانِ مُهرشدن را مشخص کند. خواه آن دویست‌وپنجاه یاغی در زمانِ موسی باشد، یا آن بیست‌وپنج مرد در بابِ هشتمِ حزقیال، یا سه شاهدِ جدایی در بابِ بیست‌وپنجمِ متی، یا سالِ بیست‌وپنجمِ اسارت در حزقیالِ چهل؛ همهٔ تجلیاتِ نمادِ بیست‌وپنج با سه دورهٔ دویست‌وپنجاه‌ساله که به‌ترتیب در سال‌های ۲۰۷ پیش از میلاد، ۳۱۳، و ۲۰۲۶ به پایان رسیدند، همسو هستند.</w:t>
      </w:r>
    </w:p>
    <w:p>
      <w:pPr>
        <w:pStyle w:val="ArticleBody"/>
        <w:jc w:val="left"/>
      </w:pPr>
      <w:r>
        <w:rPr>
          <w:rFonts w:ascii="Times New Roman" w:hAnsi="Times New Roman" w:eastAsia="Times New Roman" w:cs="Times New Roman"/>
        </w:rPr>
        <w:t>Vinte e cinco é, por assim dizer, um eixo de vinte e cinco que conduz todas as linhas de vinte e cinco à perfeição. Torna-se uma das chaves proféticas do reino dadas a Pedro para trazer clareza à história oculta do versículo quarenta. Tem sido repetidamente estabelecido, por mais de três testemunhas, que os versículos dez a quinze de Daniel onze representam uma linha que abrange a história desde 1989 até a lei dominical, a qual é a história oculta do versículo quarenta. O Leão da tribo de Judá está agora deslacrando as rodas de Ezequiel, ao abrir a história oculta que levará à consumação da mensagem do Clamor da Meia-Noite dos últimos dias.</w:t>
      </w:r>
    </w:p>
    <w:p>
      <w:pPr>
        <w:pStyle w:val="ArticleBody"/>
        <w:jc w:val="left"/>
      </w:pPr>
      <w:r>
        <w:rPr>
          <w:rFonts w:ascii="Times New Roman" w:hAnsi="Times New Roman" w:eastAsia="Times New Roman" w:cs="Times New Roman"/>
        </w:rPr>
        <w:t>Dans les articles qui suivent, nous continuerons à identifier les roues d’Ézéchiel, lesquelles représentent l’interaction complexe des hommes dans les derniers jours. Ézéchiel, chapitre un, placé au début de cet article, ainsi que le passage correspondant tiré des Testimonies, volume cinq, exposés ici, constitueront notre point de référence constant au fur et à mesure que nous avancerons dans les articles. Lorsque les roues seront présentées à leur place propre, avec leurs intersections appropriées avec les autres roues de l’histoire prophétique, nous démontrerons que les trois cent quatre-vingt-onze ans et quinze jours qui ont donné puissance au premier ange le 11 août 1840 sont également représentés par Ézéchiel comme trois cent quatre-vingt-dix ans, reliés à l’année et demie du siège de Jérusalem; et que l’arrivée de cette lumière prophétique identifie l’élévation de l’enseigne des cent quarante-quatre mille.</w:t>
      </w:r>
    </w:p>
    <w:p>
      <w:pPr>
        <w:pStyle w:val="ArticleBody"/>
        <w:jc w:val="left"/>
      </w:pPr>
      <w:r>
        <w:rPr>
          <w:rFonts w:ascii="Times New Roman" w:hAnsi="Times New Roman" w:eastAsia="Times New Roman" w:cs="Times New Roman"/>
        </w:rPr>
        <w:t>يوليو 27، 1299 إلى 1337 يمثّل ثمانيةً وثلاثين عامًا في بداية المئة والخمسين سنة (الخمسة الأشهر) المذكورة في رؤيا 9: 10. وترتبط تلك المئة والخمسون سنة بالثلاثمئة والحادية والتسعين سنة والخمسة عشر يومًا المذكورة في الآية 15. وهكذا فإن بداية الفترتين تؤلّف خطًّا نبويًّا واحدًا اختتم في إتمام تنبؤ يوشيا لِتش لعامَي 1838 و1840، وميّز نهوض الحركة الميلرية وتمكينها. وذلك التاريخ في بداية الأدفنتية يَسِم نهوض المئة والأربعة والأربعين ألفًا كرايةٍ قبل قانون الأحد. وهكذا فإن ثلاثمئة وتسعين سنة حزقيال، وسنةً ونصفًا (1.5) من حصار أورشليم، يحددان نهاية خط النبوة الذي بدأ في 1299.</w:t>
      </w:r>
    </w:p>
    <w:p>
      <w:pPr>
        <w:pStyle w:val="ArticleBody"/>
        <w:jc w:val="left"/>
      </w:pPr>
      <w:r>
        <w:rPr>
          <w:rFonts w:ascii="Times New Roman" w:hAnsi="Times New Roman" w:eastAsia="Times New Roman" w:cs="Times New Roman"/>
        </w:rPr>
        <w:t>Ek sou dit die moeite werd ag om die gedeelte uit Testimonies, deel vyf, voorafgaand aan die volgende artikel in oënskou te neem.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Lezzjoni moħbija tal-vers erbgħin — numru tnejn u għoxrin</dc:title>
  <dc:subject>Ézéchiel numéro trois</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