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Twenty-Six</w:t>
      </w:r>
    </w:p>
    <w:p>
      <w:pPr>
        <w:pStyle w:val="ArticleSubtitle"/>
        <w:jc w:val="left"/>
      </w:pPr>
      <w:r>
        <w:rPr>
          <w:rFonts w:ascii="Arial" w:hAnsi="Arial" w:eastAsia="Arial" w:cs="Arial"/>
        </w:rPr>
        <w:t>Ézéchiel numéro sept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Mutsetse wechiprofita wandiri kuzivisa se‘vhiri raJosia’ unotanga nokupanduka kwaIsraeri yekare apo vakaramba Mwari samambo wavo muna 1097 BC. Madzimambo matatu okutanga (Sauro, Dhavhidhi naSoromoni) anozivikanwa sokunge akatonga kwemakore makumi mana, kubva muna 1097 BC kusvikira muna 977 BC. Parufu rwaSoromoni kupanduka kwaJerobhoamu nokwamarudzi gumi okumusoro kunopedzisa mutsetse wamadzimambo matatu okutanga, uye kunotanga mutsetse wamadzimambo muumambo hwokumusoro nehwokumaodzanyemba.</w:t>
      </w:r>
    </w:p>
    <w:p>
      <w:pPr>
        <w:pStyle w:val="ArticleBody"/>
        <w:jc w:val="left"/>
      </w:pP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ቀዳሞት</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ሓቅታት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መንኰራኩራት</w:t>
      </w:r>
      <w:r>
        <w:rPr>
          <w:rFonts w:ascii="Times New Roman" w:hAnsi="Times New Roman" w:eastAsia="Times New Roman" w:cs="Times New Roman"/>
        </w:rPr>
        <w:t xml:space="preserve"> </w:t>
      </w:r>
      <w:r>
        <w:rPr>
          <w:rFonts w:ascii="Ebrima" w:hAnsi="Ebrima" w:eastAsia="Ebrima" w:cs="Ebrima"/>
        </w:rPr>
        <w:t>ዝተኣሳሰሩሉ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ዳሕረዎት</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w:t>
      </w:r>
      <w:r>
        <w:rPr>
          <w:rFonts w:ascii="Ebrima" w:hAnsi="Ebrima" w:eastAsia="Ebrima" w:cs="Ebrima"/>
        </w:rPr>
        <w:t>ዮያቂም፣</w:t>
      </w:r>
      <w:r>
        <w:rPr>
          <w:rFonts w:ascii="Times New Roman" w:hAnsi="Times New Roman" w:eastAsia="Times New Roman" w:cs="Times New Roman"/>
        </w:rPr>
        <w:t xml:space="preserve"> </w:t>
      </w:r>
      <w:r>
        <w:rPr>
          <w:rFonts w:ascii="Ebrima" w:hAnsi="Ebrima" w:eastAsia="Ebrima" w:cs="Ebrima"/>
        </w:rPr>
        <w:t>ዮያኪንን</w:t>
      </w:r>
      <w:r>
        <w:rPr>
          <w:rFonts w:ascii="Times New Roman" w:hAnsi="Times New Roman" w:eastAsia="Times New Roman" w:cs="Times New Roman"/>
        </w:rPr>
        <w:t xml:space="preserve"> </w:t>
      </w:r>
      <w:r>
        <w:rPr>
          <w:rFonts w:ascii="Ebrima" w:hAnsi="Ebrima" w:eastAsia="Ebrima" w:cs="Ebrima"/>
        </w:rPr>
        <w:t>ጼዴቅያስን</w:t>
      </w:r>
      <w:r>
        <w:rPr>
          <w:rFonts w:ascii="Times New Roman" w:hAnsi="Times New Roman" w:eastAsia="Times New Roman" w:cs="Times New Roman"/>
        </w:rPr>
        <w:t>—</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ብተራኦም</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ዳርዮስን</w:t>
      </w:r>
      <w:r>
        <w:rPr>
          <w:rFonts w:ascii="Times New Roman" w:hAnsi="Times New Roman" w:eastAsia="Times New Roman" w:cs="Times New Roman"/>
        </w:rPr>
        <w:t xml:space="preserve"> </w:t>
      </w:r>
      <w:r>
        <w:rPr>
          <w:rFonts w:ascii="Ebrima" w:hAnsi="Ebrima" w:eastAsia="Ebrima" w:cs="Ebrima"/>
        </w:rPr>
        <w:t>ኣርጣሕሸስታን</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ዳርዮስን</w:t>
      </w:r>
      <w:r>
        <w:rPr>
          <w:rFonts w:ascii="Times New Roman" w:hAnsi="Times New Roman" w:eastAsia="Times New Roman" w:cs="Times New Roman"/>
        </w:rPr>
        <w:t xml:space="preserve"> </w:t>
      </w:r>
      <w:r>
        <w:rPr>
          <w:rFonts w:ascii="Ebrima" w:hAnsi="Ebrima" w:eastAsia="Ebrima" w:cs="Ebrima"/>
        </w:rPr>
        <w:t>ኣርጣሕሸስታን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ብተራኦም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ኣዋጃቶም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536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ክ</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457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ክ</w:t>
      </w:r>
      <w:r>
        <w:rPr>
          <w:rFonts w:ascii="Times New Roman" w:hAnsi="Times New Roman" w:eastAsia="Times New Roman" w:cs="Times New Roman"/>
        </w:rPr>
        <w:t xml:space="preserve">. </w:t>
      </w:r>
      <w:r>
        <w:rPr>
          <w:rFonts w:ascii="Ebrima" w:hAnsi="Ebrima" w:eastAsia="Ebrima" w:cs="Ebrima"/>
        </w:rPr>
        <w:t>ዝዘርግሑ</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ብተራኦም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1798</w:t>
      </w:r>
      <w:r>
        <w:rPr>
          <w:rFonts w:ascii="Ebrima" w:hAnsi="Ebrima" w:eastAsia="Ebrima" w:cs="Ebrima"/>
        </w:rPr>
        <w:t>፣</w:t>
      </w:r>
      <w:r>
        <w:rPr>
          <w:rFonts w:ascii="Times New Roman" w:hAnsi="Times New Roman" w:eastAsia="Times New Roman" w:cs="Times New Roman"/>
        </w:rPr>
        <w:t xml:space="preserve"> 19 </w:t>
      </w:r>
      <w:r>
        <w:rPr>
          <w:rFonts w:ascii="Ebrima" w:hAnsi="Ebrima" w:eastAsia="Ebrima" w:cs="Ebrima"/>
        </w:rPr>
        <w:t>ሚያዝያ</w:t>
      </w:r>
      <w:r>
        <w:rPr>
          <w:rFonts w:ascii="Times New Roman" w:hAnsi="Times New Roman" w:eastAsia="Times New Roman" w:cs="Times New Roman"/>
        </w:rPr>
        <w:t xml:space="preserve"> 1844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22 </w:t>
      </w:r>
      <w:r>
        <w:rPr>
          <w:rFonts w:ascii="Ebrima" w:hAnsi="Ebrima" w:eastAsia="Ebrima" w:cs="Ebrima"/>
        </w:rPr>
        <w:t>ጥቅምቲ</w:t>
      </w:r>
      <w:r>
        <w:rPr>
          <w:rFonts w:ascii="Times New Roman" w:hAnsi="Times New Roman" w:eastAsia="Times New Roman" w:cs="Times New Roman"/>
        </w:rPr>
        <w:t xml:space="preserve"> 1844 </w:t>
      </w:r>
      <w:r>
        <w:rPr>
          <w:rFonts w:ascii="Ebrima" w:hAnsi="Ebrima" w:eastAsia="Ebrima" w:cs="Ebrima"/>
        </w:rPr>
        <w:t>ብተኸታታሊ</w:t>
      </w:r>
      <w:r>
        <w:rPr>
          <w:rFonts w:ascii="Times New Roman" w:hAnsi="Times New Roman" w:eastAsia="Times New Roman" w:cs="Times New Roman"/>
        </w:rPr>
        <w:t xml:space="preserve"> </w:t>
      </w:r>
      <w:r>
        <w:rPr>
          <w:rFonts w:ascii="Ebrima" w:hAnsi="Ebrima" w:eastAsia="Ebrima" w:cs="Ebrima"/>
        </w:rPr>
        <w:t>ዝመጹ</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ምጽኣት</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ብልክዕ</w:t>
      </w:r>
      <w:r>
        <w:rPr>
          <w:rFonts w:ascii="Times New Roman" w:hAnsi="Times New Roman" w:eastAsia="Times New Roman" w:cs="Times New Roman"/>
        </w:rPr>
        <w:t xml:space="preserve"> </w:t>
      </w:r>
      <w:r>
        <w:rPr>
          <w:rFonts w:ascii="Ebrima" w:hAnsi="Ebrima" w:eastAsia="Ebrima" w:cs="Ebrima"/>
        </w:rPr>
        <w:t>ደጊሙ</w:t>
      </w:r>
      <w:r>
        <w:rPr>
          <w:rFonts w:ascii="Times New Roman" w:hAnsi="Times New Roman" w:eastAsia="Times New Roman" w:cs="Times New Roman"/>
        </w:rPr>
        <w:t xml:space="preserve"> </w:t>
      </w:r>
      <w:r>
        <w:rPr>
          <w:rFonts w:ascii="Ebrima" w:hAnsi="Ebrima" w:eastAsia="Ebrima" w:cs="Ebrima"/>
        </w:rPr>
        <w:t>ይትዕወት፣</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ብምቕባእ</w:t>
      </w:r>
      <w:r>
        <w:rPr>
          <w:rFonts w:ascii="Times New Roman" w:hAnsi="Times New Roman" w:eastAsia="Times New Roman" w:cs="Times New Roman"/>
        </w:rPr>
        <w:t xml:space="preserve"> </w:t>
      </w:r>
      <w:r>
        <w:rPr>
          <w:rFonts w:ascii="Ebrima" w:hAnsi="Ebrima" w:eastAsia="Ebrima" w:cs="Ebrima"/>
        </w:rPr>
        <w:t>ሳኦል</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ዝጅምር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ሓላፊት</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ተቐብአት</w:t>
      </w:r>
      <w:r>
        <w:rPr>
          <w:rFonts w:ascii="Times New Roman" w:hAnsi="Times New Roman" w:eastAsia="Times New Roman" w:cs="Times New Roman"/>
        </w:rPr>
        <w:t xml:space="preserve"> </w:t>
      </w:r>
      <w:r>
        <w:rPr>
          <w:rFonts w:ascii="Ebrima" w:hAnsi="Ebrima" w:eastAsia="Ebrima" w:cs="Ebrima"/>
        </w:rPr>
        <w:t>መደምደምታኡ</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ዝበጽሕ</w:t>
      </w:r>
      <w:r>
        <w:rPr>
          <w:rFonts w:ascii="Times New Roman" w:hAnsi="Times New Roman" w:eastAsia="Times New Roman" w:cs="Times New Roman"/>
        </w:rPr>
        <w:t xml:space="preserve"> </w:t>
      </w:r>
      <w:r>
        <w:rPr>
          <w:rFonts w:ascii="Ebrima" w:hAnsi="Ebrima" w:eastAsia="Ebrima" w:cs="Ebrima"/>
        </w:rPr>
        <w:t>ይልልይ።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መንኰራኩር</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ዮስያስ</w:t>
      </w:r>
      <w:r>
        <w:rPr>
          <w:rFonts w:ascii="Times New Roman" w:hAnsi="Times New Roman" w:eastAsia="Times New Roman" w:cs="Times New Roman"/>
        </w:rPr>
        <w:t xml:space="preserve"> </w:t>
      </w:r>
      <w:r>
        <w:rPr>
          <w:rFonts w:ascii="Ebrima" w:hAnsi="Ebrima" w:eastAsia="Ebrima" w:cs="Ebrima"/>
        </w:rPr>
        <w:t>ይሓቍፍ፣</w:t>
      </w:r>
      <w:r>
        <w:rPr>
          <w:rFonts w:ascii="Times New Roman" w:hAnsi="Times New Roman" w:eastAsia="Times New Roman" w:cs="Times New Roman"/>
        </w:rPr>
        <w:t xml:space="preserve"> </w:t>
      </w:r>
      <w:r>
        <w:rPr>
          <w:rFonts w:ascii="Ebrima" w:hAnsi="Ebrima" w:eastAsia="Ebrima" w:cs="Ebrima"/>
        </w:rPr>
        <w:t>እሱ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ዓመጽ</w:t>
      </w:r>
      <w:r>
        <w:rPr>
          <w:rFonts w:ascii="Times New Roman" w:hAnsi="Times New Roman" w:eastAsia="Times New Roman" w:cs="Times New Roman"/>
        </w:rPr>
        <w:t xml:space="preserve"> </w:t>
      </w:r>
      <w:r>
        <w:rPr>
          <w:rFonts w:ascii="Ebrima" w:hAnsi="Ebrima" w:eastAsia="Ebrima" w:cs="Ebrima"/>
        </w:rPr>
        <w:t>ይሮብዓም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ቤተልን</w:t>
      </w:r>
      <w:r>
        <w:rPr>
          <w:rFonts w:ascii="Times New Roman" w:hAnsi="Times New Roman" w:eastAsia="Times New Roman" w:cs="Times New Roman"/>
        </w:rPr>
        <w:t xml:space="preserve"> </w:t>
      </w:r>
      <w:r>
        <w:rPr>
          <w:rFonts w:ascii="Ebrima" w:hAnsi="Ebrima" w:eastAsia="Ebrima" w:cs="Ebrima"/>
        </w:rPr>
        <w:t>ዳንን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977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ክ</w:t>
      </w:r>
      <w:r>
        <w:rPr>
          <w:rFonts w:ascii="Times New Roman" w:hAnsi="Times New Roman" w:eastAsia="Times New Roman" w:cs="Times New Roman"/>
        </w:rPr>
        <w:t xml:space="preserve">. </w:t>
      </w:r>
      <w:r>
        <w:rPr>
          <w:rFonts w:ascii="Ebrima" w:hAnsi="Ebrima" w:eastAsia="Ebrima" w:cs="Ebrima"/>
        </w:rPr>
        <w:t>ይምለስ።</w:t>
      </w:r>
    </w:p>
    <w:p>
      <w:pPr>
        <w:pStyle w:val="ArticleHeading"/>
        <w:jc w:val="left"/>
      </w:pPr>
      <w:r>
        <w:rPr>
          <w:rFonts w:ascii="Arial" w:hAnsi="Arial" w:eastAsia="Arial" w:cs="Arial"/>
        </w:rPr>
        <w:t>vingt-deux</w:t>
      </w:r>
    </w:p>
    <w:p>
      <w:pPr>
        <w:pStyle w:val="ArticleBody"/>
        <w:jc w:val="left"/>
      </w:pPr>
      <w:r>
        <w:rPr>
          <w:rFonts w:ascii="Times New Roman" w:hAnsi="Times New Roman" w:eastAsia="Times New Roman" w:cs="Times New Roman"/>
        </w:rPr>
        <w:t>Yeroboamu anayo ishara ya ishirini na mbili, kwa maana alitawala kwa muda wa miaka ishirini na miwili; hivyo basi akaunganisha ushuhuda wake na historia inayowakilishwa na ishirini na mbili, ambayo ni ishara ya muungano wa Uungu na ubinadamu kama inavyoonyeshwa na maono ya marah ya Danieli katika siku ya ishirini na pili, na namba mia mbili ishirini, ambayo ishirini na mbili ni zaka yake.</w:t>
      </w:r>
    </w:p>
    <w:p>
      <w:pPr>
        <w:pStyle w:val="ArticleScripture"/>
        <w:jc w:val="left"/>
      </w:pPr>
      <w:r>
        <w:rPr>
          <w:rFonts w:ascii="Nirmala UI" w:hAnsi="Nirmala UI" w:eastAsia="Nirmala UI" w:cs="Nirmala UI"/>
        </w:rPr>
        <w:t>યરોબઆમે</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બાવીસ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પિતૃઓ</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નિદ્રાધીન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નાદાબ</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લાગ્યો</w:t>
      </w:r>
      <w:r>
        <w:rPr>
          <w:rFonts w:ascii="Times New Roman" w:hAnsi="Times New Roman" w:eastAsia="Times New Roman" w:cs="Times New Roman"/>
        </w:rPr>
        <w:t xml:space="preserve">. 1 </w:t>
      </w:r>
      <w:r>
        <w:rPr>
          <w:rFonts w:ascii="Nirmala UI" w:hAnsi="Nirmala UI" w:eastAsia="Nirmala UI" w:cs="Nirmala UI"/>
        </w:rPr>
        <w:t>રાજાઓ</w:t>
      </w:r>
      <w:r>
        <w:rPr>
          <w:rFonts w:ascii="Times New Roman" w:hAnsi="Times New Roman" w:eastAsia="Times New Roman" w:cs="Times New Roman"/>
        </w:rPr>
        <w:t xml:space="preserve"> 14:20.</w:t>
      </w:r>
    </w:p>
    <w:p>
      <w:pPr>
        <w:pStyle w:val="ArticleBody"/>
        <w:jc w:val="left"/>
      </w:pPr>
      <w:r>
        <w:rPr>
          <w:rFonts w:ascii="Times New Roman" w:hAnsi="Times New Roman" w:eastAsia="Times New Roman" w:cs="Times New Roman"/>
        </w:rPr>
        <w:t>L’« at-One-Ment », représentant l’union de la divinité et de l’humanité, est l’œuvre de Christ qui commença le 22 octobre, ou le dixième mois (grégorien) ; dix fois vingt-deux égale deux cent vingt. Jéroboam érigea des autels contrefaits à la fois à Béthel et à Dan, et il est par conséquent un symbole du culte contrefait du dimanche en rapport avec l’union de l’Église (Béthel : signifiant église) et de l’État (Dan : signifiant jugement).</w:t>
      </w:r>
    </w:p>
    <w:p>
      <w:pPr>
        <w:pStyle w:val="ArticleScripture"/>
        <w:jc w:val="left"/>
      </w:pPr>
      <w:r>
        <w:rPr>
          <w:rFonts w:ascii="Times New Roman" w:hAnsi="Times New Roman" w:eastAsia="Times New Roman" w:cs="Times New Roman"/>
        </w:rPr>
        <w:t>Então Jeroboão edificou Siquém, na região montanhosa de Efraim, e habitou nela; e dali saiu, e edificou Penuel. E Jeroboão disse no seu coração: Agora tornará o reino à casa de Davi. Se este povo subir para oferecer sacrifícios na casa do Senhor, em Jerusalém, o coração deste povo tornará a seu senhor, a Roboão, rei de Judá; e matar-me-ão, e voltarão a Roboão, rei de Judá. Pelo que o rei tomou conselho, e fez dois bezerros de ouro, e disse-lhes: Muito trabalho vos será subir a Jerusalém; eis aqui teus deuses, ó Israel, que te fizeram subir da terra do Egito. E pôs um em Betel, e o outro colocou em Dã. E isto se tornou em pecado; porque o povo ia adorar diante de um deles, até Dã. E fez uma casa de altos, e fez sacerdotes dentre a mais baixa classe do povo, os quais não eram dos filhos de Levi. E Jeroboão ordenou uma festa no oitavo mês, no décimo quinto dia do mês, semelhante à festa que havia em Judá, e sacrificou sobre o altar. Assim fez em Betel, sacrificando aos bezerros que tinha feito; e estabeleceu em Betel os sacerdotes dos altos que tinha feito. Assim ofereceu sobre o altar que fizera em Betel, no décimo quinto dia do oitavo mês, isto é, no mês que inventara do seu próprio coração; e ordenou uma festa aos filhos de Israel; e ofereceu sobre o altar, e queimou incenso. 1 Reis 12:25–33.</w:t>
      </w:r>
    </w:p>
    <w:p>
      <w:pPr>
        <w:pStyle w:val="ArticleBody"/>
        <w:jc w:val="left"/>
      </w:pPr>
      <w:r>
        <w:rPr>
          <w:rFonts w:ascii="Times New Roman" w:hAnsi="Times New Roman" w:eastAsia="Times New Roman" w:cs="Times New Roman"/>
        </w:rPr>
        <w:t>Na história fundacional das dez tribos do norte, houve uma rebelião que havia sido tipificada pela rejeição de Deus como rei por parte de Israel, e também pela rebelião de Arão e pelo bezerro de ouro. A rebelião de Arão ocorreu na história fundacional do antigo Israel, e a de Jeroboão, na história fundacional das dez tribos do norte. “Linha sobre linha”, Arão, como sumo sacerdote, representa a igreja, e Jeroboão, como rei, representa o Estado. Essas duas rebeliões fundacionais constituem uma linha que inclui a rebelião fundacional do povo de Israel ao desejar um rei humano.</w:t>
      </w:r>
    </w:p>
    <w:p>
      <w:pPr>
        <w:pStyle w:val="ArticleHeading"/>
        <w:jc w:val="left"/>
      </w:pPr>
      <w:r>
        <w:rPr>
          <w:rFonts w:ascii="Arial" w:hAnsi="Arial" w:eastAsia="Arial" w:cs="Arial"/>
        </w:rPr>
        <w:t>490</w:t>
      </w:r>
    </w:p>
    <w:p>
      <w:pPr>
        <w:pStyle w:val="ArticleBody"/>
        <w:jc w:val="left"/>
      </w:pPr>
      <w:r>
        <w:rPr>
          <w:rFonts w:ascii="Nirmala UI" w:hAnsi="Nirmala UI" w:eastAsia="Nirmala UI" w:cs="Nirmala UI"/>
        </w:rPr>
        <w:t>किनाबुही</w:t>
      </w:r>
      <w:r>
        <w:rPr>
          <w:rFonts w:ascii="Times New Roman" w:hAnsi="Times New Roman" w:eastAsia="Times New Roman" w:cs="Times New Roman"/>
        </w:rPr>
        <w:t xml:space="preserve"> ni Ezekiel, </w:t>
      </w:r>
      <w:r>
        <w:rPr>
          <w:rFonts w:ascii="Nirmala UI" w:hAnsi="Nirmala UI" w:eastAsia="Nirmala UI" w:cs="Nirmala UI"/>
        </w:rPr>
        <w:t>इट</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पगडउल</w:t>
      </w:r>
      <w:r>
        <w:rPr>
          <w:rFonts w:ascii="Times New Roman" w:hAnsi="Times New Roman" w:eastAsia="Times New Roman" w:cs="Times New Roman"/>
        </w:rPr>
        <w:t>-</w:t>
      </w:r>
      <w:r>
        <w:rPr>
          <w:rFonts w:ascii="Nirmala UI" w:hAnsi="Nirmala UI" w:eastAsia="Nirmala UI" w:cs="Nirmala UI"/>
        </w:rPr>
        <w:t>डउल</w:t>
      </w:r>
      <w:r>
        <w:rPr>
          <w:rFonts w:ascii="Times New Roman" w:hAnsi="Times New Roman" w:eastAsia="Times New Roman" w:cs="Times New Roman"/>
        </w:rPr>
        <w:t xml:space="preserve"> </w:t>
      </w:r>
      <w:r>
        <w:rPr>
          <w:rFonts w:ascii="Nirmala UI" w:hAnsi="Nirmala UI" w:eastAsia="Nirmala UI" w:cs="Nirmala UI"/>
        </w:rPr>
        <w:t>तल्लो</w:t>
      </w:r>
      <w:r>
        <w:rPr>
          <w:rFonts w:ascii="Times New Roman" w:hAnsi="Times New Roman" w:eastAsia="Times New Roman" w:cs="Times New Roman"/>
        </w:rPr>
        <w:t xml:space="preserve"> a </w:t>
      </w:r>
      <w:r>
        <w:rPr>
          <w:rFonts w:ascii="Nirmala UI" w:hAnsi="Nirmala UI" w:eastAsia="Nirmala UI" w:cs="Nirmala UI"/>
        </w:rPr>
        <w:t>पनमाल्टुक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ऐम</w:t>
      </w:r>
      <w:r>
        <w:rPr>
          <w:rFonts w:ascii="Times New Roman" w:hAnsi="Times New Roman" w:eastAsia="Times New Roman" w:cs="Times New Roman"/>
        </w:rPr>
        <w:t xml:space="preserve"> a </w:t>
      </w:r>
      <w:r>
        <w:rPr>
          <w:rFonts w:ascii="Nirmala UI" w:hAnsi="Nirmala UI" w:eastAsia="Nirmala UI" w:cs="Nirmala UI"/>
        </w:rPr>
        <w:t>ऐम</w:t>
      </w:r>
      <w:r>
        <w:rPr>
          <w:rFonts w:ascii="Times New Roman" w:hAnsi="Times New Roman" w:eastAsia="Times New Roman" w:cs="Times New Roman"/>
        </w:rPr>
        <w:t xml:space="preserve"> a </w:t>
      </w:r>
      <w:r>
        <w:rPr>
          <w:rFonts w:ascii="Nirmala UI" w:hAnsi="Nirmala UI" w:eastAsia="Nirmala UI" w:cs="Nirmala UI"/>
        </w:rPr>
        <w:t>सलपिंग</w:t>
      </w:r>
      <w:r>
        <w:rPr>
          <w:rFonts w:ascii="Times New Roman" w:hAnsi="Times New Roman" w:eastAsia="Times New Roman" w:cs="Times New Roman"/>
        </w:rPr>
        <w:t xml:space="preserve"> </w:t>
      </w:r>
      <w:r>
        <w:rPr>
          <w:rFonts w:ascii="Nirmala UI" w:hAnsi="Nirmala UI" w:eastAsia="Nirmala UI" w:cs="Nirmala UI"/>
        </w:rPr>
        <w:t>अट</w:t>
      </w:r>
      <w:r>
        <w:rPr>
          <w:rFonts w:ascii="Times New Roman" w:hAnsi="Times New Roman" w:eastAsia="Times New Roman" w:cs="Times New Roman"/>
        </w:rPr>
        <w:t xml:space="preserve"> </w:t>
      </w:r>
      <w:r>
        <w:rPr>
          <w:rFonts w:ascii="Nirmala UI" w:hAnsi="Nirmala UI" w:eastAsia="Nirmala UI" w:cs="Nirmala UI"/>
        </w:rPr>
        <w:t>सियाम</w:t>
      </w:r>
      <w:r>
        <w:rPr>
          <w:rFonts w:ascii="Times New Roman" w:hAnsi="Times New Roman" w:eastAsia="Times New Roman" w:cs="Times New Roman"/>
        </w:rPr>
        <w:t xml:space="preserve"> a </w:t>
      </w:r>
      <w:r>
        <w:rPr>
          <w:rFonts w:ascii="Nirmala UI" w:hAnsi="Nirmala UI" w:eastAsia="Nirmala UI" w:cs="Nirmala UI"/>
        </w:rPr>
        <w:t>तावेन</w:t>
      </w:r>
      <w:r>
        <w:rPr>
          <w:rFonts w:ascii="Times New Roman" w:hAnsi="Times New Roman" w:eastAsia="Times New Roman" w:cs="Times New Roman"/>
        </w:rPr>
        <w:t xml:space="preserve"> ti </w:t>
      </w:r>
      <w:r>
        <w:rPr>
          <w:rFonts w:ascii="Nirmala UI" w:hAnsi="Nirmala UI" w:eastAsia="Nirmala UI" w:cs="Nirmala UI"/>
        </w:rPr>
        <w:t>स</w:t>
      </w:r>
      <w:r>
        <w:rPr>
          <w:rFonts w:ascii="Times New Roman" w:hAnsi="Times New Roman" w:eastAsia="Times New Roman" w:cs="Times New Roman"/>
        </w:rPr>
        <w:t>agrado a historia, ket maysa ket naisangayan kadagiti ar-ari, ti sabali ket iti santuario, ken ti sabali ket iti bunggoy. Dagitoy tallo a panawen ket tumutugma iti yaalsa ni Aaron, (ti santuario), ni Saul (ti bunggoy), ken ni Jeroboam (ti ari). Kadagiti tallo a simbolo ti mammadto, padi, ken ari, ni ari Saul ti maipakilala a kas agpadpadto, ket ni Aaron ti padi, ken ni Jeroboam ti ari.</w:t>
      </w:r>
    </w:p>
    <w:p>
      <w:pPr>
        <w:pStyle w:val="ArticleScripture"/>
        <w:jc w:val="left"/>
      </w:pPr>
      <w:r>
        <w:rPr>
          <w:rFonts w:ascii="Times New Roman" w:hAnsi="Times New Roman" w:eastAsia="Times New Roman" w:cs="Times New Roman"/>
        </w:rPr>
        <w:t>Na ikawa, wote waliomjua hapo kwanza walipoona kwamba, tazama, alikuwa akitoa unabii pamoja na manabii, ndipo watu wakasemezana, Ni nini hili lililompata mwana wa Kishi? Je, Sauli naye yumo miongoni mwa manabii? Mtu mmoja wa mahali pale akajibu na kusema, Lakini baba yao ni nani? Kwa hiyo ikawa mithali, Je, Sauli naye yumo miongoni mwa manabii? 1 Samweli 10:11, 12.</w:t>
      </w:r>
    </w:p>
    <w:p>
      <w:pPr>
        <w:pStyle w:val="ArticleBody"/>
        <w:jc w:val="left"/>
      </w:pPr>
      <w:r>
        <w:rPr>
          <w:rFonts w:ascii="Times New Roman" w:hAnsi="Times New Roman" w:eastAsia="Times New Roman" w:cs="Times New Roman"/>
        </w:rPr>
        <w:t>Kaniisadda guuleysatay waxay ka kooban tahay nebi soddon jir ah, wadaad soddon jir ah, iyo boqor soddon jir ah, kuwaas oo lagu metelay Ezekiel oo bilaabay sannaddii soddonaad, Yuusuf oo adeeggiisa bilaabay isagoo soddon jir ah, iyo boqor Daa’uud oo bilaabay inuu boqortooyo isagoo soddon jir ah. Kaniisadda guuleysatay waxaa lagu metelay siddeedda cutub ee ugu dambeeya ee kitaabka Ezekiel sida macbudka dhulka buuxiya, kaniisadda guuleysatuna waa Filadelfiya, taas oo ah kaniisaddii siddeedaad ee ka mid ah toddobada.</w:t>
      </w:r>
    </w:p>
    <w:p>
      <w:pPr>
        <w:pStyle w:val="ArticleBody"/>
        <w:jc w:val="left"/>
      </w:pPr>
      <w:r>
        <w:rPr>
          <w:rFonts w:ascii="Times New Roman" w:hAnsi="Times New Roman" w:eastAsia="Times New Roman" w:cs="Times New Roman"/>
        </w:rPr>
        <w:t>977 ق.م میں شروع ہونے والی یوسیاہ کی نبوتی لکیر جلد آنے والے سنڈے لاء پر ختم ہوتی ہے۔ ایک لاکھ چوالیس ہزار کی تطہیر اور مُہر بندی، جو 31 دسمبر 2023 کو شروع ہوئی، اُس وقت شروع ہوئی جب میکائیل نازل ہوا تاکہ مکاشفہ گیارہ کے دو گواہوں کو زندہ کرے۔ 2023، 11 ستمبر 2001 کے بائیس سال بعد آیا، بالکل اُسی طرح جیسے 1798 کے ایلین اینڈ سیڈیشن ایکٹس، 1776 میں اعلانِ آزادی کے بائیس سال بعد آتے ہیں۔ یربعام کی بائیس سالہ بادشاہی 977 ق.م میں شروع ہوئی، جب یوسیاہ کی نبوت پیش کی گئی۔ اُس وقت 1 سلاطین باب تیرہ کا نافرمان نبی، یربعام کی ارتداد کا سامنا کرتا ہے، جس طرح موسیٰ نے ہارون کی ارتداد کا سامنا کیا، اور سموئیل نے اُس جماعت کا سامنا کیا جو ایک بادشاہ چاہتی تھی۔ بنیادی ارتدادوں کے خلاف یہ مقابلے، جن کی نمائندگی نافرمان نبی، موسیٰ اور سموئیل کے پیغام سے ہوتی ہے، سنڈے لاء کے وقت تیسرے فرشتے کی بلند صدا کی نمائندگی کرتے ہیں۔ یہ وہ انتباہی پیغام ہے جو عَلَم کے ذریعے منادی کیا جاتا ہے، جس کی نمائندگی یربعام کی تاریخ میں یوسیاہ کی پیش گوئی ایک “نشان” کے ساتھ کرتی ہے۔</w:t>
      </w:r>
    </w:p>
    <w:p>
      <w:pPr>
        <w:pStyle w:val="ArticleScripture"/>
        <w:jc w:val="left"/>
      </w:pPr>
      <w:r>
        <w:rPr>
          <w:rFonts w:ascii="Times New Roman" w:hAnsi="Times New Roman" w:eastAsia="Times New Roman" w:cs="Times New Roman"/>
        </w:rPr>
        <w:t>Et voici, un homme de Dieu vint de Juda à Béthel, par la parole de l’Éternel; et Jéroboam se tenait près de l’autel pour brûler de l’encens. Et il cria contre l’autel, par la parole de l’Éternel, et dit: Autel, autel, ainsi parle l’Éternel: Voici, un enfant naîtra à la maison de David, Josias sera son nom; et sur toi il offrira les prêtres des hauts lieux qui brûlent de l’encens sur toi, et des ossements d’hommes seront brûlés sur toi. Et il donna, ce même jour, un signe, en disant: Voici le signe dont l’Éternel a parlé: l’autel se fendra, et la cendre qui est dessus sera répandue. Et il arriva, lorsque le roi Jéroboam entendit la parole de l’homme de Dieu, qui avait crié contre l’autel à Béthel, qu’il étendit sa main de dessus l’autel, en disant: Saisissez-le. Et sa main, qu’il avait étendue contre lui, se dessécha, de sorte qu’il ne put la ramener à lui.</w:t>
      </w:r>
    </w:p>
    <w:p>
      <w:pPr>
        <w:pStyle w:val="ArticleScripture"/>
        <w:jc w:val="left"/>
      </w:pPr>
      <w:r>
        <w:rPr>
          <w:rFonts w:ascii="Times New Roman" w:hAnsi="Times New Roman" w:eastAsia="Times New Roman" w:cs="Times New Roman"/>
        </w:rPr>
        <w:t>Altari gjithashtu u ça dhe hiri u derdh nga altari, sipas shenjës që njeriu i Perëndisë kishte dhënë me fjalën e Zotit. Dhe mbreti u përgjigj dhe i tha njeriut të Perëndisë: Të lutem tani, kërko fytyrën e Zotit, Perëndisë tënd, dhe lutu për mua, që dora ime të më rikthehet përsëri. Dhe njeriu i Perëndisë iu lut Zotit dhe dora e mbretit iu rikthye përsëri, dhe u bë siç kishte qenë më parë. Dhe mbreti i tha njeriut të Perëndisë: Eja në shtëpi me mua, çlodhu, dhe unë do të të jap një shpërblim. Por njeriu i Perëndisë i tha mbretit: Edhe sikur të më jepje gjysmën e shtëpisë sate, unë nuk do të hyj me ty, as nuk do të ha bukë e as nuk do të pi ujë në këtë vend; sepse kështu më është urdhëruar me fjalën e Zotit, duke thënë: Mos ha bukë, as mos pi ujë, as mos u kthe përsëri nga e njëjta rrugë nga erdhe. Kështu ai shkoi nga një rrugë tjetër dhe nuk u kthye nga rruga nëpër të cilën kishte ardhur në Bethel. 1 Mbretërve 13:1–10.</w:t>
      </w:r>
    </w:p>
    <w:p>
      <w:pPr>
        <w:pStyle w:val="ArticleBody"/>
        <w:jc w:val="left"/>
      </w:pPr>
      <w:r>
        <w:rPr>
          <w:rFonts w:ascii="Times New Roman" w:hAnsi="Times New Roman" w:eastAsia="Times New Roman" w:cs="Times New Roman"/>
        </w:rPr>
        <w:t>Пророческий отказ есть с Иеровоамом, несмотря на предложение «половины дома твоего», соотносится с обещанием Ирода Саломее половины своего царства.</w:t>
      </w:r>
    </w:p>
    <w:p>
      <w:pPr>
        <w:pStyle w:val="ArticleScripture"/>
        <w:jc w:val="left"/>
      </w:pPr>
      <w:r>
        <w:rPr>
          <w:rFonts w:ascii="Times New Roman" w:hAnsi="Times New Roman" w:eastAsia="Times New Roman" w:cs="Times New Roman"/>
        </w:rPr>
        <w:t>Na moko moko ya malamu ekomaki, tango Herode, na mokolo mwa mbotama na ye, asalaki elambo mpo na bankolo na ye, bakonzi ya basoda, mpe bato minene ya Galile; mpe tango mwana mwasi ya Herodiade wana akotaki mpe abini, mpe asepelisaki Herode ná baoyo bafandaki elongo na ye, mokonzi alobaki na elenge mwasi yango ete: Senga epai na ngai nyonso oyo olingi, mpe nakopesa yo yango. Mpe alakelaki ye ndai ete: Nyonso oyo okosenga epai na ngai, nakopesa yo yango, kino na ndambo ya bokonzi na ngai. Mpe abimaki, mpe alobaki na mama na ye ete: Nakosenga nini? Mpe ye alobaki ete: Motó ya Yoane Mobatisi. Marko 6:21–24.</w:t>
      </w:r>
    </w:p>
    <w:p>
      <w:pPr>
        <w:pStyle w:val="ArticleBody"/>
        <w:jc w:val="left"/>
      </w:pP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जन्मदिन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w:t>
      </w:r>
      <w:r>
        <w:rPr>
          <w:rFonts w:ascii="Nirmala UI" w:hAnsi="Nirmala UI" w:eastAsia="Nirmala UI" w:cs="Nirmala UI"/>
        </w:rPr>
        <w:t>भागीय</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उंगलियों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जन्मदिन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Car Dieu a mis dans leurs cœurs d’exécuter sa volonté, et d’agir d’un même accord, et de donner leur royaume à la bête, jusqu’à ce que les paroles de Dieu soient accomplies. Apocalypse 17:17.</w:t>
      </w:r>
    </w:p>
    <w:p>
      <w:pPr>
        <w:pStyle w:val="ArticleBody"/>
        <w:jc w:val="left"/>
      </w:pPr>
      <w:r>
        <w:rPr>
          <w:rFonts w:ascii="Times New Roman" w:hAnsi="Times New Roman" w:eastAsia="Times New Roman" w:cs="Times New Roman"/>
        </w:rPr>
        <w:t>Avant d’aborder la prophétie d’Ézéchiel au chapitre quatre, nous relèverons les « treize » occasions où Ézéchiel indique directement une date. Ces treize repères se répartissent généralement entre le monde et le peuple de Dieu. Le monde, représenté par l’Égypte, est placé sous une date explicite à six reprises, Tyr est mentionnée une fois, et les six autres fois, c’est Jérusalem qui constitue le sujet. Le livre commence en 592 av. J.-C., qui est la trentième année du dix-septième cycle jubilaire, et le verset premier du chapitre quarante d’Ézéchiel identifie le 22 octobre 573 av. J.-C. comme la fin du cycle. Le cycle jubilaire représente le temps du scellement des cent quarante-quatre mille, depuis le 11 septembre jusqu’à la loi dominicale imminente, laquelle est à son tour représentée dans un fractal de cette même histoire, du 31 décembre 2023 jusqu’à la loi dominicale imminente. Ces deux périodes furent typifiées par l’intervalle allant du 11 août 1840 au 22 octobre 1844.</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មិនមែនជាអ្នកណាផ្សេងឡើយ</w:t>
      </w:r>
      <w:r>
        <w:rPr>
          <w:rFonts w:ascii="Times New Roman" w:hAnsi="Times New Roman" w:eastAsia="Times New Roman" w:cs="Times New Roman"/>
        </w:rPr>
        <w:t xml:space="preserve"> </w:t>
      </w:r>
      <w:r>
        <w:rPr>
          <w:rFonts w:ascii="Leelawadee UI" w:hAnsi="Leelawadee UI" w:eastAsia="Leelawadee UI" w:cs="Leelawadee UI"/>
        </w:rPr>
        <w:t>គឺព្រះយេស៊ូវគ្រីស្ទទ្រង់ផ្ទាល់ដែលបានយាងចុះមកជាទេវតាដ៏មានឫទ្ធានុភាពនៃ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ដោយនាំមកនូវសៀវភៅតូចមួយ</w:t>
      </w:r>
      <w:r>
        <w:rPr>
          <w:rFonts w:ascii="Times New Roman" w:hAnsi="Times New Roman" w:eastAsia="Times New Roman" w:cs="Times New Roman"/>
        </w:rPr>
        <w:t xml:space="preserve"> </w:t>
      </w:r>
      <w:r>
        <w:rPr>
          <w:rFonts w:ascii="Leelawadee UI" w:hAnsi="Leelawadee UI" w:eastAsia="Leelawadee UI" w:cs="Leelawadee UI"/>
        </w:rPr>
        <w:t>ដែលរាស្ត្ររបស់ព្រះត្រូវយកទៅបរិភោគ។</w:t>
      </w:r>
      <w:r>
        <w:rPr>
          <w:rFonts w:ascii="Times New Roman" w:hAnsi="Times New Roman" w:eastAsia="Times New Roman" w:cs="Times New Roman"/>
        </w:rPr>
        <w:t xml:space="preserve"> </w:t>
      </w:r>
      <w:r>
        <w:rPr>
          <w:rFonts w:ascii="Leelawadee UI" w:hAnsi="Leelawadee UI" w:eastAsia="Leelawadee UI" w:cs="Leelawadee UI"/>
        </w:rPr>
        <w:t>ទេវតាដដែលនោះបានយាងចុះមកម្តងទៀតនៅថ្ងៃទី</w:t>
      </w:r>
      <w:r>
        <w:rPr>
          <w:rFonts w:ascii="Times New Roman" w:hAnsi="Times New Roman" w:eastAsia="Times New Roman" w:cs="Times New Roman"/>
        </w:rPr>
        <w:t xml:space="preserve"> 9/11 </w:t>
      </w:r>
      <w:r>
        <w:rPr>
          <w:rFonts w:ascii="Leelawadee UI" w:hAnsi="Leelawadee UI" w:eastAsia="Leelawadee UI" w:cs="Leelawadee UI"/>
        </w:rPr>
        <w:t>ដើម្បីសម្គាល់ការចាប់ផ្តើមនៃពេលវេលាបោះត្រា។</w:t>
      </w:r>
      <w:r>
        <w:rPr>
          <w:rFonts w:ascii="Times New Roman" w:hAnsi="Times New Roman" w:eastAsia="Times New Roman" w:cs="Times New Roman"/>
        </w:rPr>
        <w:t xml:space="preserve"> </w:t>
      </w:r>
      <w:r>
        <w:rPr>
          <w:rFonts w:ascii="Leelawadee UI" w:hAnsi="Leelawadee UI" w:eastAsia="Leelawadee UI" w:cs="Leelawadee UI"/>
        </w:rPr>
        <w:t>ទេវតាដដែលនោះបានយាងចុះមកនៅថ្ងៃទី</w:t>
      </w:r>
      <w:r>
        <w:rPr>
          <w:rFonts w:ascii="Times New Roman" w:hAnsi="Times New Roman" w:eastAsia="Times New Roman" w:cs="Times New Roman"/>
        </w:rPr>
        <w:t xml:space="preserve"> </w:t>
      </w: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ដើម្បីប្រោសឲ្យសាក្សីទាំងពីររស់ឡើងវិញ</w:t>
      </w:r>
      <w:r>
        <w:rPr>
          <w:rFonts w:ascii="Times New Roman" w:hAnsi="Times New Roman" w:eastAsia="Times New Roman" w:cs="Times New Roman"/>
        </w:rPr>
        <w:t xml:space="preserve"> </w:t>
      </w:r>
      <w:r>
        <w:rPr>
          <w:rFonts w:ascii="Leelawadee UI" w:hAnsi="Leelawadee UI" w:eastAsia="Leelawadee UI" w:cs="Leelawadee UI"/>
        </w:rPr>
        <w:t>ដែលត្រូវបានសម្លាប់នៅលើផ្លូវនៃទីក្រុងដ៏ធំនោះ</w:t>
      </w:r>
      <w:r>
        <w:rPr>
          <w:rFonts w:ascii="Times New Roman" w:hAnsi="Times New Roman" w:eastAsia="Times New Roman" w:cs="Times New Roman"/>
        </w:rPr>
        <w:t xml:space="preserve"> </w:t>
      </w:r>
      <w:r>
        <w:rPr>
          <w:rFonts w:ascii="Leelawadee UI" w:hAnsi="Leelawadee UI" w:eastAsia="Leelawadee UI" w:cs="Leelawadee UI"/>
        </w:rPr>
        <w:t>គឺសូដុំ</w:t>
      </w:r>
      <w:r>
        <w:rPr>
          <w:rFonts w:ascii="Times New Roman" w:hAnsi="Times New Roman" w:eastAsia="Times New Roman" w:cs="Times New Roman"/>
        </w:rPr>
        <w:t xml:space="preserve"> </w:t>
      </w:r>
      <w:r>
        <w:rPr>
          <w:rFonts w:ascii="Leelawadee UI" w:hAnsi="Leelawadee UI" w:eastAsia="Leelawadee UI" w:cs="Leelawadee UI"/>
        </w:rPr>
        <w:t>និងអេស៊ីព្ទ</w:t>
      </w:r>
      <w:r>
        <w:rPr>
          <w:rFonts w:ascii="Times New Roman" w:hAnsi="Times New Roman" w:eastAsia="Times New Roman" w:cs="Times New Roman"/>
        </w:rPr>
        <w:t xml:space="preserve"> </w:t>
      </w:r>
      <w:r>
        <w:rPr>
          <w:rFonts w:ascii="Leelawadee UI" w:hAnsi="Leelawadee UI" w:eastAsia="Leelawadee UI" w:cs="Leelawadee UI"/>
        </w:rPr>
        <w:t>ជាកន្លែងដែលព្រះអម្ចាស់ក៏ត្រូវបានឆ្កាងដែរ។</w:t>
      </w:r>
      <w:r>
        <w:rPr>
          <w:rFonts w:ascii="Times New Roman" w:hAnsi="Times New Roman" w:eastAsia="Times New Roman" w:cs="Times New Roman"/>
        </w:rPr>
        <w:t xml:space="preserve"> </w:t>
      </w:r>
      <w:r>
        <w:rPr>
          <w:rFonts w:ascii="Leelawadee UI" w:hAnsi="Leelawadee UI" w:eastAsia="Leelawadee UI" w:cs="Leelawadee UI"/>
        </w:rPr>
        <w:t>ការយាងចុះមកនោះបានសម្គាល់រយៈពេលបិទបញ្ចប់នៃពេលវេលាបោះត្រា។</w:t>
      </w:r>
      <w:r>
        <w:rPr>
          <w:rFonts w:ascii="Times New Roman" w:hAnsi="Times New Roman" w:eastAsia="Times New Roman" w:cs="Times New Roman"/>
        </w:rPr>
        <w:t xml:space="preserve"> </w:t>
      </w:r>
      <w:r>
        <w:rPr>
          <w:rFonts w:ascii="Leelawadee UI" w:hAnsi="Leelawadee UI" w:eastAsia="Leelawadee UI" w:cs="Leelawadee UI"/>
        </w:rPr>
        <w:t>នៅក្នុងរយៈពេលហ្វ្រាក់តាល់ពីថ្ងៃទី</w:t>
      </w:r>
      <w:r>
        <w:rPr>
          <w:rFonts w:ascii="Times New Roman" w:hAnsi="Times New Roman" w:eastAsia="Times New Roman" w:cs="Times New Roman"/>
        </w:rPr>
        <w:t xml:space="preserve"> </w:t>
      </w: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ជាបូជាចារ្យ</w:t>
      </w:r>
      <w:r>
        <w:rPr>
          <w:rFonts w:ascii="Times New Roman" w:hAnsi="Times New Roman" w:eastAsia="Times New Roman" w:cs="Times New Roman"/>
        </w:rPr>
        <w:t xml:space="preserve"> </w:t>
      </w:r>
      <w:r>
        <w:rPr>
          <w:rFonts w:ascii="Leelawadee UI" w:hAnsi="Leelawadee UI" w:eastAsia="Leelawadee UI" w:cs="Leelawadee UI"/>
        </w:rPr>
        <w:t>ត្រូវបានប្រទាននិមិត្តមួយអំពីព្រះវិហារនៅស្ថានសួគ៌។</w:t>
      </w:r>
      <w:r>
        <w:rPr>
          <w:rFonts w:ascii="Times New Roman" w:hAnsi="Times New Roman" w:eastAsia="Times New Roman" w:cs="Times New Roman"/>
        </w:rPr>
        <w:t xml:space="preserve"> </w:t>
      </w:r>
      <w:r>
        <w:rPr>
          <w:rFonts w:ascii="Leelawadee UI" w:hAnsi="Leelawadee UI" w:eastAsia="Leelawadee UI" w:cs="Leelawadee UI"/>
        </w:rPr>
        <w:t>នៅគ្រានោះ</w:t>
      </w:r>
      <w:r>
        <w:rPr>
          <w:rFonts w:ascii="Times New Roman" w:hAnsi="Times New Roman" w:eastAsia="Times New Roman" w:cs="Times New Roman"/>
        </w:rPr>
        <w:t xml:space="preserve"> </w:t>
      </w:r>
      <w:r>
        <w:rPr>
          <w:rFonts w:ascii="Leelawadee UI" w:hAnsi="Leelawadee UI" w:eastAsia="Leelawadee UI" w:cs="Leelawadee UI"/>
        </w:rPr>
        <w:t>គាត់ត្រូវបានធ្វើឲ្យនៅស្ងៀម</w:t>
      </w:r>
      <w:r>
        <w:rPr>
          <w:rFonts w:ascii="Times New Roman" w:hAnsi="Times New Roman" w:eastAsia="Times New Roman" w:cs="Times New Roman"/>
        </w:rPr>
        <w:t xml:space="preserve"> </w:t>
      </w:r>
      <w:r>
        <w:rPr>
          <w:rFonts w:ascii="Leelawadee UI" w:hAnsi="Leelawadee UI" w:eastAsia="Leelawadee UI" w:cs="Leelawadee UI"/>
        </w:rPr>
        <w:t>ហើយនិយាយតែកាលណាព្រះបង្គាប់ឲ្យគាត់និយាយប៉ុណ្ណោះ។</w:t>
      </w:r>
      <w:r>
        <w:rPr>
          <w:rFonts w:ascii="Times New Roman" w:hAnsi="Times New Roman" w:eastAsia="Times New Roman" w:cs="Times New Roman"/>
        </w:rPr>
        <w:t xml:space="preserve"> </w:t>
      </w:r>
      <w:r>
        <w:rPr>
          <w:rFonts w:ascii="Leelawadee UI" w:hAnsi="Leelawadee UI" w:eastAsia="Leelawadee UI" w:cs="Leelawadee UI"/>
        </w:rPr>
        <w:t>សភាពរបស់គាត់បន្តរហូតដល់ច្បាប់ថ្ងៃអាទិត្យដែលជិតមកដល់</w:t>
      </w:r>
      <w:r>
        <w:rPr>
          <w:rFonts w:ascii="Times New Roman" w:hAnsi="Times New Roman" w:eastAsia="Times New Roman" w:cs="Times New Roman"/>
        </w:rPr>
        <w:t xml:space="preserve"> </w:t>
      </w:r>
      <w:r>
        <w:rPr>
          <w:rFonts w:ascii="Leelawadee UI" w:hAnsi="Leelawadee UI" w:eastAsia="Leelawadee UI" w:cs="Leelawadee UI"/>
        </w:rPr>
        <w:t>ដែលតំណាងដោយការបំផ្លាញក្រុងយេរូសាឡឹម។</w:t>
      </w:r>
    </w:p>
    <w:p>
      <w:pPr>
        <w:pStyle w:val="ArticleBody"/>
        <w:jc w:val="left"/>
      </w:pPr>
      <w:r>
        <w:rPr>
          <w:rFonts w:ascii="Times New Roman" w:hAnsi="Times New Roman" w:eastAsia="Times New Roman" w:cs="Times New Roman"/>
        </w:rPr>
        <w:t>Sama seperti Yohanes, Yehezkiel diperintahkan untuk mengambil kitab yang ada di tangan malaikat yang turun itu dalam Wahyu pasal sepuluh, dan juga diperintahkan untuk memakan kitab ratapan, perkabungan, dan celaka.</w:t>
      </w:r>
    </w:p>
    <w:p>
      <w:pPr>
        <w:pStyle w:val="ArticleScripture"/>
        <w:jc w:val="left"/>
      </w:pPr>
      <w:r>
        <w:rPr>
          <w:rFonts w:ascii="Times New Roman" w:hAnsi="Times New Roman" w:eastAsia="Times New Roman" w:cs="Times New Roman"/>
        </w:rPr>
        <w:t>Lakini wewe, mwana wa Adamu, sikia nikuambiayo; usiwe mkaidi kama ile nyumba iliyoasi; fungua kinywa chako, ule ninachokupa. Nami nilipotazama, tazama, mkono ulionyoshwa kwangu; na, tazama, ndani yake mlikuwa na gombo la kitabu; naye akalikunjua mbele yangu; nalo lilikuwa limeandikwa ndani na nje; na ndani yake mlikuwa na maandiko ya maombolezo, na kilio, na ole. Ezekieli 2:8–10.</w:t>
      </w:r>
    </w:p>
    <w:p>
      <w:pPr>
        <w:pStyle w:val="ArticleBody"/>
        <w:jc w:val="left"/>
      </w:pPr>
      <w:r>
        <w:rPr>
          <w:rFonts w:ascii="Times New Roman" w:hAnsi="Times New Roman" w:eastAsia="Times New Roman" w:cs="Times New Roman"/>
        </w:rPr>
        <w:t>Msgburðurin er framsettur sum ein trýfaldaður boðskapur og er soleiðis fyrimynd av boðskapinum hjá teimum trimum einglunum í Opinberingini kapittul fjúrtan. Tí er tað innsiglisboðskapurin hjá triðja einglinum, ið innsiglar tey, sum eru inni í Jerúsalem, og sum gremja seg og syrgja yvir synd kirkjunnar og landsins, soleiðis sum hetta er framsett í kapittuli níggju í Ezekieli og kapittuli sjey í Opinberingini.</w:t>
      </w:r>
    </w:p>
    <w:p>
      <w:pPr>
        <w:pStyle w:val="ArticleScripture"/>
        <w:jc w:val="left"/>
      </w:pPr>
      <w:r>
        <w:rPr>
          <w:rFonts w:ascii="Times New Roman" w:hAnsi="Times New Roman" w:eastAsia="Times New Roman" w:cs="Times New Roman"/>
        </w:rPr>
        <w:t>Et la gloire du Dieu d’Israël s’éleva de dessus le chérubin sur lequel elle était, vers le seuil de la maison. Et il appela l’homme vêtu de lin, qui avait à son côté l’écritoire du secrétaire. Et l’Éternel lui dit : Passe au milieu de la ville, au milieu de Jérusalem, et fais une marque sur le front des hommes qui soupirent et qui gémissent à cause de toutes les abominations qui s’y commettent. Ézéchiel 9:3, 4.</w:t>
      </w:r>
    </w:p>
    <w:p>
      <w:pPr>
        <w:pStyle w:val="ArticleBody"/>
        <w:jc w:val="left"/>
      </w:pPr>
      <w:r>
        <w:rPr>
          <w:rFonts w:ascii="Times New Roman" w:hAnsi="Times New Roman" w:eastAsia="Times New Roman" w:cs="Times New Roman"/>
        </w:rPr>
        <w:t>Жапсырманы қабылдағандар қауымның күнәлары мен елдің күнәлары үшін аза тұтуда; ал Езекиелдің куәлігі қауым мен дүниенің рәміздері болып табылатын Иерусалим мен Мысырдың тарихына өріліп жазылған.</w:t>
      </w:r>
    </w:p>
    <w:p>
      <w:pPr>
        <w:pStyle w:val="ArticleScripture"/>
        <w:jc w:val="left"/>
      </w:pPr>
      <w:r>
        <w:rPr>
          <w:rFonts w:ascii="Times New Roman" w:hAnsi="Times New Roman" w:eastAsia="Times New Roman" w:cs="Times New Roman"/>
        </w:rPr>
        <w:t>« Le levain de la piété n’a pas entièrement perdu sa puissance. Au moment où le danger et l’abaissement de l’Église seront à leur comble, le petit groupe de ceux qui se tiennent dans la lumière gémira et soupirera à cause des abominations qui se commettent dans le pays. Mais, plus particulièrement encore, leurs prières monteront en faveur de l’Église, parce que ses membres agissent à la manière du monde. … »</w:t>
      </w:r>
    </w:p>
    <w:p>
      <w:pPr>
        <w:pStyle w:val="ArticleScripture"/>
        <w:jc w:val="left"/>
      </w:pPr>
      <w:r>
        <w:rPr>
          <w:rFonts w:ascii="Nirmala UI" w:hAnsi="Nirmala UI" w:eastAsia="Nirmala UI" w:cs="Nirmala UI"/>
        </w:rPr>
        <w:t>পাদেশ</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অতিক্রম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ঘৃণ্য</w:t>
      </w:r>
      <w:r>
        <w:rPr>
          <w:rFonts w:ascii="Times New Roman" w:hAnsi="Times New Roman" w:eastAsia="Times New Roman" w:cs="Times New Roman"/>
        </w:rPr>
        <w:t xml:space="preserve"> </w:t>
      </w:r>
      <w:r>
        <w:rPr>
          <w:rFonts w:ascii="Nirmala UI" w:hAnsi="Nirmala UI" w:eastAsia="Nirmala UI" w:cs="Nirmala UI"/>
        </w:rPr>
        <w:t>কার্যকলাপের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দীর্ঘশ্বাস</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কপালে</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অঙ্কিত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দীর্ঘশ্বাসকারী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ক্রন্দনকারীরা</w:t>
      </w:r>
      <w:r>
        <w:rPr>
          <w:rFonts w:ascii="Times New Roman" w:hAnsi="Times New Roman" w:eastAsia="Times New Roman" w:cs="Times New Roman"/>
        </w:rPr>
        <w:t xml:space="preserve"> </w:t>
      </w:r>
      <w:r>
        <w:rPr>
          <w:rFonts w:ascii="Nirmala UI" w:hAnsi="Nirmala UI" w:eastAsia="Nirmala UI" w:cs="Nirmala UI"/>
        </w:rPr>
        <w:t>জীবনবাক্য</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তিরস্কার</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পরামর্শ</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অনুরোধ</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ঈশ্বরকে</w:t>
      </w:r>
      <w:r>
        <w:rPr>
          <w:rFonts w:ascii="Times New Roman" w:hAnsi="Times New Roman" w:eastAsia="Times New Roman" w:cs="Times New Roman"/>
        </w:rPr>
        <w:t xml:space="preserve"> </w:t>
      </w:r>
      <w:r>
        <w:rPr>
          <w:rFonts w:ascii="Nirmala UI" w:hAnsi="Nirmala UI" w:eastAsia="Nirmala UI" w:cs="Nirmala UI"/>
        </w:rPr>
        <w:t>অসম্মান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অনুতপ্ত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ধর্মের</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আচার</w:t>
      </w:r>
      <w:r>
        <w:rPr>
          <w:rFonts w:ascii="Times New Roman" w:hAnsi="Times New Roman" w:eastAsia="Times New Roman" w:cs="Times New Roman"/>
        </w:rPr>
        <w:t>-</w:t>
      </w:r>
      <w:r>
        <w:rPr>
          <w:rFonts w:ascii="Nirmala UI" w:hAnsi="Nirmala UI" w:eastAsia="Nirmala UI" w:cs="Nirmala UI"/>
        </w:rPr>
        <w:t>অনুষ্ঠান</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রেখেছিল</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অনুপস্থিত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Testimonies, volume 5, 209, 210.</w:t>
      </w:r>
    </w:p>
    <w:p>
      <w:pPr>
        <w:pStyle w:val="ArticleBody"/>
        <w:jc w:val="left"/>
      </w:pPr>
      <w:r>
        <w:rPr>
          <w:rFonts w:ascii="Times New Roman" w:hAnsi="Times New Roman" w:eastAsia="Times New Roman" w:cs="Times New Roman"/>
        </w:rPr>
        <w:t>Muktadha wa kitabu cha Maombolezo, maombolezo na ole vinavyowakilisha kimfano malaika watatu wa Ufunuo kumi na nne, maombolezo na mourning ni malaika wa kwanza na wa pili, na wa tatu ni ujumbe wa ole, ishara ya upepo wa mashariki unaozuiliwa na wale malaika wanne wazuiliao wa Ufunuo saba.</w:t>
      </w:r>
    </w:p>
    <w:p>
      <w:pPr>
        <w:pStyle w:val="ArticleHeading"/>
        <w:jc w:val="left"/>
      </w:pPr>
      <w:r>
        <w:rPr>
          <w:rFonts w:ascii="Arial" w:hAnsi="Arial" w:eastAsia="Arial" w:cs="Arial"/>
        </w:rPr>
        <w:t>إِجِبْتُ</w:t>
      </w:r>
    </w:p>
    <w:p>
      <w:pPr>
        <w:pStyle w:val="ArticleBody"/>
        <w:jc w:val="left"/>
      </w:pP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तेह्रवटा</w:t>
      </w:r>
      <w:r>
        <w:rPr>
          <w:rFonts w:ascii="Times New Roman" w:hAnsi="Times New Roman" w:eastAsia="Times New Roman" w:cs="Times New Roman"/>
        </w:rPr>
        <w:t xml:space="preserve"> </w:t>
      </w:r>
      <w:r>
        <w:rPr>
          <w:rFonts w:ascii="Nirmala UI" w:hAnsi="Nirmala UI" w:eastAsia="Nirmala UI" w:cs="Nirmala UI"/>
        </w:rPr>
        <w:t>मितिहरू</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मिश्रसम्बन्धी</w:t>
      </w:r>
      <w:r>
        <w:rPr>
          <w:rFonts w:ascii="Times New Roman" w:hAnsi="Times New Roman" w:eastAsia="Times New Roman" w:cs="Times New Roman"/>
        </w:rPr>
        <w:t xml:space="preserve"> </w:t>
      </w:r>
      <w:r>
        <w:rPr>
          <w:rFonts w:ascii="Nirmala UI" w:hAnsi="Nirmala UI" w:eastAsia="Nirmala UI" w:cs="Nirmala UI"/>
        </w:rPr>
        <w:t>मितिहरूको</w:t>
      </w:r>
      <w:r>
        <w:rPr>
          <w:rFonts w:ascii="Times New Roman" w:hAnsi="Times New Roman" w:eastAsia="Times New Roman" w:cs="Times New Roman"/>
        </w:rPr>
        <w:t xml:space="preserve"> </w:t>
      </w:r>
      <w:r>
        <w:rPr>
          <w:rFonts w:ascii="Nirmala UI" w:hAnsi="Nirmala UI" w:eastAsia="Nirmala UI" w:cs="Nirmala UI"/>
        </w:rPr>
        <w:t>समूहमा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29:1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587 BC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गर्थ्यो।</w:t>
      </w:r>
    </w:p>
    <w:p>
      <w:pPr>
        <w:pStyle w:val="ArticleScripture"/>
        <w:jc w:val="left"/>
      </w:pPr>
      <w:r>
        <w:rPr>
          <w:rFonts w:ascii="Times New Roman" w:hAnsi="Times New Roman" w:eastAsia="Times New Roman" w:cs="Times New Roman"/>
        </w:rPr>
        <w:t>У десятий рік, у десятий місяць, дванадцятого дня місяця, було до мене слово Господнє таке: Сину людський, зверни лице твоє проти фараона, царя Єгипту, і пророкуй проти нього та проти всього Єгипту. Говори й скажи: Так говорить Господь Бог: Ось Я — проти тебе, фараоне, царю Єгипту, великий драконе, що лежиш серед своїх рік, що сказав: Моя ріка — моя власна, і я зробив її для себе. Єзекіїля 29:1–3.</w:t>
      </w:r>
    </w:p>
    <w:p>
      <w:pPr>
        <w:pStyle w:val="ArticleBody"/>
        <w:jc w:val="left"/>
      </w:pPr>
      <w:r>
        <w:rPr>
          <w:rFonts w:ascii="Times New Roman" w:hAnsi="Times New Roman" w:eastAsia="Times New Roman" w:cs="Times New Roman"/>
        </w:rPr>
        <w:t>587 av. J.-C. est l’année du siège, lequel commença un an et demi avant la destruction de Jérusalem. À ce moment-là, Ézéchiel proclame que Dieu renverserait l’Égypte, et que ce renversement démontrerait au peuple de Dieu sa folie d’avoir mis sa confiance dans le dragon d’Égypte. À la fin du chapitre, il est déclaré que l’Égypte serait livrée à Babylone, identifiant ainsi le moment où les dix rois donnent leur septième royaume de la prophétie biblique à Babylone moderne — le huitième royaume qui est issu des sept. Cette prophétie s’accomplit « dix-sept » ans plus tard, en 571 av. J.-C., comme il est exposé à la fin du chapitre. Le chapitre 29 contient donc la première et la dernière référence chronologique associée à l’Égypte.</w:t>
      </w:r>
    </w:p>
    <w:p>
      <w:pPr>
        <w:pStyle w:val="ArticleScripture"/>
        <w:jc w:val="left"/>
      </w:pPr>
      <w:r>
        <w:rPr>
          <w:rFonts w:ascii="Times New Roman" w:hAnsi="Times New Roman" w:eastAsia="Times New Roman" w:cs="Times New Roman"/>
        </w:rPr>
        <w:t>۽ ائين ٿيو تہ ستاويھين سال ۾، پھرين مھيني جي پھرين ڏينھن، خداوند جو ڪلام مون وٽ آيو ۽ فرمايائين: اي ابنِ آدم، بابل جي بادشاھہ نبُوخدرضر پنھنجي لشڪر کان صور جي خلاف وڏي خدمت ورتي؛ ھر مٿو گنجو ٿي ويو، ۽ ھر ڪلھو ڇلجي پيو؛ تہ بہ ھن کي ۽ سندس لشڪر کي صور جي بابت، ان خدمت جي عيوض جيڪا ھن ان جي خلاف سرانجام ڏني، ڪا اجرت نہ ملي. تنھنڪري خداوند خدا ائين فرمائي ٿو: ڏسو، آءٌ مصر جي زمين بابل جي بادشاھہ نبُوخدرضر کي ڏيندس؛ ۽ ھو ان جي گھڻائي کڻي ويندو، ۽ ان جو مالِ غنيمت کڻي ويندو، ۽ ان جي ڦرلٽ کڻي ويندو؛ ۽ اھا سندس لشڪر لاءِ اجرت ٿيندي. مون کيس مصر جي زمين سندس ان محنت جي بدلي ڏني آھي، جيڪا ھن ان جي خلاف ڪئي، ڇاڪاڻتہ انھن مون لاءِ ڪم ڪيو، خداوند خدا فرمائي ٿو. انھيءَ ڏينھن ۾ آءٌ بني اسرائيل جي گھر جي سڱ کي ڦٽائڻ ڏيندس، ۽ آءٌ تنھنجي وات کي انھن جي وچ ۾ کولڻ عطا ڪندس؛ ۽ اھي ڄاڻندا تہ آءٌ ئي خداوند آھيان. حزقي ايل 29:17–21.</w:t>
      </w:r>
    </w:p>
    <w:p>
      <w:pPr>
        <w:pStyle w:val="ArticleBody"/>
        <w:jc w:val="left"/>
      </w:pPr>
      <w:r>
        <w:rPr>
          <w:rFonts w:ascii="Times New Roman" w:hAnsi="Times New Roman" w:eastAsia="Times New Roman" w:cs="Times New Roman"/>
        </w:rPr>
        <w:t>Tahun kedua puluh, dalam bulan pertama, pada hari pertama dalam ayat tujuh belas, melambangkan tarikh terakhir daripada tiga belas tarikh dalam Yehezkiel, dan itulah satu-satunya tarikh yang jatuh selepas 22 Oktober 573 SM. Tarikh itu melambangkan saat raja utara dalam Daniel sebelas ayat empat puluh dua dan empat puluh tiga diberikan Mesir, serta titik ketika kesepuluh raja menyerahkan kerajaan ketujuh mereka kepada kerajaan kelapan yang berasal daripada ketujuh itu. Hal itu digenapi apabila “tanduk kaum Israel” mulai bertunas. Dalam Yesaya, Israel bertunas pada hari angin timur.</w:t>
      </w:r>
    </w:p>
    <w:p>
      <w:pPr>
        <w:pStyle w:val="ArticleScripture"/>
        <w:jc w:val="left"/>
      </w:pP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याकूबबाट</w:t>
      </w:r>
      <w:r>
        <w:rPr>
          <w:rFonts w:ascii="Times New Roman" w:hAnsi="Times New Roman" w:eastAsia="Times New Roman" w:cs="Times New Roman"/>
        </w:rPr>
        <w:t xml:space="preserve"> </w:t>
      </w:r>
      <w:r>
        <w:rPr>
          <w:rFonts w:ascii="Nirmala UI" w:hAnsi="Nirmala UI" w:eastAsia="Nirmala UI" w:cs="Nirmala UI"/>
        </w:rPr>
        <w:t>आउनेहरूलाई</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गाड्न</w:t>
      </w:r>
      <w:r>
        <w:rPr>
          <w:rFonts w:ascii="Times New Roman" w:hAnsi="Times New Roman" w:eastAsia="Times New Roman" w:cs="Times New Roman"/>
        </w:rPr>
        <w:t xml:space="preserve"> </w:t>
      </w:r>
      <w:r>
        <w:rPr>
          <w:rFonts w:ascii="Nirmala UI" w:hAnsi="Nirmala UI" w:eastAsia="Nirmala UI" w:cs="Nirmala UI"/>
        </w:rPr>
        <w:t>लगाउनुहुनेछ</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फुल्नेछ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कोपिला</w:t>
      </w:r>
      <w:r>
        <w:rPr>
          <w:rFonts w:ascii="Times New Roman" w:hAnsi="Times New Roman" w:eastAsia="Times New Roman" w:cs="Times New Roman"/>
        </w:rPr>
        <w:t xml:space="preserve"> </w:t>
      </w:r>
      <w:r>
        <w:rPr>
          <w:rFonts w:ascii="Nirmala UI" w:hAnsi="Nirmala UI" w:eastAsia="Nirmala UI" w:cs="Nirmala UI"/>
        </w:rPr>
        <w:t>लाग्नेछ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फलले</w:t>
      </w:r>
      <w:r>
        <w:rPr>
          <w:rFonts w:ascii="Times New Roman" w:hAnsi="Times New Roman" w:eastAsia="Times New Roman" w:cs="Times New Roman"/>
        </w:rPr>
        <w:t xml:space="preserve"> </w:t>
      </w:r>
      <w:r>
        <w:rPr>
          <w:rFonts w:ascii="Nirmala UI" w:hAnsi="Nirmala UI" w:eastAsia="Nirmala UI" w:cs="Nirmala UI"/>
        </w:rPr>
        <w:t>भरिनेछ।</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27:8.</w:t>
      </w:r>
    </w:p>
    <w:p>
      <w:pPr>
        <w:pStyle w:val="ArticleBody"/>
        <w:jc w:val="left"/>
      </w:pPr>
      <w:r>
        <w:rPr>
          <w:rFonts w:ascii="Leelawadee UI" w:hAnsi="Leelawadee UI" w:eastAsia="Leelawadee UI" w:cs="Leelawadee UI"/>
        </w:rPr>
        <w:t>เมื่อเอเสเคียล</w:t>
      </w:r>
      <w:r>
        <w:rPr>
          <w:rFonts w:ascii="Times New Roman" w:hAnsi="Times New Roman" w:eastAsia="Times New Roman" w:cs="Times New Roman"/>
        </w:rPr>
        <w:t xml:space="preserve"> 29:17 </w:t>
      </w:r>
      <w:r>
        <w:rPr>
          <w:rFonts w:ascii="Leelawadee UI" w:hAnsi="Leelawadee UI" w:eastAsia="Leelawadee UI" w:cs="Leelawadee UI"/>
        </w:rPr>
        <w:t>สำเร็จ</w:t>
      </w:r>
      <w:r>
        <w:rPr>
          <w:rFonts w:ascii="Times New Roman" w:hAnsi="Times New Roman" w:eastAsia="Times New Roman" w:cs="Times New Roman"/>
        </w:rPr>
        <w:t xml:space="preserve"> </w:t>
      </w:r>
      <w:r>
        <w:rPr>
          <w:rFonts w:ascii="Leelawadee UI" w:hAnsi="Leelawadee UI" w:eastAsia="Leelawadee UI" w:cs="Leelawadee UI"/>
        </w:rPr>
        <w:t>และมังกรแห่งอียิปต์ถูกมอบให้แก่สัตว์ร้ายของสันตะปาปา</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เวลาที่กฎหมายวันอาทิตย์ซึ่งใกล้จะมาถึงนั้น</w:t>
      </w:r>
      <w:r>
        <w:rPr>
          <w:rFonts w:ascii="Times New Roman" w:hAnsi="Times New Roman" w:eastAsia="Times New Roman" w:cs="Times New Roman"/>
        </w:rPr>
        <w:t xml:space="preserve"> </w:t>
      </w:r>
      <w:r>
        <w:rPr>
          <w:rFonts w:ascii="Leelawadee UI" w:hAnsi="Leelawadee UI" w:eastAsia="Leelawadee UI" w:cs="Leelawadee UI"/>
        </w:rPr>
        <w:t>ฝนปลายฤดูจะถูกเทลงเหนืออิสราเอลอย่างไร้ขอบเขต</w:t>
      </w:r>
      <w:r>
        <w:rPr>
          <w:rFonts w:ascii="Times New Roman" w:hAnsi="Times New Roman" w:eastAsia="Times New Roman" w:cs="Times New Roman"/>
        </w:rPr>
        <w:t xml:space="preserve"> </w:t>
      </w:r>
      <w:r>
        <w:rPr>
          <w:rFonts w:ascii="Leelawadee UI" w:hAnsi="Leelawadee UI" w:eastAsia="Leelawadee UI" w:cs="Leelawadee UI"/>
        </w:rPr>
        <w:t>ฝนนั้นได้เริ่มขึ้นเมื่อวันที่</w:t>
      </w:r>
      <w:r>
        <w:rPr>
          <w:rFonts w:ascii="Times New Roman" w:hAnsi="Times New Roman" w:eastAsia="Times New Roman" w:cs="Times New Roman"/>
        </w:rPr>
        <w:t xml:space="preserve"> 9/11 </w:t>
      </w:r>
      <w:r>
        <w:rPr>
          <w:rFonts w:ascii="Leelawadee UI" w:hAnsi="Leelawadee UI" w:eastAsia="Leelawadee UI" w:cs="Leelawadee UI"/>
        </w:rPr>
        <w:t>ในลักษณะการประพรม</w:t>
      </w:r>
      <w:r>
        <w:rPr>
          <w:rFonts w:ascii="Times New Roman" w:hAnsi="Times New Roman" w:eastAsia="Times New Roman" w:cs="Times New Roman"/>
        </w:rPr>
        <w:t xml:space="preserve"> </w:t>
      </w:r>
      <w:r>
        <w:rPr>
          <w:rFonts w:ascii="Leelawadee UI" w:hAnsi="Leelawadee UI" w:eastAsia="Leelawadee UI" w:cs="Leelawadee UI"/>
        </w:rPr>
        <w:t>ดังที่เป็นแบบโดยพระคริสต์ทรงระบายลมหายใจเหนือเหล่าสาวกของพระองค์</w:t>
      </w:r>
      <w:r>
        <w:rPr>
          <w:rFonts w:ascii="Times New Roman" w:hAnsi="Times New Roman" w:eastAsia="Times New Roman" w:cs="Times New Roman"/>
        </w:rPr>
        <w:t xml:space="preserve"> </w:t>
      </w:r>
      <w:r>
        <w:rPr>
          <w:rFonts w:ascii="Leelawadee UI" w:hAnsi="Leelawadee UI" w:eastAsia="Leelawadee UI" w:cs="Leelawadee UI"/>
        </w:rPr>
        <w:t>ภายหลังที่พระองค์ได้เสด็จลงมายังโลก</w:t>
      </w:r>
      <w:r>
        <w:rPr>
          <w:rFonts w:ascii="Times New Roman" w:hAnsi="Times New Roman" w:eastAsia="Times New Roman" w:cs="Times New Roman"/>
        </w:rPr>
        <w:t xml:space="preserve"> </w:t>
      </w:r>
      <w:r>
        <w:rPr>
          <w:rFonts w:ascii="Leelawadee UI" w:hAnsi="Leelawadee UI" w:eastAsia="Leelawadee UI" w:cs="Leelawadee UI"/>
        </w:rPr>
        <w:t>หลังจากที่พระองค์ได้เสด็จขึ้นไปยังพระบิดาของพระองค์ภายหลังการฟื้นคืนพระชนม์ของพระองค์แล้ว</w:t>
      </w:r>
    </w:p>
    <w:p>
      <w:pPr>
        <w:pStyle w:val="ArticleScripture"/>
        <w:jc w:val="left"/>
      </w:pPr>
      <w:r>
        <w:rPr>
          <w:rFonts w:ascii="Times New Roman" w:hAnsi="Times New Roman" w:eastAsia="Times New Roman" w:cs="Times New Roman"/>
        </w:rPr>
        <w:t>“L’acte par lequel le Christ souffla sur ses disciples le Saint-Esprit, et leur communiqua sa paix, n’était que comme quelques gouttes en comparaison de l’abondante pluie qui devait être accordée au jour de la Pentecôte.” Spirit of Prophecy, volume 3, 243.</w:t>
      </w:r>
    </w:p>
    <w:p>
      <w:pPr>
        <w:pStyle w:val="ArticleBody"/>
        <w:jc w:val="left"/>
      </w:pPr>
      <w:r>
        <w:rPr>
          <w:rFonts w:ascii="Times New Roman" w:hAnsi="Times New Roman" w:eastAsia="Times New Roman" w:cs="Times New Roman"/>
        </w:rPr>
        <w:t>Пророчество Иезекииля о падении Египта было возвещено в 587 году до Р. Х., в год осады, и семнадцать лет спустя это предсказание исполнилось. Оно исполняется в периоде, представленном числом «семнадцать», тем самым обозначая сокрытую историю сорокового стиха одиннадцатой главы Даниила. Ему надлежит исполниться во время запечатления ста сорока четырёх тысяч, изображённого в девятой главе Иезекииля. Во время запечатления изливается поздний дождь: сначала как окропление при 9/11, а затем как полное излияние при воскресном законе. Согласно Исаии, оно исполняется в «день восточного ветра», и ислам есть восточный ветер, и ислам есть третье «горе». Весть, которую Иезекиилю надлежало съесть, была троякой вестью, из которой третья часть была вестью о горе.</w:t>
      </w:r>
    </w:p>
    <w:p>
      <w:pPr>
        <w:pStyle w:val="ArticleBody"/>
        <w:jc w:val="left"/>
      </w:pPr>
      <w:r>
        <w:rPr>
          <w:rFonts w:ascii="Times New Roman" w:hAnsi="Times New Roman" w:eastAsia="Times New Roman" w:cs="Times New Roman"/>
        </w:rPr>
        <w:t>Mesajele datate ale lui Ezechiel, în număr de treisprezece, au fost rostite în legătură cu Ierusalimul, Egiptul și Tirul. Toate se refereau la răzvrătire, așa cum este reprezentată de numărul „treisprezece”.</w:t>
      </w:r>
    </w:p>
    <w:p>
      <w:pPr>
        <w:pStyle w:val="ArticleBody"/>
        <w:jc w:val="left"/>
      </w:pPr>
      <w:r>
        <w:rPr>
          <w:rFonts w:ascii="Times New Roman" w:hAnsi="Times New Roman" w:eastAsia="Times New Roman" w:cs="Times New Roman"/>
        </w:rPr>
        <w:t>Nous continuerons d’examiner la datation d’Ézéchiel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Twenty-Six</dc:title>
  <dc:subject>Ézéchiel numéro sept</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