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یوئیل و کلیسای لائودیکیه‌ایِ ادونتیست‌های روز هفتم - شمارهٔ دو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Nambari Mbili</w:t>
      </w:r>
    </w:p>
    <w:p>
      <w:pPr>
        <w:pStyle w:val="ArticleScripture"/>
        <w:jc w:val="left"/>
      </w:pP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उत्कट</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उतरते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प्रकाशमान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सुनेंगे।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“Dieu peut insuffler une vie nouvelle à toute âme qui désire sincèrement Le servir; Il peut toucher les lèvres avec un charbon ardent pris sur l’autel, et les rendre éloquentes dans Sa louange. Des milliers de voix seront pénétrées de la puissance nécessaire pour proclamer les merveilleuses vérités de la Parole de Dieu. La langue balbutiante sera déliée, et le timide sera fortifié pour rendre un courageux témoignage à la vérité. Que le Seigneur aide Son peuple à purifier le temple de l’âme de toute souillure, et à maintenir avec Lui une communion si étroite qu’ils puissent avoir part à la pluie de l’arrière-saison lorsqu’elle sera répandue.” Review and Herald, 20 juillet 1886.</w:t>
      </w:r>
    </w:p>
    <w:p>
      <w:pPr>
        <w:pStyle w:val="ArticleBody"/>
        <w:jc w:val="left"/>
      </w:pPr>
      <w:r>
        <w:rPr>
          <w:rFonts w:ascii="Times New Roman" w:hAnsi="Times New Roman" w:eastAsia="Times New Roman" w:cs="Times New Roman"/>
        </w:rPr>
        <w:t>Ef Pentecost, ibin e we kein im olsem wanpela bikpela kaikai bilong Bikpela, em i no inap long bruk lus long Passover, kaikai bilong bret i no gat yis, ofa bilong namba wan kaikai i kamap, na kaikai bilong ol wik. Pentecost em i wanpela taim bilong haptaim, maski em tu i wanpela stret de long taim. Long dispela as em i kolim “sisen bilong Pentecost.” Dispela sisen i stat long dai, planim, na kirap bek bilong Krais. Bihain long Asensin bilong En, Krais i statim foti de bilong givim stretpela skul long pesenel, na bihain dispela i bihainim tenpela de long rum antap we wanbel i kamap pinis. 9/11 i statim wanpela haptaim we i pinis long Sunday law long United States. Dispela Sunday law i makim de bilong Pentecost olsem wanpela stret de long taim; wanpela stret de long taim we bipo long en i gat wanpela haptaim i go pas, we i stat long 9/11. Stat long 9/11 i go inap long Sunday law, “sisen bilong Pentecost” i kamap gen.</w:t>
      </w:r>
    </w:p>
    <w:p>
      <w:pPr>
        <w:pStyle w:val="ArticleBody"/>
        <w:jc w:val="left"/>
      </w:pPr>
      <w:r>
        <w:rPr>
          <w:rFonts w:ascii="Times New Roman" w:hAnsi="Times New Roman" w:eastAsia="Times New Roman" w:cs="Times New Roman"/>
        </w:rPr>
        <w:t>Peter alifafanua kwamba tukio la kimiujiza la “ndimi za moto” halikuwa upumbavu wa ulevi, bali lilikuwa utimizo wa kitabu cha Yoeli kwa sababu pingamizi lililetwa dhidi ya ujumbe. “Ndimi” zinawakilisha uwasilishaji wa ujumbe, na moto unamwakilisha Roho Mtakatifu. Ujumbe wa Pentekoste unawakilisha muungano wa uungu (Mungu ni moto ulao) na ubinadamu wa ulimi. Kama vile Petro anavyowawakilisha wale mia moja arobaini na nne elfu wakati wa mvua ya mwisho, vivyo hivyo Wayahudi wabishi wanawakilisha watu wa agano la kwanza wanaopitwa wakati uleule hasa ambapo mvua ya mwisho inanyesha.</w:t>
      </w:r>
    </w:p>
    <w:p>
      <w:pPr>
        <w:pStyle w:val="ArticleScripture"/>
        <w:jc w:val="left"/>
      </w:pPr>
      <w:r>
        <w:rPr>
          <w:rFonts w:ascii="Times New Roman" w:hAnsi="Times New Roman" w:eastAsia="Times New Roman" w:cs="Times New Roman"/>
        </w:rPr>
        <w:t>Իսկ բոլորը լցվեցին Սուրբ Հոգով և սկսեցին խոսել այլ լեզուներով, ինչպես Հոգին նրանց արտահայտվելու կարողություն էր տալիս։ Եվ Երուսաղեմում բնակվում էին հրեաներ, բարեպաշտ մարդիկ՝ երկնքի տակ եղող ամեն ազգից։ Եվ երբ այս լուրը տարածվեց, բազմությունը հավաքվեց և շփոթության մատնվեց, որովհետև յուրաքանչյուր ոք նրանց լսում էր իր սեփական լեզվով խոսելիս։ Եվ բոլորը զարմացած ու ապշած՝ իրար ասում էին. «Ահա, մի՞թե սրանք բոլորը, որ խոսում են, գալիլեացիներ չեն։ Եվ ինչպե՞ս է, որ մեզնից յուրաքանչյուրը լսում է իր մայրենի լեզուն, որում ծնվել է։ Պարթևներ և մարեր և էլամացիներ, և Միջագետքի, Հրեաստանի և Կապադովկիայի բնակիչները, Պոնտոսի և Ասիայի, Փռյուգիայի և Պամփյուլիայի, Եգիպտոսի և Կյուրենեի մոտ գտնվող Լիբիայի շրջանների, և Հռոմից եկած պանդուխտներ, հրեաներ և դավանափոխներ, կրետացիներ և արաբներ, մենք լսում ենք, թե նրանք մեր լեզուներով պատմում են Աստծո մեծագործությունները»։ Եվ բոլորը զարմացած ու տարակուսած՝ իրար ասում էին. «Ի՞նչ է նշանակում սա»։ Իսկ ուրիշները, ծաղրելով, ասում էին. «Սրանք նոր գինուց հարբած են»։ Բայց Պետրոսը, տասնմեկի հետ կանգնած, բարձրացրեց իր ձայնը և ասաց նրանց. «Հրեաստանի՛ մարդիկ և բոլո՛րդ, որ բնակվում եք Երուսաղեմում, թող սա հայտնի լինի ձեզ, և ականջ դրեք իմ խոսքերին. որովհետև սրանք հարբած չեն, ինչպես դուք եք կարծում, քանի որ դեռ օրվա երրորդ ժամն է»։ Գործք 2:4–15.</w:t>
      </w:r>
    </w:p>
    <w:p>
      <w:pPr>
        <w:pStyle w:val="ArticleBody"/>
        <w:jc w:val="left"/>
      </w:pPr>
      <w:r>
        <w:rPr>
          <w:rFonts w:ascii="Times New Roman" w:hAnsi="Times New Roman" w:eastAsia="Times New Roman" w:cs="Times New Roman"/>
        </w:rPr>
        <w:t>Pierre explique la Pentecôte comme un accomplissement du livre de Joël. Il le fait dans un cadre prophétique où le monde entier est représenté, car le passage déclare que l’auditoire venait « de toute nation qui est sous le ciel ». Au 11 septembre, la terre fut éclairée de la gloire du Christ, puis, de nouveau, lors de la loi du dimanche, les cent quarante-quatre mille refléteront parfaitement la gloire du Christ lorsqu’ils seront élevés comme une bannière devant le monde entier. La période pentecostale commença au 11 septembre et elle s’achève à la loi du dimanche.</w:t>
      </w:r>
    </w:p>
    <w:p>
      <w:pPr>
        <w:pStyle w:val="ArticleScripture"/>
        <w:jc w:val="left"/>
      </w:pPr>
      <w:r>
        <w:rPr>
          <w:rFonts w:ascii="Times New Roman" w:hAnsi="Times New Roman" w:eastAsia="Times New Roman" w:cs="Times New Roman"/>
        </w:rPr>
        <w:t>“A si ti wa lara wa ti yoo gba èdìdì Ọlọrun lae nigba ti iwa wa ba ni abawọn kan tabi àbàwọ́n kan lórí wọn. A fi sí ọwọ́ wa láti tún àwọn àìpé inú ìwà wa ṣe, láti wẹ tẹ́ńpìlì ọkàn kúrò nínú gbogbo ẹ̀gbin. Nígbà náà ni òjò ìkẹyìn yóò rọ̀ sórí wa gẹ́gẹ́ bí òjò àkọ́kọ́ ti rọ̀ sórí àwọn ọmọ-ẹ̀yìn ní Ọjọ́ Pẹ́nítíkọ́sì.</w:t>
      </w:r>
    </w:p>
    <w:p>
      <w:pPr>
        <w:pStyle w:val="ArticleScripture"/>
        <w:jc w:val="left"/>
      </w:pPr>
      <w:r>
        <w:rPr>
          <w:rFonts w:ascii="Times New Roman" w:hAnsi="Times New Roman" w:eastAsia="Times New Roman" w:cs="Times New Roman"/>
        </w:rPr>
        <w:t>«نحن نرضى بسهولة مفرطة بما نبلغه من إنجازات. ونشعر أننا أغنياء وقد استغنينا بالمال، ولا نعلم أننا “شقِيّون، وبائسون، وفقراء، وعميان، وعراة”. الآن هو وقت الإصغاء إلى إنذار الشاهد الأمين: “أشير عليك أن تشتري مني ذهبًا مُصفّى بالنار لكي تستغني؛ وثيابًا بيضًا لكي تلبس فلا يظهر خزي عريك؛ وكحّل عينيك بكحل لكي تبصر”. …»</w:t>
      </w:r>
    </w:p>
    <w:p>
      <w:pPr>
        <w:pStyle w:val="ArticleScripture"/>
        <w:jc w:val="left"/>
      </w:pPr>
      <w:r>
        <w:rPr>
          <w:rFonts w:ascii="Times New Roman" w:hAnsi="Times New Roman" w:eastAsia="Times New Roman" w:cs="Times New Roman"/>
        </w:rPr>
        <w:t>“Ku ri masakna nga ilih saon ka kalibutan, kag bantayan nga wala sing buling ang aton kaugalingon kag ang aton mga kabataan. Ku ri masakna nga hugasan naton ang aton mga bayo sang kinaiya kag papution ini sa dugo sang Cordero. Ku ri masakna nga daugon naton ang bugal, ang mapintas nga pagbati, kag ang espirituhanon nga katamad. Ku ri masakna nga magmata kita kag maghimo sing malig-on nga paningkamot agod may pagkatimbang ang kinaiya. ‘Subong nga adlaw, kon pamatian ninyo ang Iya tingog, indi ninyo pagpatig-a ang inyo mga tagipusuon.’ Yara kita sa isa ka labing mabudlay nga kahimtangan, nga nagahulat kag nagabantay sa pagpakita sang aton Ginoo. Ang kalibutan yara sa kadulom. ‘Apang kamo, mga kauturan,’ siling ni Pablo, ‘wala kamo sa kadulom, agod nga ina nga adlaw makaabot sa inyo subong sa isa ka kawatan.’ Amo gid permi ang katuyoan sang Dios nga magdala sing kapawa gikan sa kadulom, kalipay gikan sa kasubo, kag kapahulayan gikan sa kapoy para sa nagahulat, nagahandum nga kalag.”</w:t>
      </w:r>
    </w:p>
    <w:p>
      <w:pPr>
        <w:pStyle w:val="ArticleScripture"/>
        <w:jc w:val="left"/>
      </w:pPr>
      <w:r>
        <w:rPr>
          <w:rFonts w:ascii="Times New Roman" w:hAnsi="Times New Roman" w:eastAsia="Times New Roman" w:cs="Times New Roman"/>
        </w:rPr>
        <w:t>“Bira byanyu, ni igiki mukora muri uwo murimo ukomeye wo kwitegura? Abifatanya n’isi barimo kwakira ishusho y’isi kandi barimo kwitegura ikimenyetso cy’inyamaswa. Abatita ku kwiyizera, abicisha bugufi imbere y’Imana kandi bagatunganya ubugingo bwabo bubahiriza ukuri, abo ni bo barimo kwakira ishusho yo mu ijuru kandi barimo kwitegura ikimenyetso cy’Imana mu ruhanga rwabo. Igihe itegeko rizasohoka kandi ikimenyetso kigashyirwaho, imico yabo izaguma itunganye kandi itanduye iteka ryose.”</w:t>
      </w:r>
    </w:p>
    <w:p>
      <w:pPr>
        <w:pStyle w:val="ArticleScripture"/>
        <w:jc w:val="left"/>
      </w:pPr>
      <w:r>
        <w:rPr>
          <w:rFonts w:ascii="Times New Roman" w:hAnsi="Times New Roman" w:eastAsia="Times New Roman" w:cs="Times New Roman"/>
        </w:rPr>
        <w:t>«الآن هو وقت الاستعداد. إن ختم الله لن يُوضَع قط على جبين رجل أو امرأة نجسَين. ولن يُوضَع قط على جبين الرجل أو المرأة الطموحَين المُحبَّين للعالم. ولن يُوضَع قط على جبين رجال أو نساء ذوي ألسنة كاذبة أو قلوب ماكرة. فجميع الذين ينالون الختم يجب أن يكونوا بلا دنس أمام الله—مؤهَّلين للسماء. امضوا قُدُمًا، يا إخوتي وأخواتي. لا أستطيع في هذا الوقت إلا أن أكتب بإيجاز عن هذه النقاط، مكتفيةً بمجرد لفت انتباهكم إلى ضرورة الاستعداد. فتِّشوا الكتب المقدسة بأنفسكم، لكي تدركوا المهابة المخيفة لهذه الساعة الحاضرة.» الشهادات، المجلد 5، 214، 216.</w:t>
      </w:r>
    </w:p>
    <w:p>
      <w:pPr>
        <w:pStyle w:val="ArticleBody"/>
        <w:jc w:val="left"/>
      </w:pPr>
      <w:r>
        <w:rPr>
          <w:rFonts w:ascii="Times New Roman" w:hAnsi="Times New Roman" w:eastAsia="Times New Roman" w:cs="Times New Roman"/>
        </w:rPr>
        <w:t>Itt identifierar syster White pingsten som en tidpunkt och förbinder den med söndagslagen i Förenta staterna, ”när påbudet går ut”. Men även om hon anger söndagslagen och pingsten som en tidpunkt, identifierar hennes budskap, som kallar till förberedelse, en period som föregår söndagslagen och som förebildas av pingsttiden. Söndagslagen är provet beträffande sjundedagssabbaten, och perioden från 11 september fram till söndagslagen kan identifieras som den symboliska ”Herrens förberedelses dag”. Förberedelsen föregår provet.</w:t>
      </w:r>
    </w:p>
    <w:p>
      <w:pPr>
        <w:pStyle w:val="ArticleBody"/>
        <w:jc w:val="left"/>
      </w:pPr>
      <w:r>
        <w:rPr>
          <w:rFonts w:ascii="Times New Roman" w:hAnsi="Times New Roman" w:eastAsia="Times New Roman" w:cs="Times New Roman"/>
        </w:rPr>
        <w:t>“mwula wa masiku aumaliro udzagwera pa” zana limodzi ndi makumi anayi ndi anayi a zikwi monga momwe “mvula yoyamba idagwera pa ophunzira pa Tsiku la Pentekoste.” Nthawi yoimiridwa monga nyengo ya Pentekoste inayamba ndi kuwazidwa pamene Khristu anabwera kuchokera ku kukwera Kwake kumwamba.</w:t>
      </w:r>
    </w:p>
    <w:p>
      <w:pPr>
        <w:pStyle w:val="ArticleScripture"/>
        <w:jc w:val="left"/>
      </w:pPr>
      <w:r>
        <w:rPr>
          <w:rFonts w:ascii="Times New Roman" w:hAnsi="Times New Roman" w:eastAsia="Times New Roman" w:cs="Times New Roman"/>
        </w:rPr>
        <w:t>Et après avoir dit cela, il souffla sur eux et leur dit : Recevez le Saint-Esprit. Jean 20:22.</w:t>
      </w:r>
    </w:p>
    <w:p>
      <w:pPr>
        <w:pStyle w:val="ArticleBody"/>
        <w:jc w:val="left"/>
      </w:pPr>
      <w:r>
        <w:rPr>
          <w:rFonts w:ascii="Times New Roman" w:hAnsi="Times New Roman" w:eastAsia="Times New Roman" w:cs="Times New Roman"/>
        </w:rPr>
        <w:t>Son souffle communique le Saint-Esprit, et c’est le souffle qui produit le son des paroles. Jésus est la Parole, et son souffle communique le Saint-Esprit par la transmission de sa parole. C’est le souffle qui donna vie au corps d’Adam, et c’est le souffle qui redonne vie à l’armée d’ossements desséchés, ressuscités d’entre les morts, d’Ézéchiel.</w:t>
      </w:r>
    </w:p>
    <w:p>
      <w:pPr>
        <w:pStyle w:val="ArticleScripture"/>
        <w:jc w:val="left"/>
      </w:pPr>
      <w:r>
        <w:rPr>
          <w:rFonts w:ascii="Times New Roman" w:hAnsi="Times New Roman" w:eastAsia="Times New Roman" w:cs="Times New Roman"/>
        </w:rPr>
        <w:t>«Քրիստոսի այն գործը, որով Նա շնչեց Իր աշակերտների վրա Սուրբ Հոգին և Իր խաղաղությունը նրանց հաղորդեց, Պենտեկոստեի օրը տրվելիք առատ հեղեղի համեմատ ընդամենը մի քանի կաթիլ էր»։ Spirit of Prophecy, հատոր 3, էջ 243։</w:t>
      </w:r>
    </w:p>
    <w:p>
      <w:pPr>
        <w:pStyle w:val="ArticleBody"/>
        <w:jc w:val="left"/>
      </w:pPr>
      <w:r>
        <w:rPr>
          <w:rFonts w:ascii="Times New Roman" w:hAnsi="Times New Roman" w:eastAsia="Times New Roman" w:cs="Times New Roman"/>
        </w:rPr>
        <w:t>Au commencement de la saison de la Pentecôte, le « souffle » du Christ communiqua le Saint-Esprit aux disciples, mais quelques-uns doutèrent.</w:t>
      </w:r>
    </w:p>
    <w:p>
      <w:pPr>
        <w:pStyle w:val="ArticleScripture"/>
        <w:jc w:val="left"/>
      </w:pPr>
      <w:r>
        <w:rPr>
          <w:rFonts w:ascii="Times New Roman" w:hAnsi="Times New Roman" w:eastAsia="Times New Roman" w:cs="Times New Roman"/>
        </w:rPr>
        <w:t>Mais Thomas, l’un des douze, appelé Didyme, n’était pas avec eux lorsque Jésus vint. Les autres disciples lui dirent donc : Nous avons vu le Seigneur. Mais il leur dit : Si je ne vois dans ses mains la marque des clous, si je ne mets mon doigt dans la marque des clous, et si je ne mets ma main dans son côté, je ne croirai point. Jean 2:24, 25.</w:t>
      </w:r>
    </w:p>
    <w:p>
      <w:pPr>
        <w:pStyle w:val="ArticleBody"/>
        <w:jc w:val="left"/>
      </w:pPr>
      <w:r>
        <w:rPr>
          <w:rFonts w:ascii="Times New Roman" w:hAnsi="Times New Roman" w:eastAsia="Times New Roman" w:cs="Times New Roman"/>
        </w:rPr>
        <w:t>L’époque pentecostale inaugura un temps d’« épreuve », commençant par le souffle du Christ et la controverse du doute de Thomas. La controverse de Thomas au commencement préfigure la controverse des Juifs à la fin de la saison pentecostale. Au commencement, le Christ communiqua sa parole et le Saint-Esprit aux disciples, et, à la fin de la saison pentecostale, les disciples communiquèrent la parole et le Saint-Esprit au monde.</w:t>
      </w:r>
    </w:p>
    <w:p>
      <w:pPr>
        <w:pStyle w:val="ArticleBody"/>
        <w:jc w:val="left"/>
      </w:pPr>
      <w:r>
        <w:rPr>
          <w:rFonts w:ascii="Times New Roman" w:hAnsi="Times New Roman" w:eastAsia="Times New Roman" w:cs="Times New Roman"/>
        </w:rPr>
        <w:t>Le travail que Christ accomplit lorsqu’Il souffla sur les disciples fut un second témoignage du même travail qu’Il venait d’accomplir avec les disciples sur le chemin d’Emmaüs.</w:t>
      </w:r>
    </w:p>
    <w:p>
      <w:pPr>
        <w:pStyle w:val="ArticleScripture"/>
        <w:jc w:val="left"/>
      </w:pPr>
      <w:r>
        <w:rPr>
          <w:rFonts w:ascii="Times New Roman" w:hAnsi="Times New Roman" w:eastAsia="Times New Roman" w:cs="Times New Roman"/>
        </w:rPr>
        <w:t>Og det skete, mens de samtalede med hinanden og drøftede det, at Jesus selv kom nær og fulgtes med dem. Men deres øjne blev holdt tilbage, så de ikke genkendte ham. …</w:t>
      </w:r>
    </w:p>
    <w:p>
      <w:pPr>
        <w:pStyle w:val="ArticleScripture"/>
        <w:jc w:val="left"/>
      </w:pPr>
      <w:r>
        <w:rPr>
          <w:rFonts w:ascii="Times New Roman" w:hAnsi="Times New Roman" w:eastAsia="Times New Roman" w:cs="Times New Roman"/>
        </w:rPr>
        <w:t>Afei na ɔka kyerɛɛ wɔn sɛ, Ao mo nkwaseafo, mo koma yɛ hare sɛ mubegye biribiara a adiyifo no aka no adi: Ɛnyɛ sɛ na ɛsɛ sɛ Kristo hu amane yi nyinaa na ɔkɔ ne anuonyam mu anaa? Na ofi Mose ne adiyifo no nyinaa so kyerɛkyerɛɛ wɔn n’ankasa ho nsɛm a ɛwɔ Kyerɛwsɛm no nyinaa mu. Na wɔbɛn akuraa a na wɔrekɔ no; na ɔyɛɛ te sɛ nea ɔbɛkɔ akyiri. Nanso wɔhyɛɛ no den kae sɛ, Tena yɛn nkyɛn; efisɛ anwummere rebɛn, na ade resa. Enti ɔkɔɔ mu sɛ ɔne wɔn bɛtena. Na ɛbaa sɛ, bere a ɔne wɔn te adidii no, ɔfaa brodo, na ohyiraa so, na obubuu mu, na ɔde maa wɔn. Na wɔn ani buee, na wohuu no yiye; na ofii wɔn ani so yerae. Na wɔka kyerɛɛ wɔn ho wɔn ho sɛ, Bere a ɔne yɛn rekasa wɔ kwanten no so, na ɔrebue Kyerɛwsɛm no mu kyerɛ yɛn no, na yɛn koma anhyew wɔ yɛn mu anaa? Luka 24:15, 16, 25–32.</w:t>
      </w:r>
    </w:p>
    <w:p>
      <w:pPr>
        <w:pStyle w:val="ArticleBody"/>
        <w:jc w:val="left"/>
      </w:pPr>
      <w:r>
        <w:rPr>
          <w:rFonts w:ascii="Times New Roman" w:hAnsi="Times New Roman" w:eastAsia="Times New Roman" w:cs="Times New Roman"/>
        </w:rPr>
        <w:t>Sama seperti Yesus “duduk makan” di Emaus, sesudah itu Ia pun makan bersama para murid. Dalam kedua peristiwa itu, tindakan makan ditampilkan. Bersama-sama, keduanya menunjukkan bahwa permulaan masa Pentakosta ditandai oleh hembusan Roh Kudus dan juga oleh makan. Peristiwa-peristiwa pembukaan itu menimbulkan suatu pertentangan antara satu golongan yang percaya dan satu golongan yang ragu-ragu. Tindakan makan, pemberian Roh Kudus, dan pembukaan Kitab Suci mencakup kenyataan bahwa Kristus memulai pengajaran-Nya dengan “Musa dan segala nabi.” Pengajaran Kristus disampaikan dengan mengambil garis nubuatan Musa dan menyelarakannya dengan garis-garis semua nabi, di sini sedikit dan di sana sedikit.</w:t>
      </w:r>
    </w:p>
    <w:p>
      <w:pPr>
        <w:pStyle w:val="ArticleBody"/>
        <w:jc w:val="left"/>
      </w:pPr>
      <w:r>
        <w:rPr>
          <w:rFonts w:ascii="Times New Roman" w:hAnsi="Times New Roman" w:eastAsia="Times New Roman" w:cs="Times New Roman"/>
        </w:rPr>
        <w:t xml:space="preserve">9/11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முப்பத்தேழாம்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உலர்ந்த</w:t>
      </w:r>
      <w:r>
        <w:rPr>
          <w:rFonts w:ascii="Times New Roman" w:hAnsi="Times New Roman" w:eastAsia="Times New Roman" w:cs="Times New Roman"/>
        </w:rPr>
        <w:t xml:space="preserve"> </w:t>
      </w:r>
      <w:r>
        <w:rPr>
          <w:rFonts w:ascii="Nirmala UI" w:hAnsi="Nirmala UI" w:eastAsia="Nirmala UI" w:cs="Nirmala UI"/>
        </w:rPr>
        <w:t>சாவுக்கெலும்புகளின்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காற்றுகளின்</w:t>
      </w:r>
      <w:r>
        <w:rPr>
          <w:rFonts w:ascii="Times New Roman" w:hAnsi="Times New Roman" w:eastAsia="Times New Roman" w:cs="Times New Roman"/>
        </w:rPr>
        <w:t xml:space="preserve"> </w:t>
      </w:r>
      <w:r>
        <w:rPr>
          <w:rFonts w:ascii="Nirmala UI" w:hAnsi="Nirmala UI" w:eastAsia="Nirmala UI" w:cs="Nirmala UI"/>
        </w:rPr>
        <w:t>சுவாசம்</w:t>
      </w:r>
      <w:r>
        <w:rPr>
          <w:rFonts w:ascii="Times New Roman" w:hAnsi="Times New Roman" w:eastAsia="Times New Roman" w:cs="Times New Roman"/>
        </w:rPr>
        <w:t xml:space="preserve"> </w:t>
      </w:r>
      <w:r>
        <w:rPr>
          <w:rFonts w:ascii="Nirmala UI" w:hAnsi="Nirmala UI" w:eastAsia="Nirmala UI" w:cs="Nirmala UI"/>
        </w:rPr>
        <w:t>வீசியது</w:t>
      </w:r>
      <w:r>
        <w:rPr>
          <w:rFonts w:ascii="Times New Roman" w:hAnsi="Times New Roman" w:eastAsia="Times New Roman" w:cs="Times New Roman"/>
        </w:rPr>
        <w:t xml:space="preserve">. </w:t>
      </w:r>
      <w:r>
        <w:rPr>
          <w:rFonts w:ascii="Nirmala UI" w:hAnsi="Nirmala UI" w:eastAsia="Nirmala UI" w:cs="Nirmala UI"/>
        </w:rPr>
        <w:t>அந்நேரத்தில்</w:t>
      </w:r>
      <w:r>
        <w:rPr>
          <w:rFonts w:ascii="Times New Roman" w:hAnsi="Times New Roman" w:eastAsia="Times New Roman" w:cs="Times New Roman"/>
        </w:rPr>
        <w:t xml:space="preserve">, 1840 </w:t>
      </w:r>
      <w:r>
        <w:rPr>
          <w:rFonts w:ascii="Nirmala UI" w:hAnsi="Nirmala UI" w:eastAsia="Nirmala UI" w:cs="Nirmala UI"/>
        </w:rPr>
        <w:t>ஆகஸ்ட்</w:t>
      </w:r>
      <w:r>
        <w:rPr>
          <w:rFonts w:ascii="Times New Roman" w:hAnsi="Times New Roman" w:eastAsia="Times New Roman" w:cs="Times New Roman"/>
        </w:rPr>
        <w:t xml:space="preserve"> 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இறங்கி</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செய்திக்கு</w:t>
      </w:r>
      <w:r>
        <w:rPr>
          <w:rFonts w:ascii="Times New Roman" w:hAnsi="Times New Roman" w:eastAsia="Times New Roman" w:cs="Times New Roman"/>
        </w:rPr>
        <w:t xml:space="preserve"> </w:t>
      </w:r>
      <w:r>
        <w:rPr>
          <w:rFonts w:ascii="Nirmala UI" w:hAnsi="Nirmala UI" w:eastAsia="Nirmala UI" w:cs="Nirmala UI"/>
        </w:rPr>
        <w:t>வல்லமையளித்த</w:t>
      </w:r>
      <w:r>
        <w:rPr>
          <w:rFonts w:ascii="Times New Roman" w:hAnsi="Times New Roman" w:eastAsia="Times New Roman" w:cs="Times New Roman"/>
        </w:rPr>
        <w:t xml:space="preserve"> </w:t>
      </w:r>
      <w:r>
        <w:rPr>
          <w:rFonts w:ascii="Nirmala UI" w:hAnsi="Nirmala UI" w:eastAsia="Nirmala UI" w:cs="Nirmala UI"/>
        </w:rPr>
        <w:t>தூதனால்</w:t>
      </w:r>
      <w:r>
        <w:rPr>
          <w:rFonts w:ascii="Times New Roman" w:hAnsi="Times New Roman" w:eastAsia="Times New Roman" w:cs="Times New Roman"/>
        </w:rPr>
        <w:t xml:space="preserve"> </w:t>
      </w:r>
      <w:r>
        <w:rPr>
          <w:rFonts w:ascii="Nirmala UI" w:hAnsi="Nirmala UI" w:eastAsia="Nirmala UI" w:cs="Nirmala UI"/>
        </w:rPr>
        <w:t>முன்னுருவாக்கப்பட்டபடி</w:t>
      </w:r>
      <w:r>
        <w:rPr>
          <w:rFonts w:ascii="Times New Roman" w:hAnsi="Times New Roman" w:eastAsia="Times New Roman" w:cs="Times New Roman"/>
        </w:rPr>
        <w:t xml:space="preserve">, </w:t>
      </w:r>
      <w:r>
        <w:rPr>
          <w:rFonts w:ascii="Nirmala UI" w:hAnsi="Nirmala UI" w:eastAsia="Nirmala UI" w:cs="Nirmala UI"/>
        </w:rPr>
        <w:t>வெளிப்படுத்தல்</w:t>
      </w:r>
      <w:r>
        <w:rPr>
          <w:rFonts w:ascii="Times New Roman" w:hAnsi="Times New Roman" w:eastAsia="Times New Roman" w:cs="Times New Roman"/>
        </w:rPr>
        <w:t xml:space="preserve"> </w:t>
      </w:r>
      <w:r>
        <w:rPr>
          <w:rFonts w:ascii="Nirmala UI" w:hAnsi="Nirmala UI" w:eastAsia="Nirmala UI" w:cs="Nirmala UI"/>
        </w:rPr>
        <w:t>பதினெட்டாம்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பெந்தெகொஸ்தே</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சீஷர்கள்</w:t>
      </w:r>
      <w:r>
        <w:rPr>
          <w:rFonts w:ascii="Times New Roman" w:hAnsi="Times New Roman" w:eastAsia="Times New Roman" w:cs="Times New Roman"/>
        </w:rPr>
        <w:t xml:space="preserve"> </w:t>
      </w:r>
      <w:r>
        <w:rPr>
          <w:rFonts w:ascii="Nirmala UI" w:hAnsi="Nirmala UI" w:eastAsia="Nirmala UI" w:cs="Nirmala UI"/>
        </w:rPr>
        <w:t>உண்டதுபோல</w:t>
      </w:r>
      <w:r>
        <w:rPr>
          <w:rFonts w:ascii="Times New Roman" w:hAnsi="Times New Roman" w:eastAsia="Times New Roman" w:cs="Times New Roman"/>
        </w:rPr>
        <w:t xml:space="preserve"> </w:t>
      </w:r>
      <w:r>
        <w:rPr>
          <w:rFonts w:ascii="Nirmala UI" w:hAnsi="Nirmala UI" w:eastAsia="Nirmala UI" w:cs="Nirmala UI"/>
        </w:rPr>
        <w:t>உண்ணப்பட</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செய்தியோடு</w:t>
      </w:r>
      <w:r>
        <w:rPr>
          <w:rFonts w:ascii="Times New Roman" w:hAnsi="Times New Roman" w:eastAsia="Times New Roman" w:cs="Times New Roman"/>
        </w:rPr>
        <w:t xml:space="preserve"> </w:t>
      </w:r>
      <w:r>
        <w:rPr>
          <w:rFonts w:ascii="Nirmala UI" w:hAnsi="Nirmala UI" w:eastAsia="Nirmala UI" w:cs="Nirmala UI"/>
        </w:rPr>
        <w:t>இறங்கினான்</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விசுவாசிக்க</w:t>
      </w:r>
      <w:r>
        <w:rPr>
          <w:rFonts w:ascii="Times New Roman" w:hAnsi="Times New Roman" w:eastAsia="Times New Roman" w:cs="Times New Roman"/>
        </w:rPr>
        <w:t xml:space="preserve"> </w:t>
      </w:r>
      <w:r>
        <w:rPr>
          <w:rFonts w:ascii="Nirmala UI" w:hAnsi="Nirmala UI" w:eastAsia="Nirmala UI" w:cs="Nirmala UI"/>
        </w:rPr>
        <w:t>மனமில்லாதிருந்தது</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அறிமுகப்படுத்தப்படும்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உலுக்குதல்</w:t>
      </w:r>
      <w:r>
        <w:rPr>
          <w:rFonts w:ascii="Times New Roman" w:hAnsi="Times New Roman" w:eastAsia="Times New Roman" w:cs="Times New Roman"/>
        </w:rPr>
        <w:t xml:space="preserve"> </w:t>
      </w:r>
      <w:r>
        <w:rPr>
          <w:rFonts w:ascii="Nirmala UI" w:hAnsi="Nirmala UI" w:eastAsia="Nirmala UI" w:cs="Nirmala UI"/>
        </w:rPr>
        <w:t>அடையாளப்படுத்தப்படுகிறது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வெளிப்படுத்துகிறது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À propos de la chute des tours jumelles le 11 septembre, il nous est dit que le Seigneur s’est levé pour « secouer terriblement les nations ». Il importe de se rappeler qu’un « ébranlement » parmi le peuple de Dieu est provoqué par ceux qui combattent un message de vérité. Il existe des « ébranlements » externes, mais les ébranlements internes au sein de l’Église se produisent dans le cadre de la présentation d’un message.</w:t>
      </w:r>
    </w:p>
    <w:p>
      <w:pPr>
        <w:pStyle w:val="ArticleScripture"/>
        <w:jc w:val="left"/>
      </w:pPr>
      <w:r>
        <w:rPr>
          <w:rFonts w:ascii="Times New Roman" w:hAnsi="Times New Roman" w:eastAsia="Times New Roman" w:cs="Times New Roman"/>
        </w:rPr>
        <w:t>« Ndzi vutise nhlamuselo ya ku ninginika loku a ndzi ku vonile, kutani ndzi kombisiwile leswaku a ku ta vangiwa hi vumbhoni byo kongoma lebyi vitaniweke hi ndzayo ya Mbhoni ya Ntiyiso eka va Laodikiya. Leswi swi ta va ni nkucetelo wa swona ehenhla ka mbilu ya la byi byi amukelaka, naswona swi ta n’wi yisa eku tlakuseni ka mpimo ni le ku humeseni ka ntiyiso wo kongoma. Van’wana a va nge swi koti ku tiyisela vumbhoni lebyi byo kongoma. Va ta pfukela byona, kutani hi swona leswi swi nga ta vanga ku ninginika exikarhi ka vanhu va Xikwembu.</w:t>
      </w:r>
    </w:p>
    <w:p>
      <w:pPr>
        <w:pStyle w:val="ArticleScripture"/>
        <w:jc w:val="left"/>
      </w:pPr>
      <w:r>
        <w:rPr>
          <w:rFonts w:ascii="Times New Roman" w:hAnsi="Times New Roman" w:eastAsia="Times New Roman" w:cs="Times New Roman"/>
        </w:rPr>
        <w:t>« Je vis que le témoignage du Témoin fidèle n’a pas été écouté à moitié. Le témoignage solennel dont dépend la destinée de l’Église a été tenu en faible estime, sinon entièrement négligé. Ce témoignage doit produire une repentance profonde ; tous ceux qui le reçoivent véritablement lui obéiront et seront purifiés. » Early Writings, 271.</w:t>
      </w:r>
    </w:p>
    <w:p>
      <w:pPr>
        <w:pStyle w:val="ArticleBody"/>
        <w:jc w:val="left"/>
      </w:pPr>
      <w:r>
        <w:rPr>
          <w:rFonts w:ascii="Times New Roman" w:hAnsi="Times New Roman" w:eastAsia="Times New Roman" w:cs="Times New Roman"/>
        </w:rPr>
        <w:t>La « secousse » intérieure est provoquée par ceux qui résistent à la présentation du message à Laodicée. Sœur White identifie le message de Jones et Waggoner de 1888 comme étant le message à Laodicée.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ព្រះសារដែលបានប្រទានមកយើងតាមរយៈ</w:t>
      </w:r>
      <w:r>
        <w:rPr>
          <w:rFonts w:ascii="Times New Roman" w:hAnsi="Times New Roman" w:eastAsia="Times New Roman" w:cs="Times New Roman"/>
        </w:rPr>
        <w:t xml:space="preserve"> A. T. Jones </w:t>
      </w:r>
      <w:r>
        <w:rPr>
          <w:rFonts w:ascii="Leelawadee UI" w:hAnsi="Leelawadee UI" w:eastAsia="Leelawadee UI" w:cs="Leelawadee UI"/>
        </w:rPr>
        <w:t>និង</w:t>
      </w:r>
      <w:r>
        <w:rPr>
          <w:rFonts w:ascii="Times New Roman" w:hAnsi="Times New Roman" w:eastAsia="Times New Roman" w:cs="Times New Roman"/>
        </w:rPr>
        <w:t xml:space="preserve"> E. J. Waggoner </w:t>
      </w:r>
      <w:r>
        <w:rPr>
          <w:rFonts w:ascii="Leelawadee UI" w:hAnsi="Leelawadee UI" w:eastAsia="Leelawadee UI" w:cs="Leelawadee UI"/>
        </w:rPr>
        <w:t>គឺជាព្រះសាររបស់ព្រះជាម្ចាស់ទៅកាន់ក្រុមជំនុំឡាវឌីសេ</w:t>
      </w:r>
      <w:r>
        <w:rPr>
          <w:rFonts w:ascii="Times New Roman" w:hAnsi="Times New Roman" w:eastAsia="Times New Roman" w:cs="Times New Roman"/>
        </w:rPr>
        <w:t xml:space="preserve"> </w:t>
      </w:r>
      <w:r>
        <w:rPr>
          <w:rFonts w:ascii="Leelawadee UI" w:hAnsi="Leelawadee UI" w:eastAsia="Leelawadee UI" w:cs="Leelawadee UI"/>
        </w:rPr>
        <w:t>ហើយវេទនាដល់អ្នកណាក៏ដោយដែលអះអាងថាខ្លួនជឿសេចក្ដីពិត</w:t>
      </w:r>
      <w:r>
        <w:rPr>
          <w:rFonts w:ascii="Times New Roman" w:hAnsi="Times New Roman" w:eastAsia="Times New Roman" w:cs="Times New Roman"/>
        </w:rPr>
        <w:t xml:space="preserve"> </w:t>
      </w:r>
      <w:r>
        <w:rPr>
          <w:rFonts w:ascii="Leelawadee UI" w:hAnsi="Leelawadee UI" w:eastAsia="Leelawadee UI" w:cs="Leelawadee UI"/>
        </w:rPr>
        <w:t>ប៉ុន្តែមិនឆ្លុះបញ្ចាំងកាំរស្មីដែលព្រះបានប្រទានទៅកាន់អ្នកដទៃទេ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1888 Materials, 1053.</w:t>
      </w:r>
    </w:p>
    <w:p>
      <w:pPr>
        <w:pStyle w:val="ArticleBody"/>
        <w:jc w:val="left"/>
      </w:pPr>
      <w:r>
        <w:rPr>
          <w:rFonts w:ascii="Times New Roman" w:hAnsi="Times New Roman" w:eastAsia="Times New Roman" w:cs="Times New Roman"/>
        </w:rPr>
        <w:t>Ukumelana nesigidimi saseLawodikea kuvelisa ukugungqiswa, yaye uDade uWhite usihlanganisa isigidimi sango-1888 nokuhla kwengelosi yesahluko seshumi elinesibhozo seSityhilelo.</w:t>
      </w:r>
    </w:p>
    <w:p>
      <w:pPr>
        <w:pStyle w:val="ArticleScripture"/>
        <w:jc w:val="left"/>
      </w:pPr>
      <w:r>
        <w:rPr>
          <w:rFonts w:ascii="Times New Roman" w:hAnsi="Times New Roman" w:eastAsia="Times New Roman" w:cs="Times New Roman"/>
        </w:rPr>
        <w:t>«</w:t>
      </w:r>
      <w:r>
        <w:rPr>
          <w:rFonts w:ascii="Nirmala UI" w:hAnsi="Nirmala UI" w:eastAsia="Nirmala UI" w:cs="Nirmala UI"/>
        </w:rPr>
        <w:t>প্রাক্কলিত</w:t>
      </w:r>
      <w:r>
        <w:rPr>
          <w:rFonts w:ascii="Times New Roman" w:hAnsi="Times New Roman" w:eastAsia="Times New Roman" w:cs="Times New Roman"/>
        </w:rPr>
        <w:t xml:space="preserve"> </w:t>
      </w:r>
      <w:r>
        <w:rPr>
          <w:rFonts w:ascii="Nirmala UI" w:hAnsi="Nirmala UI" w:eastAsia="Nirmala UI" w:cs="Nirmala UI"/>
        </w:rPr>
        <w:t>মতামত</w:t>
      </w:r>
      <w:r>
        <w:rPr>
          <w:rFonts w:ascii="Times New Roman" w:hAnsi="Times New Roman" w:eastAsia="Times New Roman" w:cs="Times New Roman"/>
        </w:rPr>
        <w:t xml:space="preserve"> </w:t>
      </w:r>
      <w:r>
        <w:rPr>
          <w:rFonts w:ascii="Nirmala UI" w:hAnsi="Nirmala UI" w:eastAsia="Nirmala UI" w:cs="Nirmala UI"/>
        </w:rPr>
        <w:t>ত্যাগ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অনীহা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মনোভাবই</w:t>
      </w:r>
      <w:r>
        <w:rPr>
          <w:rFonts w:ascii="Times New Roman" w:hAnsi="Times New Roman" w:eastAsia="Times New Roman" w:cs="Times New Roman"/>
        </w:rPr>
        <w:t xml:space="preserve"> </w:t>
      </w:r>
      <w:r>
        <w:rPr>
          <w:rFonts w:ascii="Nirmala UI" w:hAnsi="Nirmala UI" w:eastAsia="Nirmala UI" w:cs="Nirmala UI"/>
        </w:rPr>
        <w:t>মিনিয়াপোলিসে</w:t>
      </w:r>
      <w:r>
        <w:rPr>
          <w:rFonts w:ascii="Times New Roman" w:hAnsi="Times New Roman" w:eastAsia="Times New Roman" w:cs="Times New Roman"/>
        </w:rPr>
        <w:t xml:space="preserve"> </w:t>
      </w:r>
      <w:r>
        <w:rPr>
          <w:rFonts w:ascii="Nirmala UI" w:hAnsi="Nirmala UI" w:eastAsia="Nirmala UI" w:cs="Nirmala UI"/>
        </w:rPr>
        <w:t>ভ্রাতা</w:t>
      </w:r>
      <w:r>
        <w:rPr>
          <w:rFonts w:ascii="Times New Roman" w:hAnsi="Times New Roman" w:eastAsia="Times New Roman" w:cs="Times New Roman"/>
        </w:rPr>
        <w:t xml:space="preserve"> </w:t>
      </w:r>
      <w:r>
        <w:rPr>
          <w:rFonts w:ascii="Nirmala UI" w:hAnsi="Nirmala UI" w:eastAsia="Nirmala UI" w:cs="Nirmala UI"/>
        </w:rPr>
        <w:t>ওয়াগনার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জোন্সের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বিরোধিতার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অংশের</w:t>
      </w:r>
      <w:r>
        <w:rPr>
          <w:rFonts w:ascii="Times New Roman" w:hAnsi="Times New Roman" w:eastAsia="Times New Roman" w:cs="Times New Roman"/>
        </w:rPr>
        <w:t xml:space="preserve"> </w:t>
      </w:r>
      <w:r>
        <w:rPr>
          <w:rFonts w:ascii="Nirmala UI" w:hAnsi="Nirmala UI" w:eastAsia="Nirmala UI" w:cs="Nirmala UI"/>
        </w:rPr>
        <w:t>ভিত্তিতে</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বিরোধিতাকে</w:t>
      </w:r>
      <w:r>
        <w:rPr>
          <w:rFonts w:ascii="Times New Roman" w:hAnsi="Times New Roman" w:eastAsia="Times New Roman" w:cs="Times New Roman"/>
        </w:rPr>
        <w:t xml:space="preserve"> </w:t>
      </w:r>
      <w:r>
        <w:rPr>
          <w:rFonts w:ascii="Nirmala UI" w:hAnsi="Nirmala UI" w:eastAsia="Nirmala UI" w:cs="Nirmala UI"/>
        </w:rPr>
        <w:t>উত্তেজিত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বহুলাংশে</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বিশেষ</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সরিয়ে</w:t>
      </w:r>
      <w:r>
        <w:rPr>
          <w:rFonts w:ascii="Times New Roman" w:hAnsi="Times New Roman" w:eastAsia="Times New Roman" w:cs="Times New Roman"/>
        </w:rPr>
        <w:t xml:space="preserve"> </w:t>
      </w:r>
      <w:r>
        <w:rPr>
          <w:rFonts w:ascii="Nirmala UI" w:hAnsi="Nirmala UI" w:eastAsia="Nirmala UI" w:cs="Nirmala UI"/>
        </w:rPr>
        <w:t>রাখতে</w:t>
      </w:r>
      <w:r>
        <w:rPr>
          <w:rFonts w:ascii="Times New Roman" w:hAnsi="Times New Roman" w:eastAsia="Times New Roman" w:cs="Times New Roman"/>
        </w:rPr>
        <w:t xml:space="preserve"> </w:t>
      </w:r>
      <w:r>
        <w:rPr>
          <w:rFonts w:ascii="Nirmala UI" w:hAnsi="Nirmala UI" w:eastAsia="Nirmala UI" w:cs="Nirmala UI"/>
        </w:rPr>
        <w:t>সফল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আকুল</w:t>
      </w:r>
      <w:r>
        <w:rPr>
          <w:rFonts w:ascii="Times New Roman" w:hAnsi="Times New Roman" w:eastAsia="Times New Roman" w:cs="Times New Roman"/>
        </w:rPr>
        <w:t xml:space="preserve"> </w:t>
      </w:r>
      <w:r>
        <w:rPr>
          <w:rFonts w:ascii="Nirmala UI" w:hAnsi="Nirmala UI" w:eastAsia="Nirmala UI" w:cs="Nirmala UI"/>
        </w:rPr>
        <w:t>আকাঙ্ক্ষা</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শত্রু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কার্যক্ষমতা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রেখেছিল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প্রেরিতেরা</w:t>
      </w:r>
      <w:r>
        <w:rPr>
          <w:rFonts w:ascii="Times New Roman" w:hAnsi="Times New Roman" w:eastAsia="Times New Roman" w:cs="Times New Roman"/>
        </w:rPr>
        <w:t xml:space="preserve"> </w:t>
      </w:r>
      <w:r>
        <w:rPr>
          <w:rFonts w:ascii="Nirmala UI" w:hAnsi="Nirmala UI" w:eastAsia="Nirmala UI" w:cs="Nirmala UI"/>
        </w:rPr>
        <w:t>পেন্টেকস্টের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মহিমায়</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প্রতিরোধ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ভ্রাতৃবৃন্দের</w:t>
      </w:r>
      <w:r>
        <w:rPr>
          <w:rFonts w:ascii="Times New Roman" w:hAnsi="Times New Roman" w:eastAsia="Times New Roman" w:cs="Times New Roman"/>
        </w:rPr>
        <w:t xml:space="preserve"> </w:t>
      </w:r>
      <w:r>
        <w:rPr>
          <w:rFonts w:ascii="Nirmala UI" w:hAnsi="Nirmala UI" w:eastAsia="Nirmala UI" w:cs="Nirmala UI"/>
        </w:rPr>
        <w:t>কার্যকলাপের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বহুল</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Selected Messages, book 1, 235.</w:t>
      </w:r>
    </w:p>
    <w:p>
      <w:pPr>
        <w:pStyle w:val="ArticleBody"/>
        <w:jc w:val="left"/>
      </w:pPr>
      <w:r>
        <w:rPr>
          <w:rFonts w:ascii="Nirmala UI" w:hAnsi="Nirmala UI" w:eastAsia="Nirmala UI" w:cs="Nirmala UI"/>
        </w:rPr>
        <w:t>थोमस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पिन्तेकुस्तीय</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हिलाए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1888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बलवन्त</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अगुओं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पूर्वधारित</w:t>
      </w:r>
      <w:r>
        <w:rPr>
          <w:rFonts w:ascii="Times New Roman" w:hAnsi="Times New Roman" w:eastAsia="Times New Roman" w:cs="Times New Roman"/>
        </w:rPr>
        <w:t xml:space="preserve"> </w:t>
      </w:r>
      <w:r>
        <w:rPr>
          <w:rFonts w:ascii="Nirmala UI" w:hAnsi="Nirmala UI" w:eastAsia="Nirmala UI" w:cs="Nirmala UI"/>
        </w:rPr>
        <w:t>धारणाओं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थोमस</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1888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1888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फूंकता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पहरेदार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我必站在守望所</w:t>
      </w:r>
      <w:r>
        <w:rPr>
          <w:rFonts w:ascii="Times New Roman" w:hAnsi="Times New Roman" w:eastAsia="Times New Roman" w:cs="Times New Roman"/>
        </w:rPr>
        <w:t>,</w:t>
      </w:r>
      <w:r>
        <w:rPr>
          <w:rFonts w:ascii="Microsoft YaHei" w:hAnsi="Microsoft YaHei" w:eastAsia="Microsoft YaHei" w:cs="Microsoft YaHei"/>
        </w:rPr>
        <w:t>立在望楼上观看</w:t>
      </w:r>
      <w:r>
        <w:rPr>
          <w:rFonts w:ascii="Times New Roman" w:hAnsi="Times New Roman" w:eastAsia="Times New Roman" w:cs="Times New Roman"/>
        </w:rPr>
        <w:t>,</w:t>
      </w:r>
      <w:r>
        <w:rPr>
          <w:rFonts w:ascii="Microsoft YaHei" w:hAnsi="Microsoft YaHei" w:eastAsia="Microsoft YaHei" w:cs="Microsoft YaHei"/>
        </w:rPr>
        <w:t>看耶和华对我说什么</w:t>
      </w:r>
      <w:r>
        <w:rPr>
          <w:rFonts w:ascii="Times New Roman" w:hAnsi="Times New Roman" w:eastAsia="Times New Roman" w:cs="Times New Roman"/>
        </w:rPr>
        <w:t>,</w:t>
      </w:r>
      <w:r>
        <w:rPr>
          <w:rFonts w:ascii="Microsoft YaHei" w:hAnsi="Microsoft YaHei" w:eastAsia="Microsoft YaHei" w:cs="Microsoft YaHei"/>
        </w:rPr>
        <w:t>我可用什么话向他诉冤</w:t>
      </w:r>
      <w:r>
        <w:rPr>
          <w:rFonts w:ascii="Times New Roman" w:hAnsi="Times New Roman" w:eastAsia="Times New Roman" w:cs="Times New Roman"/>
        </w:rPr>
        <w:t>.</w:t>
      </w:r>
      <w:r>
        <w:rPr>
          <w:rFonts w:ascii="Microsoft YaHei" w:hAnsi="Microsoft YaHei" w:eastAsia="Microsoft YaHei" w:cs="Microsoft YaHei"/>
        </w:rPr>
        <w:t>哈巴谷书</w:t>
      </w:r>
      <w:r>
        <w:rPr>
          <w:rFonts w:ascii="Times New Roman" w:hAnsi="Times New Roman" w:eastAsia="Times New Roman" w:cs="Times New Roman"/>
        </w:rPr>
        <w:t xml:space="preserve"> 2:1</w:t>
      </w:r>
    </w:p>
    <w:p>
      <w:pPr>
        <w:pStyle w:val="ArticleBody"/>
        <w:jc w:val="left"/>
      </w:pPr>
      <w:r>
        <w:rPr>
          <w:rFonts w:ascii="Times New Roman" w:hAnsi="Times New Roman" w:eastAsia="Times New Roman" w:cs="Times New Roman"/>
        </w:rPr>
        <w:t>Пач “reproved” значыць “папракнуты або той, з кім спрачаліся” і ўтрымлівае ў сабе пытанне, бо наступны верш дае адказ.</w:t>
      </w:r>
    </w:p>
    <w:p>
      <w:pPr>
        <w:pStyle w:val="ArticleScripture"/>
        <w:jc w:val="left"/>
      </w:pPr>
      <w:r>
        <w:rPr>
          <w:rFonts w:ascii="Times New Roman" w:hAnsi="Times New Roman" w:eastAsia="Times New Roman" w:cs="Times New Roman"/>
        </w:rPr>
        <w:t>Le Seigneur me répondit, et dit : Écris la vision, et grave-la clairement sur des tables, afin qu’on la lise couramment. Habacuc 2:2.</w:t>
      </w:r>
    </w:p>
    <w:p>
      <w:pPr>
        <w:pStyle w:val="ArticleBody"/>
        <w:jc w:val="left"/>
      </w:pPr>
      <w:r>
        <w:rPr>
          <w:rFonts w:ascii="Times New Roman" w:hAnsi="Times New Roman" w:eastAsia="Times New Roman" w:cs="Times New Roman"/>
        </w:rPr>
        <w:t>Ngakngaihna (“debate”) ahihlohlo in hnahthlakna (“shaking”) chu Millerite chanchinah a lo thleng a, chu chu William Miller leh a hrilhfiahnate hmang a zâwlnei hrilhfiahnate dânte, Protestant theologian-te nên inkalh tlatna thuchah a ni. Millerite chanchina inkalhna chu August 11, 1840-ah Millerite thuchah nemnghehna hmanga a ṭan a; chutah chuan “Isua Krista aia mi ropui lo deuh mah” a lo chhuk a, Johana’n a lâk a, a ei tûr lehkhabu tê a keng. Habakkuk-a vengtuho thu inkalh, Thomasa ringhlelna, 1888-a helna, Korah-a helna, Pentekos-ah zu inna nia an sawi thu inkalhna — heng zawng zawng hian 9/11-ah a ṭan tawh inkalhna pakhat an hriattîr a ni. Chumi thu inkalhna an sawi ziah chu hnûr hnahthlakna thuchah chungchâng a ni, chu chu 9/11-ah a theihthlâk hmasa ṭan tawh a ni.</w:t>
      </w:r>
    </w:p>
    <w:p>
      <w:pPr>
        <w:pStyle w:val="ArticleBody"/>
        <w:jc w:val="left"/>
      </w:pPr>
      <w:r>
        <w:rPr>
          <w:rFonts w:ascii="Microsoft Himalaya" w:hAnsi="Microsoft Himalaya" w:eastAsia="Microsoft Himalaya" w:cs="Microsoft Himalaya"/>
        </w:rPr>
        <w:t>ཧ་བ་ཀུག་ནང་གི་ལན་དེས་</w:t>
      </w:r>
      <w:r>
        <w:rPr>
          <w:rFonts w:ascii="Times New Roman" w:hAnsi="Times New Roman" w:eastAsia="Times New Roman" w:cs="Times New Roman"/>
        </w:rPr>
        <w:t xml:space="preserve">Millerites </w:t>
      </w:r>
      <w:r>
        <w:rPr>
          <w:rFonts w:ascii="Microsoft Himalaya" w:hAnsi="Microsoft Himalaya" w:eastAsia="Microsoft Himalaya" w:cs="Microsoft Himalaya"/>
        </w:rPr>
        <w:t>རྣམས་ཀྱིས་</w:t>
      </w:r>
      <w:r>
        <w:rPr>
          <w:rFonts w:ascii="Times New Roman" w:hAnsi="Times New Roman" w:eastAsia="Times New Roman" w:cs="Times New Roman"/>
        </w:rPr>
        <w:t xml:space="preserve">1843 chart </w:t>
      </w:r>
      <w:r>
        <w:rPr>
          <w:rFonts w:ascii="Microsoft Himalaya" w:hAnsi="Microsoft Himalaya" w:eastAsia="Microsoft Himalaya" w:cs="Microsoft Himalaya"/>
        </w:rPr>
        <w:t>བསྒྲིགས་པར་འགོད་པ་བྱས་པ་དེ་ནི།</w:t>
      </w:r>
      <w:r>
        <w:rPr>
          <w:rFonts w:ascii="Times New Roman" w:hAnsi="Times New Roman" w:eastAsia="Times New Roman" w:cs="Times New Roman"/>
        </w:rPr>
        <w:t xml:space="preserve"> </w:t>
      </w:r>
      <w:r>
        <w:rPr>
          <w:rFonts w:ascii="Microsoft Himalaya" w:hAnsi="Microsoft Himalaya" w:eastAsia="Microsoft Himalaya" w:cs="Microsoft Himalaya"/>
        </w:rPr>
        <w:t>མཆོད་པ་པོའི་རིགས་གཉིས་ཀྱི་རྒྱས་འཕེལ་དང་འབྲེལ་བ་ཡོད་པ་སྟེ།</w:t>
      </w:r>
      <w:r>
        <w:rPr>
          <w:rFonts w:ascii="Times New Roman" w:hAnsi="Times New Roman" w:eastAsia="Times New Roman" w:cs="Times New Roman"/>
        </w:rPr>
        <w:t xml:space="preserve"> Korah </w:t>
      </w:r>
      <w:r>
        <w:rPr>
          <w:rFonts w:ascii="Microsoft Himalaya" w:hAnsi="Microsoft Himalaya" w:eastAsia="Microsoft Himalaya" w:cs="Microsoft Himalaya"/>
        </w:rPr>
        <w:t>དང་ཁོའི་ལྷན་འཛོམས་པ་རྣམས་དང་</w:t>
      </w:r>
      <w:r>
        <w:rPr>
          <w:rFonts w:ascii="Times New Roman" w:hAnsi="Times New Roman" w:eastAsia="Times New Roman" w:cs="Times New Roman"/>
        </w:rPr>
        <w:t xml:space="preserve"> Moses </w:t>
      </w:r>
      <w:r>
        <w:rPr>
          <w:rFonts w:ascii="Microsoft Himalaya" w:hAnsi="Microsoft Himalaya" w:eastAsia="Microsoft Himalaya" w:cs="Microsoft Himalaya"/>
        </w:rPr>
        <w:t>བར་གྱི་ཁྱད་པར།</w:t>
      </w:r>
      <w:r>
        <w:rPr>
          <w:rFonts w:ascii="Times New Roman" w:hAnsi="Times New Roman" w:eastAsia="Times New Roman" w:cs="Times New Roman"/>
        </w:rPr>
        <w:t xml:space="preserve"> Thomas </w:t>
      </w:r>
      <w:r>
        <w:rPr>
          <w:rFonts w:ascii="Microsoft Himalaya" w:hAnsi="Microsoft Himalaya" w:eastAsia="Microsoft Himalaya" w:cs="Microsoft Himalaya"/>
        </w:rPr>
        <w:t>དང་སློབ་མ་གཞན་རྣམས་བར་གྱི་ཁྱད་པར།</w:t>
      </w:r>
      <w:r>
        <w:rPr>
          <w:rFonts w:ascii="Times New Roman" w:hAnsi="Times New Roman" w:eastAsia="Times New Roman" w:cs="Times New Roman"/>
        </w:rPr>
        <w:t xml:space="preserve"> Pentecost </w:t>
      </w:r>
      <w:r>
        <w:rPr>
          <w:rFonts w:ascii="Microsoft Himalaya" w:hAnsi="Microsoft Himalaya" w:eastAsia="Microsoft Himalaya" w:cs="Microsoft Himalaya"/>
        </w:rPr>
        <w:t>སྐབས་སུ་ཡིཧུ་ད་པ་རྣམས་ཀྱིས་ར་བཟི་བའི་རྩོད་གཞི་བཏོན་པ།</w:t>
      </w:r>
      <w:r>
        <w:rPr>
          <w:rFonts w:ascii="Times New Roman" w:hAnsi="Times New Roman" w:eastAsia="Times New Roman" w:cs="Times New Roman"/>
        </w:rPr>
        <w:t xml:space="preserve"> 1888 </w:t>
      </w:r>
      <w:r>
        <w:rPr>
          <w:rFonts w:ascii="Microsoft Himalaya" w:hAnsi="Microsoft Himalaya" w:eastAsia="Microsoft Himalaya" w:cs="Microsoft Himalaya"/>
        </w:rPr>
        <w:t>ལོའི་</w:t>
      </w:r>
      <w:r>
        <w:rPr>
          <w:rFonts w:ascii="Times New Roman" w:hAnsi="Times New Roman" w:eastAsia="Times New Roman" w:cs="Times New Roman"/>
        </w:rPr>
        <w:t xml:space="preserve">Adventism </w:t>
      </w:r>
      <w:r>
        <w:rPr>
          <w:rFonts w:ascii="Microsoft Himalaya" w:hAnsi="Microsoft Himalaya" w:eastAsia="Microsoft Himalaya" w:cs="Microsoft Himalaya"/>
        </w:rPr>
        <w:t>གྱི་འགོ་ཁྲིད།</w:t>
      </w:r>
      <w:r>
        <w:rPr>
          <w:rFonts w:ascii="Times New Roman" w:hAnsi="Times New Roman" w:eastAsia="Times New Roman" w:cs="Times New Roman"/>
        </w:rPr>
        <w:t xml:space="preserve"> 1844 </w:t>
      </w:r>
      <w:r>
        <w:rPr>
          <w:rFonts w:ascii="Microsoft Himalaya" w:hAnsi="Microsoft Himalaya" w:eastAsia="Microsoft Himalaya" w:cs="Microsoft Himalaya"/>
        </w:rPr>
        <w:t>ལོར་</w:t>
      </w:r>
      <w:r>
        <w:rPr>
          <w:rFonts w:ascii="Times New Roman" w:hAnsi="Times New Roman" w:eastAsia="Times New Roman" w:cs="Times New Roman"/>
        </w:rPr>
        <w:t xml:space="preserve">Protestants </w:t>
      </w:r>
      <w:r>
        <w:rPr>
          <w:rFonts w:ascii="Microsoft Himalaya" w:hAnsi="Microsoft Himalaya" w:eastAsia="Microsoft Himalaya" w:cs="Microsoft Himalaya"/>
        </w:rPr>
        <w:t>དང་</w:t>
      </w:r>
      <w:r>
        <w:rPr>
          <w:rFonts w:ascii="Times New Roman" w:hAnsi="Times New Roman" w:eastAsia="Times New Roman" w:cs="Times New Roman"/>
        </w:rPr>
        <w:t xml:space="preserve"> Millerites </w:t>
      </w:r>
      <w:r>
        <w:rPr>
          <w:rFonts w:ascii="Microsoft Himalaya" w:hAnsi="Microsoft Himalaya" w:eastAsia="Microsoft Himalaya" w:cs="Microsoft Himalaya"/>
        </w:rPr>
        <w:t>བར་གྱི་ཁྱད་པར།</w:t>
      </w:r>
      <w:r>
        <w:rPr>
          <w:rFonts w:ascii="Times New Roman" w:hAnsi="Times New Roman" w:eastAsia="Times New Roman" w:cs="Times New Roman"/>
        </w:rPr>
        <w:t xml:space="preserve"> </w:t>
      </w:r>
      <w:r>
        <w:rPr>
          <w:rFonts w:ascii="Microsoft Himalaya" w:hAnsi="Microsoft Himalaya" w:eastAsia="Microsoft Himalaya" w:cs="Microsoft Himalaya"/>
        </w:rPr>
        <w:t>དེ་བཞིན་</w:t>
      </w:r>
      <w:r>
        <w:rPr>
          <w:rFonts w:ascii="Times New Roman" w:hAnsi="Times New Roman" w:eastAsia="Times New Roman" w:cs="Times New Roman"/>
        </w:rPr>
        <w:t xml:space="preserve">1844 </w:t>
      </w:r>
      <w:r>
        <w:rPr>
          <w:rFonts w:ascii="Microsoft Himalaya" w:hAnsi="Microsoft Himalaya" w:eastAsia="Microsoft Himalaya" w:cs="Microsoft Himalaya"/>
        </w:rPr>
        <w:t>ལོའི་ཟླ་</w:t>
      </w:r>
      <w:r>
        <w:rPr>
          <w:rFonts w:ascii="Times New Roman" w:hAnsi="Times New Roman" w:eastAsia="Times New Roman" w:cs="Times New Roman"/>
        </w:rPr>
        <w:t xml:space="preserve">10 </w:t>
      </w:r>
      <w:r>
        <w:rPr>
          <w:rFonts w:ascii="Microsoft Himalaya" w:hAnsi="Microsoft Himalaya" w:eastAsia="Microsoft Himalaya" w:cs="Microsoft Himalaya"/>
        </w:rPr>
        <w:t>ཚེས་</w:t>
      </w:r>
      <w:r>
        <w:rPr>
          <w:rFonts w:ascii="Times New Roman" w:hAnsi="Times New Roman" w:eastAsia="Times New Roman" w:cs="Times New Roman"/>
        </w:rPr>
        <w:t xml:space="preserve">22 </w:t>
      </w:r>
      <w:r>
        <w:rPr>
          <w:rFonts w:ascii="Microsoft Himalaya" w:hAnsi="Microsoft Himalaya" w:eastAsia="Microsoft Himalaya" w:cs="Microsoft Himalaya"/>
        </w:rPr>
        <w:t>ཀྱི་བླུན་པོའི་ན་ཆུང་མ་དང་མཁས་པའི་ན་ཆུང་མ་རྣམས་ཀྱང་ཡིན།</w:t>
      </w:r>
    </w:p>
    <w:p>
      <w:pPr>
        <w:pStyle w:val="ArticleBody"/>
        <w:jc w:val="left"/>
      </w:pP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चेलामाथि</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आत्मालाई</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उण्डेलाइ</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थोपा</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सन्डे</w:t>
      </w:r>
      <w:r>
        <w:rPr>
          <w:rFonts w:ascii="Times New Roman" w:hAnsi="Times New Roman" w:eastAsia="Times New Roman" w:cs="Times New Roman"/>
        </w:rPr>
        <w:t xml:space="preserve"> </w:t>
      </w:r>
      <w:r>
        <w:rPr>
          <w:rFonts w:ascii="Nirmala UI" w:hAnsi="Nirmala UI" w:eastAsia="Nirmala UI" w:cs="Nirmala UI"/>
        </w:rPr>
        <w:t>कानूनको</w:t>
      </w:r>
      <w:r>
        <w:rPr>
          <w:rFonts w:ascii="Times New Roman" w:hAnsi="Times New Roman" w:eastAsia="Times New Roman" w:cs="Times New Roman"/>
        </w:rPr>
        <w:t xml:space="preserve"> </w:t>
      </w:r>
      <w:r>
        <w:rPr>
          <w:rFonts w:ascii="Nirmala UI" w:hAnsi="Nirmala UI" w:eastAsia="Nirmala UI" w:cs="Nirmala UI"/>
        </w:rPr>
        <w:t>समयभन्दा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फुकिदिनुभयो।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समझलाई</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सन्देशतर्फ</w:t>
      </w:r>
      <w:r>
        <w:rPr>
          <w:rFonts w:ascii="Times New Roman" w:hAnsi="Times New Roman" w:eastAsia="Times New Roman" w:cs="Times New Roman"/>
        </w:rPr>
        <w:t xml:space="preserve"> </w:t>
      </w:r>
      <w:r>
        <w:rPr>
          <w:rFonts w:ascii="Nirmala UI" w:hAnsi="Nirmala UI" w:eastAsia="Nirmala UI" w:cs="Nirmala UI"/>
        </w:rPr>
        <w:t>खोलिदिनुभयो</w:t>
      </w:r>
      <w:r>
        <w:rPr>
          <w:rFonts w:ascii="Times New Roman" w:hAnsi="Times New Roman" w:eastAsia="Times New Roman" w:cs="Times New Roman"/>
        </w:rPr>
        <w:t>, “</w:t>
      </w:r>
      <w:r>
        <w:rPr>
          <w:rFonts w:ascii="Nirmala UI" w:hAnsi="Nirmala UI" w:eastAsia="Nirmala UI" w:cs="Nirmala UI"/>
        </w:rPr>
        <w:t>पङ्क्तिमाथि</w:t>
      </w:r>
      <w:r>
        <w:rPr>
          <w:rFonts w:ascii="Times New Roman" w:hAnsi="Times New Roman" w:eastAsia="Times New Roman" w:cs="Times New Roman"/>
        </w:rPr>
        <w:t xml:space="preserve"> </w:t>
      </w:r>
      <w:r>
        <w:rPr>
          <w:rFonts w:ascii="Nirmala UI" w:hAnsi="Nirmala UI" w:eastAsia="Nirmala UI" w:cs="Nirmala UI"/>
        </w:rPr>
        <w:t>पङ्क्ति</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मोशादेखि</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चेलाहरूलाई</w:t>
      </w:r>
      <w:r>
        <w:rPr>
          <w:rFonts w:ascii="Times New Roman" w:hAnsi="Times New Roman" w:eastAsia="Times New Roman" w:cs="Times New Roman"/>
        </w:rPr>
        <w:t xml:space="preserve"> </w:t>
      </w:r>
      <w:r>
        <w:rPr>
          <w:rFonts w:ascii="Nirmala UI" w:hAnsi="Nirmala UI" w:eastAsia="Nirmala UI" w:cs="Nirmala UI"/>
        </w:rPr>
        <w:t>यर्मियाका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मार्गहरूतर्फ</w:t>
      </w:r>
      <w:r>
        <w:rPr>
          <w:rFonts w:ascii="Times New Roman" w:hAnsi="Times New Roman" w:eastAsia="Times New Roman" w:cs="Times New Roman"/>
        </w:rPr>
        <w:t xml:space="preserve"> </w:t>
      </w:r>
      <w:r>
        <w:rPr>
          <w:rFonts w:ascii="Nirmala UI" w:hAnsi="Nirmala UI" w:eastAsia="Nirmala UI" w:cs="Nirmala UI"/>
        </w:rPr>
        <w:t>फिर्ता</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याएर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फुक्न</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यूहन्नाका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वायुदेखि</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कम्पन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अबीरामको</w:t>
      </w:r>
      <w:r>
        <w:rPr>
          <w:rFonts w:ascii="Times New Roman" w:hAnsi="Times New Roman" w:eastAsia="Times New Roman" w:cs="Times New Roman"/>
        </w:rPr>
        <w:t xml:space="preserve"> </w:t>
      </w:r>
      <w:r>
        <w:rPr>
          <w:rFonts w:ascii="Nirmala UI" w:hAnsi="Nirmala UI" w:eastAsia="Nirmala UI" w:cs="Nirmala UI"/>
        </w:rPr>
        <w:t>विद्रोहको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पहरेदारहरू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तुरहीलाई</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ध्वनि</w:t>
      </w:r>
      <w:r>
        <w:rPr>
          <w:rFonts w:ascii="Times New Roman" w:hAnsi="Times New Roman" w:eastAsia="Times New Roman" w:cs="Times New Roman"/>
        </w:rPr>
        <w:t xml:space="preserve"> </w:t>
      </w:r>
      <w:r>
        <w:rPr>
          <w:rFonts w:ascii="Nirmala UI" w:hAnsi="Nirmala UI" w:eastAsia="Nirmala UI" w:cs="Nirmala UI"/>
        </w:rPr>
        <w:t>दिइरहेका</w:t>
      </w:r>
      <w:r>
        <w:rPr>
          <w:rFonts w:ascii="Times New Roman" w:hAnsi="Times New Roman" w:eastAsia="Times New Roman" w:cs="Times New Roman"/>
        </w:rPr>
        <w:t xml:space="preserve"> </w:t>
      </w:r>
      <w:r>
        <w:rPr>
          <w:rFonts w:ascii="Nirmala UI" w:hAnsi="Nirmala UI" w:eastAsia="Nirmala UI" w:cs="Nirmala UI"/>
        </w:rPr>
        <w:t>थिए।</w:t>
      </w:r>
    </w:p>
    <w:p>
      <w:pPr>
        <w:pStyle w:val="ArticleBody"/>
        <w:jc w:val="left"/>
      </w:pPr>
      <w:r>
        <w:rPr>
          <w:rFonts w:ascii="Times New Roman" w:hAnsi="Times New Roman" w:eastAsia="Times New Roman" w:cs="Times New Roman"/>
        </w:rPr>
        <w:t>Saudari White menulis bahwa “penggoncangan yang telah kulihat” “akan disebabkan oleh kesaksian yang terus terang yang dibangkitkan oleh nasihat Saksi Yang Benar kepada jemaat Laodikia.” Pekabaran tahun 1888 itulah kesaksian yang terus terang itu, dan baik 1888 maupun 9/11 menandai turunnya malaikat dalam Wahyu delapan belas.</w:t>
      </w:r>
    </w:p>
    <w:p>
      <w:pPr>
        <w:pStyle w:val="ArticleScripture"/>
        <w:jc w:val="left"/>
      </w:pPr>
      <w:r>
        <w:rPr>
          <w:rFonts w:ascii="Times New Roman" w:hAnsi="Times New Roman" w:eastAsia="Times New Roman" w:cs="Times New Roman"/>
        </w:rPr>
        <w:t>«Un témoignage direct doit être rendu à nos Églises et à nos institutions, afin de réveiller ceux qui dorment.»</w:t>
      </w:r>
    </w:p>
    <w:p>
      <w:pPr>
        <w:pStyle w:val="ArticleScripture"/>
        <w:jc w:val="left"/>
      </w:pPr>
      <w:r>
        <w:rPr>
          <w:rFonts w:ascii="Times New Roman" w:hAnsi="Times New Roman" w:eastAsia="Times New Roman" w:cs="Times New Roman"/>
        </w:rPr>
        <w:t>«Когда Слову Господню верят и повинуются, будет совершаться неуклонное продвижение вперёд. Ныне увидим нашу великую нужду. Господь не может употребить нас, пока не вдохнёт жизнь в сухие кости. Я слышала произнесённые слова: “Без глубокого воздействия Духа Божия на сердце, без Его животворного влияния истина становится мёртвой буквой”». Review and Herald, November 18, 1902.</w:t>
      </w:r>
    </w:p>
    <w:p>
      <w:pPr>
        <w:pStyle w:val="ArticleBody"/>
        <w:jc w:val="left"/>
      </w:pPr>
      <w:r>
        <w:rPr>
          <w:rFonts w:ascii="Times New Roman" w:hAnsi="Times New Roman" w:eastAsia="Times New Roman" w:cs="Times New Roman"/>
        </w:rPr>
        <w:t>À la date du 11 septembre, le message à Laodicée parvint à son accomplissement parfait, lorsque le dernier appel adressé à l’ancien peuple de l’alliance de Dieu commença à retentir. C’est alors que Sœur White remarque : « Un témoignage direct doit être rendu à nos églises et à nos institutions, afin de réveiller ceux qui dorment. » Le message à Laodicée commença lorsque l’ange d’Apocalypse dix-huit descendit le 11 septembre, ce qui signifie qu’au 11 septembre, le message adressé aux Adventistes du Septième Jour laodicéens était et demeure : « Réveillez-vous. » Joël ordonna aux ivrognes de se réveiller au verset cinq du chapitre premier. Le 11 septembre marque l’arrivée de la période finale d’épreuve pour l’adventisme, et il représente l’ordre de Joël de se réveiller. Le commencement de la saison pentecostale débute par un réveil du peuple de Dieu au 11 septembre et s’achève avec l’accomplissement de la parabole des dix vierges, juste avant la loi du dimanche.</w:t>
      </w:r>
    </w:p>
    <w:p>
      <w:pPr>
        <w:pStyle w:val="ArticleBody"/>
        <w:jc w:val="left"/>
      </w:pPr>
      <w:r>
        <w:rPr>
          <w:rFonts w:ascii="Times New Roman" w:hAnsi="Times New Roman" w:eastAsia="Times New Roman" w:cs="Times New Roman"/>
        </w:rPr>
        <w:t>Pada 9/11, kebangkitan itu merupakan panggilan kepada generasi terakhir dari suatu umat perjanjian yang berada dalam kemurtadan. Kebangkitan yang terjadi tepat sebelum undang-undang hari Minggu menutup pintu bagi umat perjanjian yang terdahulu. Permulaan dan pengakhiran adalah sama, dan pada bulan Juli 2023 dua saksi dalam Wahyu pasal sebelas dibangunkan kepada pemberontakan dari prediksi tanggal 18 Juli 2020. Kebangkitan yang di tengah dilambangkan oleh pemberontakan, yang menandai 9/11 sebagai huruf pertama dari alfabet Ibrani, 18 Juli 2020 sebagai huruf ketiga belas, dan undang-undang hari Minggu sebagai huruf kedua puluh dua dan huruf terakhir dari alfabet Ibrani. Huruf kedua puluh dua melambangkan perpaduan keilahian dengan kemanusiaan yang disempurnakan pada kebangkitan yang terakhir dari ketiga kebangkitan itu.</w:t>
      </w:r>
    </w:p>
    <w:p>
      <w:pPr>
        <w:pStyle w:val="ArticleBody"/>
        <w:jc w:val="left"/>
      </w:pPr>
      <w:r>
        <w:rPr>
          <w:rFonts w:ascii="Times New Roman" w:hAnsi="Times New Roman" w:eastAsia="Times New Roman" w:cs="Times New Roman"/>
        </w:rPr>
        <w:t>Seigneur « souffle la vie dans les ossements desséchés » au 11/9, tout comme Il souffla le Saint-Esprit sur les disciples au commencement de la période pentecôtiste. Les disciples, après Son ascension, représentent ceux qui reçurent le Saint-Esprit et dont, par la suite, l’intelligence de la Parole prophétique fut ouverte par la méthodologie du « précepte sur précepte ». La réception du Saint-Esprit eut lieu pendant un repas, car manger spirituellement exige que vous mangiez la chair et buviez le sang de Jésus, qui est la Parole.</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हिलाए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पुनर्जागरण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उद्घोषित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1863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बाईस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तराइयाँ</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यहोशापात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Ngale mibono seyibekiwe, umbuzo ungabuzwa uthi: kwenzeka kanjani ukuthi ngo-9/11 incwadi kaJoweli ibe ngumlayezo uPetru awukhomba ngePhentekoste? Sizozama ukucacisa le mibono ezihlokweni ezilandelayo.</w:t>
      </w:r>
    </w:p>
    <w:p>
      <w:pPr>
        <w:pStyle w:val="ArticleScripture"/>
        <w:jc w:val="left"/>
      </w:pPr>
      <w:r>
        <w:rPr>
          <w:rFonts w:ascii="Times New Roman" w:hAnsi="Times New Roman" w:eastAsia="Times New Roman" w:cs="Times New Roman"/>
        </w:rPr>
        <w:t>«(Écrit le 5 novembre 1892, depuis Adelaide, Australie-Méridionale, à “Cher Neveu et Chère Nièce, Frank et Hattie [Belden].”)»</w:t>
      </w:r>
    </w:p>
    <w:p>
      <w:pPr>
        <w:pStyle w:val="ArticleScripture"/>
        <w:jc w:val="left"/>
      </w:pPr>
      <w:r>
        <w:rPr>
          <w:rFonts w:ascii="Times New Roman" w:hAnsi="Times New Roman" w:eastAsia="Times New Roman" w:cs="Times New Roman"/>
        </w:rPr>
        <w:t>«Ao seres iluminado pelo Espírito Santo, verás toda aquela maldade em Minneapolis tal como ela é, tal como Deus a contempla. Se eu nunca mais te vir neste mundo, fica certo de que te perdoo a tristeza, a angústia e o peso de alma que, sem causa alguma, trouxeste sobre mim. Mas, por amor da tua alma, por amor dAquele que morreu por ti, quero que vejas e confesses os teus erros. Tu te uniste aos que resistiram ao Espírito de Deus. Tinhas toda a evidência de que necessitavas de que o Senhor estava operando por meio dos irmãos Jones e Waggoner; mas não recebeste a luz; e, depois dos sentimentos alimentados e das palavras proferidas contra a verdade, não te sentiste pronto a confessar que havias procedido mal, que esses homens tinham uma mensagem de Deus, e que havias feito pouco caso tanto da mensagem como dos mensageiros.»</w:t>
      </w:r>
    </w:p>
    <w:p>
      <w:pPr>
        <w:pStyle w:val="ArticleScripture"/>
        <w:jc w:val="left"/>
      </w:pPr>
      <w:r>
        <w:rPr>
          <w:rFonts w:ascii="Times New Roman" w:hAnsi="Times New Roman" w:eastAsia="Times New Roman" w:cs="Times New Roman"/>
        </w:rPr>
        <w:t>“Jamais auparavant je n’avais vu parmi notre peuple une complaisance de soi aussi ferme et une telle répugnance à accepter et à reconnaître la lumière que celle qui s’est manifestée à Minneapolis. Il m’a été montré qu’aucun de ceux qui chérissaient l’esprit manifesté lors de cette réunion ne recevrait de nouveau une claire lumière pour discerner la valeur précieuse de la vérité qui leur était envoyée du ciel, jusqu’à ce qu’ils eussent humilié leur orgueil et confessé qu’ils n’étaient pas animés par l’Esprit de Dieu, mais que leurs pensées et leurs cœurs étaient remplis de préjugés. Le Seigneur désirait s’approcher d’eux, les bénir et les guérir de leurs égarements, mais ils n’ont pas voulu écouter. Ils étaient animés du même esprit qui inspira Koré, Dathan et Abiram. Ces hommes d’Israël étaient résolus à résister à toute évidence qui prouverait qu’ils avaient tort, et ils persévérèrent encore et encore dans leur voie de désaffection, jusqu’à ce que beaucoup fussent entraînés à se joindre à eux.”</w:t>
      </w:r>
    </w:p>
    <w:p>
      <w:pPr>
        <w:pStyle w:val="ArticleScripture"/>
        <w:jc w:val="left"/>
      </w:pPr>
      <w:r>
        <w:rPr>
          <w:rFonts w:ascii="Times New Roman" w:hAnsi="Times New Roman" w:eastAsia="Times New Roman" w:cs="Times New Roman"/>
        </w:rPr>
        <w:t>« Ceux-ci, qui étaient-ils ? Non pas des faibles, non pas des ignorants, non pas des hommes dépourvus de lumière. Dans cette rébellion, il y avait deux cent cinquante princes, des hommes de renom, considérés dans l’assemblée. Quel était leur témoignage ? “Toute l’assemblée, eux tous, sont saints, et l’Éternel est au milieu d’eux : pourquoi donc vous élevez-vous au-dessus de l’assemblée de l’Éternel ?” [Nombres 16:3]. Lorsque Koré et ses compagnons périrent sous le jugement de Dieu, le peuple qu’ils avaient séduit ne vit pas la main du Seigneur dans ce miracle. Le lendemain matin, toute l’assemblée accusa Moïse et Aaron en disant : “Vous avez fait mourir le peuple de l’Éternel” [verset 41] ; alors la plaie frappa l’assemblée, et plus de quatorze mille périrent. »</w:t>
      </w:r>
    </w:p>
    <w:p>
      <w:pPr>
        <w:pStyle w:val="ArticleScripture"/>
        <w:jc w:val="left"/>
      </w:pPr>
      <w:r>
        <w:rPr>
          <w:rFonts w:ascii="Times New Roman" w:hAnsi="Times New Roman" w:eastAsia="Times New Roman" w:cs="Times New Roman"/>
        </w:rPr>
        <w:t>«Вақте ки ман тасмим гирифтам аз Миннеаполис равам, фариштаи Худованд назди ман истода, гуфт: “Не, чунин нашавад; Худо барои ту дар ин ҷо коре дорад, ки бояд анҷом диҳӣ. Ин мардум боз ҳамон исёни Қӯраҳ, Дотон ва Абиромро такрор мекунанд. Ман туро дар мавқеи дурусти ту қарор додаам, ки онеро, ки дар нур нестанд, эътироф нахоҳанд кард; онҳо ба шаҳодати ту гӯш нахоҳанд дод; аммо Ман бо ту хоҳам буд; файз ва қудрати Ман туро қувват хоҳад дод. Ин туро нест, ки онҳо хор мешуморанд, балки фиристодагон ва паёмеро, ки Ман ба қавми Худ мефиристам. Онҳо ба каломи Худованд беэҳтиромӣ зоҳир кардаанд. Шайтон чашмони онҳоро кӯр кардааст ва доварии онҳоро каҷ гардонидааст; ва агар ҳар ҷон аз ин гуноҳи худ, аз ин истиқлолияти тақдисношудае, ки ба Рӯҳи Худо таҳқир мерасонад, тавба накунад, онҳо дар торикӣ роҳ хоҳанд рафт. Ман чароғдонро аз ҷояш бармедорам, агар тавба накунанд ва бозгашт нанамоянд, то онҳоро шифо диҳам. Онҳо чашми рӯҳонии худро тира кардаанд. Онҳо намехоҳанд, ки Худо Рӯҳи Худ ва қудрати Худро зоҳир намояд; зеро нисбат ба каломи Ман рӯҳи истеҳзо ва нафрат доранд. Сабукфикрӣ, беҳудагӯӣ, масхарабозӣ ва шӯхӣ ҳар рӯз роиҷ аст. Онҳо дилҳои худро барои ҷустани Ман қарор надодаанд. Онҳо дар шарораҳои оташе, ки худашон афрӯхтаанд, роҳ мераванд, ва агар тавба накунанд, дар андӯҳ хоҳанд хобид. Худованд чунин мегӯяд: Дар мақоми вазифаи худ биист; зеро Ман бо ту ҳастам, ва туро тарк нахоҳам кард ва вогузор нахоҳам намуд.” Ин суханонро, ки аз ҷониби Худо буданд, ман ҷуръат накардам, ки нодида гирам.»</w:t>
      </w:r>
    </w:p>
    <w:p>
      <w:pPr>
        <w:pStyle w:val="ArticleScripture"/>
        <w:jc w:val="left"/>
      </w:pPr>
      <w:r>
        <w:rPr>
          <w:rFonts w:ascii="Times New Roman" w:hAnsi="Times New Roman" w:eastAsia="Times New Roman" w:cs="Times New Roman"/>
        </w:rPr>
        <w:t>“Nuru imekuwa ikiangaza katika Battle Creek kwa miale iliyo wazi na yenye kung’aa; lakini ni nani miongoni mwa wale waliokuwa na sehemu katika mkutano wa Minneapolis aliyeijia nuru na kupokea hazina nyingi za kweli ambazo Bwana aliwatumia kutoka mbinguni? Ni nani waliokwenda hatua kwa hatua pamoja na Kiongozi, Yesu Kristo? Ni nani waliofanya ungamo kamili la juhudi yao iliyopotoka, upofu wao, wivu wao na tuhuma zao mbaya, ukaidi wao dhidi ya kweli? Hakuna hata mmoja; na kwa sababu ya kupuuza kwao kwa muda mrefu kuikubali nuru, imewaacha nyuma sana; hawajakuwa wakikua katika neema na katika kumjua Kristo Yesu Bwana wetu. Wameshindwa kuipokea neema iliyohitajika ambayo wangeweza kuwa nayo, na ambayo ingewafanya kuwa watu hodari katika uzoefu wa kidini.”</w:t>
      </w:r>
    </w:p>
    <w:p>
      <w:pPr>
        <w:pStyle w:val="ArticleScripture"/>
        <w:jc w:val="left"/>
      </w:pPr>
      <w:r>
        <w:rPr>
          <w:rFonts w:ascii="Leelawadee UI" w:hAnsi="Leelawadee UI" w:eastAsia="Leelawadee UI" w:cs="Leelawadee UI"/>
        </w:rPr>
        <w:t>ចំណុចឈរដែលបានយកនៅទីក្រុង</w:t>
      </w:r>
      <w:r>
        <w:rPr>
          <w:rFonts w:ascii="Times New Roman" w:hAnsi="Times New Roman" w:eastAsia="Times New Roman" w:cs="Times New Roman"/>
        </w:rPr>
        <w:t xml:space="preserve"> Minneapolis </w:t>
      </w:r>
      <w:r>
        <w:rPr>
          <w:rFonts w:ascii="Leelawadee UI" w:hAnsi="Leelawadee UI" w:eastAsia="Leelawadee UI" w:cs="Leelawadee UI"/>
        </w:rPr>
        <w:t>ហាក់ដូចជាជាឧបសគ្គមួយដែលមិនអាចឆ្លងកាត់បាន</w:t>
      </w:r>
      <w:r>
        <w:rPr>
          <w:rFonts w:ascii="Times New Roman" w:hAnsi="Times New Roman" w:eastAsia="Times New Roman" w:cs="Times New Roman"/>
        </w:rPr>
        <w:t xml:space="preserve"> </w:t>
      </w:r>
      <w:r>
        <w:rPr>
          <w:rFonts w:ascii="Leelawadee UI" w:hAnsi="Leelawadee UI" w:eastAsia="Leelawadee UI" w:cs="Leelawadee UI"/>
        </w:rPr>
        <w:t>ហើយក្នុងកម្រិតយ៉ាងធំបានបិទពួកគេឲ្យស្ថិតនៅជាមួយនឹងអ្នកសង្ស័យ</w:t>
      </w:r>
      <w:r>
        <w:rPr>
          <w:rFonts w:ascii="Times New Roman" w:hAnsi="Times New Roman" w:eastAsia="Times New Roman" w:cs="Times New Roman"/>
        </w:rPr>
        <w:t xml:space="preserve"> </w:t>
      </w:r>
      <w:r>
        <w:rPr>
          <w:rFonts w:ascii="Leelawadee UI" w:hAnsi="Leelawadee UI" w:eastAsia="Leelawadee UI" w:cs="Leelawadee UI"/>
        </w:rPr>
        <w:t>អ្នកសួរចម្លើយ</w:t>
      </w:r>
      <w:r>
        <w:rPr>
          <w:rFonts w:ascii="Times New Roman" w:hAnsi="Times New Roman" w:eastAsia="Times New Roman" w:cs="Times New Roman"/>
        </w:rPr>
        <w:t xml:space="preserve"> </w:t>
      </w:r>
      <w:r>
        <w:rPr>
          <w:rFonts w:ascii="Leelawadee UI" w:hAnsi="Leelawadee UI" w:eastAsia="Leelawadee UI" w:cs="Leelawadee UI"/>
        </w:rPr>
        <w:t>ជាមួយនឹងអ្នកបដិសេធសេចក្តីពិត</w:t>
      </w:r>
      <w:r>
        <w:rPr>
          <w:rFonts w:ascii="Times New Roman" w:hAnsi="Times New Roman" w:eastAsia="Times New Roman" w:cs="Times New Roman"/>
        </w:rPr>
        <w:t xml:space="preserve"> </w:t>
      </w:r>
      <w:r>
        <w:rPr>
          <w:rFonts w:ascii="Leelawadee UI" w:hAnsi="Leelawadee UI" w:eastAsia="Leelawadee UI" w:cs="Leelawadee UI"/>
        </w:rPr>
        <w:t>និងអំណាចរបស់ព្រះ។</w:t>
      </w:r>
      <w:r>
        <w:rPr>
          <w:rFonts w:ascii="Times New Roman" w:hAnsi="Times New Roman" w:eastAsia="Times New Roman" w:cs="Times New Roman"/>
        </w:rPr>
        <w:t xml:space="preserve"> </w:t>
      </w:r>
      <w:r>
        <w:rPr>
          <w:rFonts w:ascii="Leelawadee UI" w:hAnsi="Leelawadee UI" w:eastAsia="Leelawadee UI" w:cs="Leelawadee UI"/>
        </w:rPr>
        <w:t>នៅពេលវិបត្តិមួយទៀតមកដល់</w:t>
      </w:r>
      <w:r>
        <w:rPr>
          <w:rFonts w:ascii="Times New Roman" w:hAnsi="Times New Roman" w:eastAsia="Times New Roman" w:cs="Times New Roman"/>
        </w:rPr>
        <w:t xml:space="preserve"> </w:t>
      </w:r>
      <w:r>
        <w:rPr>
          <w:rFonts w:ascii="Leelawadee UI" w:hAnsi="Leelawadee UI" w:eastAsia="Leelawadee UI" w:cs="Leelawadee UI"/>
        </w:rPr>
        <w:t>អ្នកដែលបានតស៊ូប្រឆាំងនឹងភស្តុតាងដែលបានបន្ថែមលើភស្តុតាងអស់រយៈពេលយូរនោះ</w:t>
      </w:r>
      <w:r>
        <w:rPr>
          <w:rFonts w:ascii="Times New Roman" w:hAnsi="Times New Roman" w:eastAsia="Times New Roman" w:cs="Times New Roman"/>
        </w:rPr>
        <w:t xml:space="preserve"> </w:t>
      </w:r>
      <w:r>
        <w:rPr>
          <w:rFonts w:ascii="Leelawadee UI" w:hAnsi="Leelawadee UI" w:eastAsia="Leelawadee UI" w:cs="Leelawadee UI"/>
        </w:rPr>
        <w:t>នឹងត្រូវបានសាកល្បងម្ដងទៀតលើចំណុចដែលពួកគេបានបរាជ័យយ៉ាងច្បាស់លាស់</w:t>
      </w:r>
      <w:r>
        <w:rPr>
          <w:rFonts w:ascii="Times New Roman" w:hAnsi="Times New Roman" w:eastAsia="Times New Roman" w:cs="Times New Roman"/>
        </w:rPr>
        <w:t xml:space="preserve"> </w:t>
      </w:r>
      <w:r>
        <w:rPr>
          <w:rFonts w:ascii="Leelawadee UI" w:hAnsi="Leelawadee UI" w:eastAsia="Leelawadee UI" w:cs="Leelawadee UI"/>
        </w:rPr>
        <w:t>ហើយវានឹងពិបាកសម្រាប់ពួកគេក្នុងការទទួលយកអ្វីដែលមកពីព្រះ</w:t>
      </w:r>
      <w:r>
        <w:rPr>
          <w:rFonts w:ascii="Times New Roman" w:hAnsi="Times New Roman" w:eastAsia="Times New Roman" w:cs="Times New Roman"/>
        </w:rPr>
        <w:t xml:space="preserve"> </w:t>
      </w:r>
      <w:r>
        <w:rPr>
          <w:rFonts w:ascii="Leelawadee UI" w:hAnsi="Leelawadee UI" w:eastAsia="Leelawadee UI" w:cs="Leelawadee UI"/>
        </w:rPr>
        <w:t>ហើយបដិសេធអ្វីដែលមកពីអំណាចនៃសេចក្តីងងឹត។</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ផ្លូវដ៏មានសុវត្ថិភាពតែមួយរបស់ពួកគេ</w:t>
      </w:r>
      <w:r>
        <w:rPr>
          <w:rFonts w:ascii="Times New Roman" w:hAnsi="Times New Roman" w:eastAsia="Times New Roman" w:cs="Times New Roman"/>
        </w:rPr>
        <w:t xml:space="preserve"> </w:t>
      </w:r>
      <w:r>
        <w:rPr>
          <w:rFonts w:ascii="Leelawadee UI" w:hAnsi="Leelawadee UI" w:eastAsia="Leelawadee UI" w:cs="Leelawadee UI"/>
        </w:rPr>
        <w:t>គឺត្រូវដើរដោយសេចក្តីរាបទាប</w:t>
      </w:r>
      <w:r>
        <w:rPr>
          <w:rFonts w:ascii="Times New Roman" w:hAnsi="Times New Roman" w:eastAsia="Times New Roman" w:cs="Times New Roman"/>
        </w:rPr>
        <w:t xml:space="preserve"> </w:t>
      </w:r>
      <w:r>
        <w:rPr>
          <w:rFonts w:ascii="Leelawadee UI" w:hAnsi="Leelawadee UI" w:eastAsia="Leelawadee UI" w:cs="Leelawadee UI"/>
        </w:rPr>
        <w:t>បង្កើតផ្លូវត្រង់សម្រាប់ជើងរបស់ខ្លួន</w:t>
      </w:r>
      <w:r>
        <w:rPr>
          <w:rFonts w:ascii="Times New Roman" w:hAnsi="Times New Roman" w:eastAsia="Times New Roman" w:cs="Times New Roman"/>
        </w:rPr>
        <w:t xml:space="preserve"> </w:t>
      </w:r>
      <w:r>
        <w:rPr>
          <w:rFonts w:ascii="Leelawadee UI" w:hAnsi="Leelawadee UI" w:eastAsia="Leelawadee UI" w:cs="Leelawadee UI"/>
        </w:rPr>
        <w:t>កុំឲ្យអ្នកខ្វិនត្រូវបានបង្វែរចេញពីផ្លូវ។</w:t>
      </w:r>
      <w:r>
        <w:rPr>
          <w:rFonts w:ascii="Times New Roman" w:hAnsi="Times New Roman" w:eastAsia="Times New Roman" w:cs="Times New Roman"/>
        </w:rPr>
        <w:t xml:space="preserve"> </w:t>
      </w:r>
      <w:r>
        <w:rPr>
          <w:rFonts w:ascii="Leelawadee UI" w:hAnsi="Leelawadee UI" w:eastAsia="Leelawadee UI" w:cs="Leelawadee UI"/>
        </w:rPr>
        <w:t>វាធ្វើឲ្យមានភាពខុសគ្នាទាំងស្រុងថា</w:t>
      </w:r>
      <w:r>
        <w:rPr>
          <w:rFonts w:ascii="Times New Roman" w:hAnsi="Times New Roman" w:eastAsia="Times New Roman" w:cs="Times New Roman"/>
        </w:rPr>
        <w:t xml:space="preserve"> </w:t>
      </w:r>
      <w:r>
        <w:rPr>
          <w:rFonts w:ascii="Leelawadee UI" w:hAnsi="Leelawadee UI" w:eastAsia="Leelawadee UI" w:cs="Leelawadee UI"/>
        </w:rPr>
        <w:t>យើងសេពគប់ជាមួយនរណា</w:t>
      </w:r>
      <w:r>
        <w:rPr>
          <w:rFonts w:ascii="Times New Roman" w:hAnsi="Times New Roman" w:eastAsia="Times New Roman" w:cs="Times New Roman"/>
        </w:rPr>
        <w:t xml:space="preserve"> </w:t>
      </w:r>
      <w:r>
        <w:rPr>
          <w:rFonts w:ascii="Leelawadee UI" w:hAnsi="Leelawadee UI" w:eastAsia="Leelawadee UI" w:cs="Leelawadee UI"/>
        </w:rPr>
        <w:t>ថាតើជាមួយមនុស្សដែលដើរជាមួយព្រះ</w:t>
      </w:r>
      <w:r>
        <w:rPr>
          <w:rFonts w:ascii="Times New Roman" w:hAnsi="Times New Roman" w:eastAsia="Times New Roman" w:cs="Times New Roman"/>
        </w:rPr>
        <w:t xml:space="preserve"> </w:t>
      </w:r>
      <w:r>
        <w:rPr>
          <w:rFonts w:ascii="Leelawadee UI" w:hAnsi="Leelawadee UI" w:eastAsia="Leelawadee UI" w:cs="Leelawadee UI"/>
        </w:rPr>
        <w:t>ហើយជឿ</w:t>
      </w:r>
      <w:r>
        <w:rPr>
          <w:rFonts w:ascii="Times New Roman" w:hAnsi="Times New Roman" w:eastAsia="Times New Roman" w:cs="Times New Roman"/>
        </w:rPr>
        <w:t xml:space="preserve"> </w:t>
      </w:r>
      <w:r>
        <w:rPr>
          <w:rFonts w:ascii="Leelawadee UI" w:hAnsi="Leelawadee UI" w:eastAsia="Leelawadee UI" w:cs="Leelawadee UI"/>
        </w:rPr>
        <w:t>និងទុកចិត្តលើទ្រង់</w:t>
      </w:r>
      <w:r>
        <w:rPr>
          <w:rFonts w:ascii="Times New Roman" w:hAnsi="Times New Roman" w:eastAsia="Times New Roman" w:cs="Times New Roman"/>
        </w:rPr>
        <w:t xml:space="preserve"> </w:t>
      </w:r>
      <w:r>
        <w:rPr>
          <w:rFonts w:ascii="Leelawadee UI" w:hAnsi="Leelawadee UI" w:eastAsia="Leelawadee UI" w:cs="Leelawadee UI"/>
        </w:rPr>
        <w:t>ឬជាមួយមនុស្សដែលដើរតាមប្រាជ្ញាដែលខ្លួនសន្មតថាមាន</w:t>
      </w:r>
      <w:r>
        <w:rPr>
          <w:rFonts w:ascii="Times New Roman" w:hAnsi="Times New Roman" w:eastAsia="Times New Roman" w:cs="Times New Roman"/>
        </w:rPr>
        <w:t xml:space="preserve"> </w:t>
      </w:r>
      <w:r>
        <w:rPr>
          <w:rFonts w:ascii="Leelawadee UI" w:hAnsi="Leelawadee UI" w:eastAsia="Leelawadee UI" w:cs="Leelawadee UI"/>
        </w:rPr>
        <w:t>ដោយដើរនៅក្នុងផ្កាភ្លើងនៃភ្លើងដែលខ្លួនបានបង្កើតឡើង។</w:t>
      </w:r>
    </w:p>
    <w:p>
      <w:pPr>
        <w:pStyle w:val="ArticleScripture"/>
        <w:jc w:val="left"/>
      </w:pPr>
      <w:r>
        <w:rPr>
          <w:rFonts w:ascii="Times New Roman" w:hAnsi="Times New Roman" w:eastAsia="Times New Roman" w:cs="Times New Roman"/>
        </w:rPr>
        <w:t>“Wakati na uangalifu na kazi uliotakiwa ili kukabiliana na ushawishi wa wale waliofanya kazi kinyume na kweli umekuwa hasara ya kutisha; kwa maana tungalikuwa miaka kadhaa mbele katika maarifa ya kiroho; na nafsi nyingi sana zingalikuwa zimeongezwa kanisani kama wale waliopaswa kutembea katika nuru wangeendelea kumjua Bwana, ili wapate kujua ya kuwa kutoka kwake kumeandaliwa kama asubuhi. Lakini wakati kazi nyingi namna hiyo inalazimika kutumiwa humo kanisani ili kukabiliana na ushawishi wa watendakazi ambao wamesimama kama ukuta wa granite dhidi ya kweli ambayo Mungu huwatumia watu Wake, ulimwengu huachwa katika giza la kulinganisha.</w:t>
      </w:r>
    </w:p>
    <w:p>
      <w:pPr>
        <w:pStyle w:val="ArticleScripture"/>
        <w:jc w:val="left"/>
      </w:pPr>
      <w:r>
        <w:rPr>
          <w:rFonts w:ascii="Times New Roman" w:hAnsi="Times New Roman" w:eastAsia="Times New Roman" w:cs="Times New Roman"/>
        </w:rPr>
        <w:t>“Baieti Mungu ulikuwa kwamba walinzi wasimame na, kwa sauti zilizoungana, watoe ujumbe ulio thabiti, wakiipiga tarumbeta kwa mlio ulio hakika, ili watu wote wapige hatua kwenda kwenye nafasi yao ya wajibu na kutenda sehemu yao katika kazi ile kuu. Ndipo nuru ile yenye nguvu, iliyo wazi, ya yule malaika mwingine ashukaye kutoka mbinguni akiwa na mamlaka makuu, ingeijaza dunia kwa utukufu wake. Tuko nyuma kwa miaka; na wale waliosimama katika upofu na kuzuia kusonga mbele kwa ujumbe uleule ambao Mungu alikusudia utoke kutoka mkutano wa Minneapolis kama taa iwakayo, wanahitaji kunyenyekeza mioyo yao mbele za Mungu na kuona na kuelewa jinsi kazi ilivyozuiliwa kwa upofu wao wa akili na ugumu wa moyo.”</w:t>
      </w:r>
    </w:p>
    <w:p>
      <w:pPr>
        <w:pStyle w:val="ArticleScripture"/>
        <w:jc w:val="left"/>
      </w:pPr>
      <w:r>
        <w:rPr>
          <w:rFonts w:ascii="Times New Roman" w:hAnsi="Times New Roman" w:eastAsia="Times New Roman" w:cs="Times New Roman"/>
        </w:rPr>
        <w:t>„B’ojiy soat sawolg’a, mayda narsalar ustida bahs-talash qilishga sarflandi; oltin imkoniyatlar zoye ketdi, osmoniy xabarchilar esa kechikishdan iztirob chekib, sabrsizlik qildilar. Muqaddas Ruh — uning qadr-qimmati va har bir jon uni qabul qilishi zarurligi juda oz darajada qadrlangan. Samoviy in’omni qabul qilganlar solihlik zirhini kiygan holda Xudo uchun jang qilishga chiqadilar. Ular Rabbiyning yo‘llovlariga hurmat bilan bo‘ysunadilar va Uning marhamati uchun Unga shukronaga to‘ladilar. Ammo juda ko‘p joylarda va juda ko‘p hollarda, Masihning kunlarida o‘zlarini Xudoning xalqi deb e’tirof etganlar haqida aytilganidek, haqiqatan ham shunday deyish mumkin ediki: ularning imonsizligi sababli ko‘p qudratli ishlar qilinmadi. Zulmat kishanlari bilan bog‘langan ko‘plar Xudo ulardan foydalangani uchun hurmat qozongan edilar, va ularning imonsizligi osmon farishtalari insoniy vositalar orqali yetkazishga intilgan haqiqat xabari — imon orqali oqlanish, Masihning solihligi — ga qarshi shubha va xurofotni qo‘zg‘atdi.”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لائودیکیه‌ایِ ادونتیست‌های روز هفتم - شمارهٔ دو</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