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Yoele na Kanisa la Waadventista Wasabato wa Laodikia - Namba Tano</w:t>
      </w:r>
    </w:p>
    <w:p>
      <w:pPr>
        <w:pStyle w:val="ArticleSubtitle"/>
        <w:jc w:val="left"/>
      </w:pPr>
      <w:r>
        <w:rPr>
          <w:rFonts w:ascii="Arial" w:hAnsi="Arial" w:eastAsia="Arial" w:cs="Arial"/>
        </w:rPr>
        <w:t>Jusqu’à quand ? Le cinquième sceau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Lorsque « la lumière pour ce temps est donnée », elle est soit « reçue », soit « rejetée ». La séparation qui s’opère lorsque la lumière est introduite est l’œuvre de l’Évangile éternel, lequel comprend non seulement le scellement du peuple de Dieu, mais aussi la séparation du blé et de l’ivraie. Le processus final d’épreuve et de séparation a commencé le 11 septembre, lorsque la question prophétique demande : « Jusqu’à quand ? » et que la réponse prophétique est : « jusqu’à la loi du dimanche ». La dernière mention du symbole de « Jusqu’à quand ? » se trouve dans le cinquième sceau du livre de l’Apocalypse.</w:t>
      </w:r>
    </w:p>
    <w:p>
      <w:pPr>
        <w:pStyle w:val="ArticleScripture"/>
        <w:jc w:val="left"/>
      </w:pPr>
      <w:r>
        <w:rPr>
          <w:rFonts w:ascii="Microsoft YaHei" w:hAnsi="Microsoft YaHei" w:eastAsia="Microsoft YaHei" w:cs="Microsoft YaHei"/>
        </w:rPr>
        <w:t>令人覺得不必多言的提示「</w:t>
      </w:r>
      <w:r>
        <w:rPr>
          <w:rFonts w:ascii="Times New Roman" w:hAnsi="Times New Roman" w:eastAsia="Times New Roman" w:cs="Times New Roman"/>
        </w:rPr>
        <w:t>ff</w:t>
      </w:r>
      <w:r>
        <w:rPr>
          <w:rFonts w:ascii="Microsoft YaHei" w:hAnsi="Microsoft YaHei" w:eastAsia="Microsoft YaHei" w:cs="Microsoft YaHei"/>
        </w:rPr>
        <w:t>」在此並不明確</w:t>
      </w:r>
      <w:r>
        <w:rPr>
          <w:rFonts w:ascii="Times New Roman" w:hAnsi="Times New Roman" w:eastAsia="Times New Roman" w:cs="Times New Roman"/>
        </w:rPr>
        <w:t>.</w:t>
      </w:r>
      <w:r>
        <w:rPr>
          <w:rFonts w:ascii="Microsoft YaHei" w:hAnsi="Microsoft YaHei" w:eastAsia="Microsoft YaHei" w:cs="Microsoft YaHei"/>
        </w:rPr>
        <w:t>請告訴我目標語言是什麼</w:t>
      </w:r>
      <w:r>
        <w:rPr>
          <w:rFonts w:ascii="Times New Roman" w:hAnsi="Times New Roman" w:eastAsia="Times New Roman" w:cs="Times New Roman"/>
        </w:rPr>
        <w:t>,</w:t>
      </w:r>
      <w:r>
        <w:rPr>
          <w:rFonts w:ascii="Microsoft YaHei" w:hAnsi="Microsoft YaHei" w:eastAsia="Microsoft YaHei" w:cs="Microsoft YaHei"/>
        </w:rPr>
        <w:t>我就能為你準確翻譯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à chacun d’eux il fut donné une robe blanche ; et il leur fut dit qu’ils se tiennent encore en repos pour un peu de temps, jusqu’à ce que fût complet le nombre de leurs compagnons de service et de leurs frères, qui devaient être mis à mort comme eux. Apocalypse 6:9–11.</w:t>
      </w:r>
    </w:p>
    <w:p>
      <w:pPr>
        <w:pStyle w:val="ArticleBody"/>
        <w:jc w:val="left"/>
      </w:pPr>
      <w:r>
        <w:rPr>
          <w:rFonts w:ascii="Leelawadee UI" w:hAnsi="Leelawadee UI" w:eastAsia="Leelawadee UI" w:cs="Leelawadee UI"/>
        </w:rPr>
        <w:t>ការបំផុសគំនិតបានដាក់ចម្លើយចំពោះសំណួរ</w:t>
      </w:r>
      <w:r>
        <w:rPr>
          <w:rFonts w:ascii="Times New Roman" w:hAnsi="Times New Roman" w:eastAsia="Times New Roman" w:cs="Times New Roman"/>
        </w:rPr>
        <w:t xml:space="preserve"> «</w:t>
      </w:r>
      <w:r>
        <w:rPr>
          <w:rFonts w:ascii="Leelawadee UI" w:hAnsi="Leelawadee UI" w:eastAsia="Leelawadee UI" w:cs="Leelawadee UI"/>
        </w:rPr>
        <w:t>ដល់ពេលណា</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ព្រលឹងរបស់អ្នកដែលត្រូវបានសម្លាប់</w:t>
      </w:r>
      <w:r>
        <w:rPr>
          <w:rFonts w:ascii="Times New Roman" w:hAnsi="Times New Roman" w:eastAsia="Times New Roman" w:cs="Times New Roman"/>
        </w:rPr>
        <w:t xml:space="preserve">» </w:t>
      </w:r>
      <w:r>
        <w:rPr>
          <w:rFonts w:ascii="Leelawadee UI" w:hAnsi="Leelawadee UI" w:eastAsia="Leelawadee UI" w:cs="Leelawadee UI"/>
        </w:rPr>
        <w:t>បានសួរ</w:t>
      </w:r>
      <w:r>
        <w:rPr>
          <w:rFonts w:ascii="Times New Roman" w:hAnsi="Times New Roman" w:eastAsia="Times New Roman" w:cs="Times New Roman"/>
        </w:rPr>
        <w:t xml:space="preserve"> </w:t>
      </w:r>
      <w:r>
        <w:rPr>
          <w:rFonts w:ascii="Leelawadee UI" w:hAnsi="Leelawadee UI" w:eastAsia="Leelawadee UI" w:cs="Leelawadee UI"/>
        </w:rPr>
        <w:t>ទុកនៅក្នុងអនាគត</w:t>
      </w:r>
      <w:r>
        <w:rPr>
          <w:rFonts w:ascii="Times New Roman" w:hAnsi="Times New Roman" w:eastAsia="Times New Roman" w:cs="Times New Roman"/>
        </w:rPr>
        <w:t xml:space="preserve"> </w:t>
      </w:r>
      <w:r>
        <w:rPr>
          <w:rFonts w:ascii="Leelawadee UI" w:hAnsi="Leelawadee UI" w:eastAsia="Leelawadee UI" w:cs="Leelawadee UI"/>
        </w:rPr>
        <w:t>គឺនៅពេលដែលក្រុមទីពីរនៃពួកបរិសុទ្ធជាមរណសាក្សីក្រោមអំណាចសម្តេចប៉ាបត្រូវបានបំពេញចំនួន។</w:t>
      </w:r>
      <w:r>
        <w:rPr>
          <w:rFonts w:ascii="Times New Roman" w:hAnsi="Times New Roman" w:eastAsia="Times New Roman" w:cs="Times New Roman"/>
        </w:rPr>
        <w:t xml:space="preserve"> </w:t>
      </w:r>
      <w:r>
        <w:rPr>
          <w:rFonts w:ascii="Leelawadee UI" w:hAnsi="Leelawadee UI" w:eastAsia="Leelawadee UI" w:cs="Leelawadee UI"/>
        </w:rPr>
        <w:t>ការនោះចាប់ផ្តើមនៅពេលច្បាប់ថ្ងៃអាទិត្យ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ហើយដោយហេតុនេះ</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បានកំណត់អត្តសញ្ញាណ</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ថាជាការសម្រេចពេញលេញនៃក្រុមទីពីរនៃពួកជាមរណសាក្សី។</w:t>
      </w:r>
      <w:r>
        <w:rPr>
          <w:rFonts w:ascii="Times New Roman" w:hAnsi="Times New Roman" w:eastAsia="Times New Roman" w:cs="Times New Roman"/>
        </w:rPr>
        <w:t xml:space="preserve"> </w:t>
      </w:r>
      <w:r>
        <w:rPr>
          <w:rFonts w:ascii="Leelawadee UI" w:hAnsi="Leelawadee UI" w:eastAsia="Leelawadee UI" w:cs="Leelawadee UI"/>
        </w:rPr>
        <w:t>នៅក្នុងប្រាំខដំបូង</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សំឡេង</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សំឡេងទីមួយសម្គាល់ថ្ងៃទី</w:t>
      </w:r>
      <w:r>
        <w:rPr>
          <w:rFonts w:ascii="Times New Roman" w:hAnsi="Times New Roman" w:eastAsia="Times New Roman" w:cs="Times New Roman"/>
        </w:rPr>
        <w:t xml:space="preserve"> 9/11 </w:t>
      </w:r>
      <w:r>
        <w:rPr>
          <w:rFonts w:ascii="Leelawadee UI" w:hAnsi="Leelawadee UI" w:eastAsia="Leelawadee UI" w:cs="Leelawadee UI"/>
        </w:rPr>
        <w:t>ហើយសំឡេងទីពីរហៅបុរសនិងស្ត្រីឲ្យចេញពីបាប៊ីឡូននៅពេលច្បាប់ថ្ងៃអាទិត្យ។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បានកំណត់អត្តសញ្ញាណនិមិត្តសញ្ញា</w:t>
      </w:r>
      <w:r>
        <w:rPr>
          <w:rFonts w:ascii="Times New Roman" w:hAnsi="Times New Roman" w:eastAsia="Times New Roman" w:cs="Times New Roman"/>
        </w:rPr>
        <w:t xml:space="preserve"> «</w:t>
      </w:r>
      <w:r>
        <w:rPr>
          <w:rFonts w:ascii="Leelawadee UI" w:hAnsi="Leelawadee UI" w:eastAsia="Leelawadee UI" w:cs="Leelawadee UI"/>
        </w:rPr>
        <w:t>ដល់ពេលណា</w:t>
      </w:r>
      <w:r>
        <w:rPr>
          <w:rFonts w:ascii="Times New Roman" w:hAnsi="Times New Roman" w:eastAsia="Times New Roman" w:cs="Times New Roman"/>
        </w:rPr>
        <w:t xml:space="preserve">» </w:t>
      </w:r>
      <w:r>
        <w:rPr>
          <w:rFonts w:ascii="Leelawadee UI" w:hAnsi="Leelawadee UI" w:eastAsia="Leelawadee UI" w:cs="Leelawadee UI"/>
        </w:rPr>
        <w:t>នៅក្នុងត្រាទីប្រាំ</w:t>
      </w:r>
      <w:r>
        <w:rPr>
          <w:rFonts w:ascii="Times New Roman" w:hAnsi="Times New Roman" w:eastAsia="Times New Roman" w:cs="Times New Roman"/>
        </w:rPr>
        <w:t xml:space="preserve"> </w:t>
      </w:r>
      <w:r>
        <w:rPr>
          <w:rFonts w:ascii="Leelawadee UI" w:hAnsi="Leelawadee UI" w:eastAsia="Leelawadee UI" w:cs="Leelawadee UI"/>
        </w:rPr>
        <w:t>ជាមួយនឹងប្រាំខដំបូងនៃ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ដើម្បីបង្ហាញគ្រោងពី</w:t>
      </w:r>
      <w:r>
        <w:rPr>
          <w:rFonts w:ascii="Times New Roman" w:hAnsi="Times New Roman" w:eastAsia="Times New Roman" w:cs="Times New Roman"/>
        </w:rPr>
        <w:t xml:space="preserve"> 9/11 </w:t>
      </w:r>
      <w:r>
        <w:rPr>
          <w:rFonts w:ascii="Leelawadee UI" w:hAnsi="Leelawadee UI" w:eastAsia="Leelawadee UI" w:cs="Leelawadee UI"/>
        </w:rPr>
        <w:t>ដល់ច្បាប់ថ្ងៃអាទិត្យ។</w:t>
      </w:r>
      <w:r>
        <w:rPr>
          <w:rFonts w:ascii="Times New Roman" w:hAnsi="Times New Roman" w:eastAsia="Times New Roman" w:cs="Times New Roman"/>
        </w:rPr>
        <w:t xml:space="preserve"> </w:t>
      </w:r>
      <w:r>
        <w:rPr>
          <w:rFonts w:ascii="Leelawadee UI" w:hAnsi="Leelawadee UI" w:eastAsia="Leelawadee UI" w:cs="Leelawadee UI"/>
        </w:rPr>
        <w:t>ការផ្តោតមិនមែនលើការញែកចេញ</w:t>
      </w:r>
      <w:r>
        <w:rPr>
          <w:rFonts w:ascii="Times New Roman" w:hAnsi="Times New Roman" w:eastAsia="Times New Roman" w:cs="Times New Roman"/>
        </w:rPr>
        <w:t xml:space="preserve"> </w:t>
      </w:r>
      <w:r>
        <w:rPr>
          <w:rFonts w:ascii="Leelawadee UI" w:hAnsi="Leelawadee UI" w:eastAsia="Leelawadee UI" w:cs="Leelawadee UI"/>
        </w:rPr>
        <w:t>និងការបោះត្រាប្រជារាស្ត្ររបស់ព្រះទេ</w:t>
      </w:r>
      <w:r>
        <w:rPr>
          <w:rFonts w:ascii="Times New Roman" w:hAnsi="Times New Roman" w:eastAsia="Times New Roman" w:cs="Times New Roman"/>
        </w:rPr>
        <w:t xml:space="preserve"> </w:t>
      </w:r>
      <w:r>
        <w:rPr>
          <w:rFonts w:ascii="Leelawadee UI" w:hAnsi="Leelawadee UI" w:eastAsia="Leelawadee UI" w:cs="Leelawadee UI"/>
        </w:rPr>
        <w:t>ប៉ុន្តែលើការជំនុំជម្រះអំណាចសម្តេចប៉ាប</w:t>
      </w:r>
      <w:r>
        <w:rPr>
          <w:rFonts w:ascii="Times New Roman" w:hAnsi="Times New Roman" w:eastAsia="Times New Roman" w:cs="Times New Roman"/>
        </w:rPr>
        <w:t xml:space="preserve"> </w:t>
      </w:r>
      <w:r>
        <w:rPr>
          <w:rFonts w:ascii="Leelawadee UI" w:hAnsi="Leelawadee UI" w:eastAsia="Leelawadee UI" w:cs="Leelawadee UI"/>
        </w:rPr>
        <w:t>ដោយសារការសម្លាប់ពួកជាមរណសាក្សីក្នុងប្រវត្តិសាស្ត្រអតីតកាល</w:t>
      </w:r>
      <w:r>
        <w:rPr>
          <w:rFonts w:ascii="Times New Roman" w:hAnsi="Times New Roman" w:eastAsia="Times New Roman" w:cs="Times New Roman"/>
        </w:rPr>
        <w:t xml:space="preserve"> </w:t>
      </w:r>
      <w:r>
        <w:rPr>
          <w:rFonts w:ascii="Leelawadee UI" w:hAnsi="Leelawadee UI" w:eastAsia="Leelawadee UI" w:cs="Leelawadee UI"/>
        </w:rPr>
        <w:t>និងពួកជាមរណសាក្សីទាំងនោះក្នុងវិបត្តិច្បាប់ថ្ងៃអាទិត្យ</w:t>
      </w:r>
      <w:r>
        <w:rPr>
          <w:rFonts w:ascii="Times New Roman" w:hAnsi="Times New Roman" w:eastAsia="Times New Roman" w:cs="Times New Roman"/>
        </w:rPr>
        <w:t xml:space="preserve"> </w:t>
      </w:r>
      <w:r>
        <w:rPr>
          <w:rFonts w:ascii="Leelawadee UI" w:hAnsi="Leelawadee UI" w:eastAsia="Leelawadee UI" w:cs="Leelawadee UI"/>
        </w:rPr>
        <w:t>ដែលបង្កើតជាក្រុមទីពីរនៃពួកជាមរណសាក្សីក្រោមអំណាចសម្តេចប៉ាប។</w:t>
      </w:r>
    </w:p>
    <w:p>
      <w:pPr>
        <w:pStyle w:val="ArticleScripture"/>
        <w:jc w:val="left"/>
      </w:pPr>
      <w:r>
        <w:rPr>
          <w:rFonts w:ascii="Times New Roman" w:hAnsi="Times New Roman" w:eastAsia="Times New Roman" w:cs="Times New Roman"/>
        </w:rPr>
        <w:t>«دا پنځم مُهر چې پرانیستل شو، یوحنا الهام‌لیدونکي په رؤیا کې د قربان‌ګاه لاندې هغه ډله ولیده چې د خدای د کلام او د عیسی مسیح د شاهدۍ لپاره وژل شوې وه. له دې وروسته هغه صحنې راغلې چې د مکاشفې په اتلسم باب کې بیان شوې دي، کله چې هغه کسان چې امین او رښتیني دي، له بابل څخه راوبلل شول. [مکاشفه 18:1–5، نقل قول.]» Manuscript Releases, volume 20, 14.</w:t>
      </w:r>
    </w:p>
    <w:p>
      <w:pPr>
        <w:pStyle w:val="ArticleBody"/>
        <w:jc w:val="left"/>
      </w:pPr>
      <w:r>
        <w:rPr>
          <w:rFonts w:ascii="Times New Roman" w:hAnsi="Times New Roman" w:eastAsia="Times New Roman" w:cs="Times New Roman"/>
        </w:rPr>
        <w:t>Dans l’autre passage où elle identifie les martyrs du cinquième sceau ainsi que le groupe futur et second de martyrs qui se forme lors de la crise de la loi du dimanche, elle déclare que ces scènes « seraient dans une période de temps à venir ». Les deux voix d’Apocalypse dix-huit représentent la « période de temps à venir ». La première voix, au commencement, au 11 septembre, et la seconde voix, lors de la loi du dimanche.</w:t>
      </w:r>
    </w:p>
    <w:p>
      <w:pPr>
        <w:pStyle w:val="ArticleScripture"/>
        <w:jc w:val="left"/>
      </w:pPr>
      <w:r>
        <w:rPr>
          <w:rFonts w:ascii="Times New Roman" w:hAnsi="Times New Roman" w:eastAsia="Times New Roman" w:cs="Times New Roman"/>
        </w:rPr>
        <w:t>“‘Na mgbe O mepere akara nke-ise, ahụrụ m n’okpuru ebe ịchụàjà mkpụrụ-obi ndị e gburu n’ihi okwu Chineke na n’ihi àmà ahụ ha jidere; ha wee tie mkpu n’oké olu, na-asị, Ruo ole mgbe, Onyenwe anyị, Onye Nsọ na Onye Ezi-okwu, ka Ị na-adịghị ekpe ikpe ma ọ bụghachi ọbara anyị n’aka ndị bi n’elu ụwa? E nyere onye ọ bụla n’ime ha uwe ọcha [E kwupụtara na ha dị ọcha na ndị nsọ]; a gwa ha ka ha zuo ike obere oge ọzọ, ruo mgbe ọnụ ọgụgụ ndị ọrụ ibe ha na ụmụnne ha, ndị a ga-egbukwa dịka e gburu ha, ga-ezu’ [Mkpughe 6:9–11]. N’ebe a, e gosiri Jọn ihe ndị ahụ abụghị eziokwu n’oge ahụ, kama bụ ihe ga-adị n’oge dị n’ihu.”</w:t>
      </w:r>
    </w:p>
    <w:p>
      <w:pPr>
        <w:pStyle w:val="ArticleScripture"/>
        <w:jc w:val="left"/>
      </w:pPr>
      <w:r>
        <w:rPr>
          <w:rFonts w:ascii="Times New Roman" w:hAnsi="Times New Roman" w:eastAsia="Times New Roman" w:cs="Times New Roman"/>
        </w:rPr>
        <w:t>« Apokalipsy 8:1–4 voatanisa. » Manuscript Releases, boky faha-20, 197.</w:t>
      </w:r>
    </w:p>
    <w:p>
      <w:pPr>
        <w:pStyle w:val="ArticleBody"/>
        <w:jc w:val="left"/>
      </w:pP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순교자</w:t>
      </w:r>
      <w:r>
        <w:rPr>
          <w:rFonts w:ascii="Times New Roman" w:hAnsi="Times New Roman" w:eastAsia="Times New Roman" w:cs="Times New Roman"/>
        </w:rPr>
        <w:t xml:space="preserve"> </w:t>
      </w:r>
      <w:r>
        <w:rPr>
          <w:rFonts w:ascii="Malgun Gothic" w:hAnsi="Malgun Gothic" w:eastAsia="Malgun Gothic" w:cs="Malgun Gothic"/>
        </w:rPr>
        <w:t>무리가</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형성되어</w:t>
      </w:r>
      <w:r>
        <w:rPr>
          <w:rFonts w:ascii="Times New Roman" w:hAnsi="Times New Roman" w:eastAsia="Times New Roman" w:cs="Times New Roman"/>
        </w:rPr>
        <w:t xml:space="preserve"> </w:t>
      </w:r>
      <w:r>
        <w:rPr>
          <w:rFonts w:ascii="Malgun Gothic" w:hAnsi="Malgun Gothic" w:eastAsia="Malgun Gothic" w:cs="Malgun Gothic"/>
        </w:rPr>
        <w:t>성취될</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연관시키며</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구절에서는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18:1–5</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인용하는데</w:t>
      </w:r>
      <w:r>
        <w:rPr>
          <w:rFonts w:ascii="Times New Roman" w:hAnsi="Times New Roman" w:eastAsia="Times New Roman" w:cs="Times New Roman"/>
        </w:rPr>
        <w:t xml:space="preserve">, </w:t>
      </w:r>
      <w:r>
        <w:rPr>
          <w:rFonts w:ascii="Malgun Gothic" w:hAnsi="Malgun Gothic" w:eastAsia="Malgun Gothic" w:cs="Malgun Gothic"/>
        </w:rPr>
        <w:t>거기에는</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4</w:t>
      </w:r>
      <w:r>
        <w:rPr>
          <w:rFonts w:ascii="Malgun Gothic" w:hAnsi="Malgun Gothic" w:eastAsia="Malgun Gothic" w:cs="Malgun Gothic"/>
        </w:rPr>
        <w:t>절과</w:t>
      </w:r>
      <w:r>
        <w:rPr>
          <w:rFonts w:ascii="Times New Roman" w:hAnsi="Times New Roman" w:eastAsia="Times New Roman" w:cs="Times New Roman"/>
        </w:rPr>
        <w:t xml:space="preserve"> 5</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뉴욕의</w:t>
      </w:r>
      <w:r>
        <w:rPr>
          <w:rFonts w:ascii="Times New Roman" w:hAnsi="Times New Roman" w:eastAsia="Times New Roman" w:cs="Times New Roman"/>
        </w:rPr>
        <w:t xml:space="preserve"> </w:t>
      </w:r>
      <w:r>
        <w:rPr>
          <w:rFonts w:ascii="Malgun Gothic" w:hAnsi="Malgun Gothic" w:eastAsia="Malgun Gothic" w:cs="Malgun Gothic"/>
        </w:rPr>
        <w:t>거대한</w:t>
      </w:r>
      <w:r>
        <w:rPr>
          <w:rFonts w:ascii="Times New Roman" w:hAnsi="Times New Roman" w:eastAsia="Times New Roman" w:cs="Times New Roman"/>
        </w:rPr>
        <w:t xml:space="preserve"> </w:t>
      </w:r>
      <w:r>
        <w:rPr>
          <w:rFonts w:ascii="Malgun Gothic" w:hAnsi="Malgun Gothic" w:eastAsia="Malgun Gothic" w:cs="Malgun Gothic"/>
        </w:rPr>
        <w:t>건물들이</w:t>
      </w:r>
      <w:r>
        <w:rPr>
          <w:rFonts w:ascii="Times New Roman" w:hAnsi="Times New Roman" w:eastAsia="Times New Roman" w:cs="Times New Roman"/>
        </w:rPr>
        <w:t xml:space="preserve"> </w:t>
      </w:r>
      <w:r>
        <w:rPr>
          <w:rFonts w:ascii="Malgun Gothic" w:hAnsi="Malgun Gothic" w:eastAsia="Malgun Gothic" w:cs="Malgun Gothic"/>
        </w:rPr>
        <w:t>무너져</w:t>
      </w:r>
      <w:r>
        <w:rPr>
          <w:rFonts w:ascii="Times New Roman" w:hAnsi="Times New Roman" w:eastAsia="Times New Roman" w:cs="Times New Roman"/>
        </w:rPr>
        <w:t xml:space="preserve"> </w:t>
      </w:r>
      <w:r>
        <w:rPr>
          <w:rFonts w:ascii="Malgun Gothic" w:hAnsi="Malgun Gothic" w:eastAsia="Malgun Gothic" w:cs="Malgun Gothic"/>
        </w:rPr>
        <w:t>내린</w:t>
      </w:r>
      <w:r>
        <w:rPr>
          <w:rFonts w:ascii="Times New Roman" w:hAnsi="Times New Roman" w:eastAsia="Times New Roman" w:cs="Times New Roman"/>
        </w:rPr>
        <w:t xml:space="preserve"> 9/11</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가리키고</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법령으로서</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떼를</w:t>
      </w:r>
      <w:r>
        <w:rPr>
          <w:rFonts w:ascii="Times New Roman" w:hAnsi="Times New Roman" w:eastAsia="Times New Roman" w:cs="Times New Roman"/>
        </w:rPr>
        <w:t xml:space="preserve"> </w:t>
      </w:r>
      <w:r>
        <w:rPr>
          <w:rFonts w:ascii="Malgun Gothic" w:hAnsi="Malgun Gothic" w:eastAsia="Malgun Gothic" w:cs="Malgun Gothic"/>
        </w:rPr>
        <w:t>바벨론에서</w:t>
      </w:r>
      <w:r>
        <w:rPr>
          <w:rFonts w:ascii="Times New Roman" w:hAnsi="Times New Roman" w:eastAsia="Times New Roman" w:cs="Times New Roman"/>
        </w:rPr>
        <w:t xml:space="preserve"> </w:t>
      </w:r>
      <w:r>
        <w:rPr>
          <w:rFonts w:ascii="Malgun Gothic" w:hAnsi="Malgun Gothic" w:eastAsia="Malgun Gothic" w:cs="Malgun Gothic"/>
        </w:rPr>
        <w:t>불러내신다</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구절에서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8</w:t>
      </w:r>
      <w:r>
        <w:rPr>
          <w:rFonts w:ascii="Malgun Gothic" w:hAnsi="Malgun Gothic" w:eastAsia="Malgun Gothic" w:cs="Malgun Gothic"/>
        </w:rPr>
        <w:t>장과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언급하는데</w:t>
      </w:r>
      <w:r>
        <w:rPr>
          <w:rFonts w:ascii="Times New Roman" w:hAnsi="Times New Roman" w:eastAsia="Times New Roman" w:cs="Times New Roman"/>
        </w:rPr>
        <w:t xml:space="preserve">, </w:t>
      </w:r>
      <w:r>
        <w:rPr>
          <w:rFonts w:ascii="Malgun Gothic" w:hAnsi="Malgun Gothic" w:eastAsia="Malgun Gothic" w:cs="Malgun Gothic"/>
        </w:rPr>
        <w:t>거기에는</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인의</w:t>
      </w:r>
      <w:r>
        <w:rPr>
          <w:rFonts w:ascii="Times New Roman" w:hAnsi="Times New Roman" w:eastAsia="Times New Roman" w:cs="Times New Roman"/>
        </w:rPr>
        <w:t xml:space="preserve"> </w:t>
      </w:r>
      <w:r>
        <w:rPr>
          <w:rFonts w:ascii="Malgun Gothic" w:hAnsi="Malgun Gothic" w:eastAsia="Malgun Gothic" w:cs="Malgun Gothic"/>
        </w:rPr>
        <w:t>개봉이</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제단</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취한</w:t>
      </w:r>
      <w:r>
        <w:rPr>
          <w:rFonts w:ascii="Times New Roman" w:hAnsi="Times New Roman" w:eastAsia="Times New Roman" w:cs="Times New Roman"/>
        </w:rPr>
        <w:t xml:space="preserve"> </w:t>
      </w:r>
      <w:r>
        <w:rPr>
          <w:rFonts w:ascii="Malgun Gothic" w:hAnsi="Malgun Gothic" w:eastAsia="Malgun Gothic" w:cs="Malgun Gothic"/>
        </w:rPr>
        <w:t>숯불이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던져지는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내려와</w:t>
      </w:r>
      <w:r>
        <w:rPr>
          <w:rFonts w:ascii="Times New Roman" w:hAnsi="Times New Roman" w:eastAsia="Times New Roman" w:cs="Times New Roman"/>
        </w:rPr>
        <w:t xml:space="preserve"> </w:t>
      </w:r>
      <w:r>
        <w:rPr>
          <w:rFonts w:ascii="Malgun Gothic" w:hAnsi="Malgun Gothic" w:eastAsia="Malgun Gothic" w:cs="Malgun Gothic"/>
        </w:rPr>
        <w:t>제자들을</w:t>
      </w:r>
      <w:r>
        <w:rPr>
          <w:rFonts w:ascii="Times New Roman" w:hAnsi="Times New Roman" w:eastAsia="Times New Roman" w:cs="Times New Roman"/>
        </w:rPr>
        <w:t xml:space="preserve"> </w:t>
      </w:r>
      <w:r>
        <w:rPr>
          <w:rFonts w:ascii="Malgun Gothic" w:hAnsi="Malgun Gothic" w:eastAsia="Malgun Gothic" w:cs="Malgun Gothic"/>
        </w:rPr>
        <w:t>비추었던</w:t>
      </w:r>
      <w:r>
        <w:rPr>
          <w:rFonts w:ascii="Times New Roman" w:hAnsi="Times New Roman" w:eastAsia="Times New Roman" w:cs="Times New Roman"/>
        </w:rPr>
        <w:t xml:space="preserve"> </w:t>
      </w:r>
      <w:r>
        <w:rPr>
          <w:rFonts w:ascii="Malgun Gothic" w:hAnsi="Malgun Gothic" w:eastAsia="Malgun Gothic" w:cs="Malgun Gothic"/>
        </w:rPr>
        <w:t>오순절과</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열두</w:t>
      </w:r>
      <w:r>
        <w:rPr>
          <w:rFonts w:ascii="Times New Roman" w:hAnsi="Times New Roman" w:eastAsia="Times New Roman" w:cs="Times New Roman"/>
        </w:rPr>
        <w:t xml:space="preserve"> </w:t>
      </w:r>
      <w:r>
        <w:rPr>
          <w:rFonts w:ascii="Malgun Gothic" w:hAnsi="Malgun Gothic" w:eastAsia="Malgun Gothic" w:cs="Malgun Gothic"/>
        </w:rPr>
        <w:t>돌이</w:t>
      </w:r>
      <w:r>
        <w:rPr>
          <w:rFonts w:ascii="Times New Roman" w:hAnsi="Times New Roman" w:eastAsia="Times New Roman" w:cs="Times New Roman"/>
        </w:rPr>
        <w:t xml:space="preserve"> </w:t>
      </w:r>
      <w:r>
        <w:rPr>
          <w:rFonts w:ascii="Malgun Gothic" w:hAnsi="Malgun Gothic" w:eastAsia="Malgun Gothic" w:cs="Malgun Gothic"/>
        </w:rPr>
        <w:t>밝혀졌던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제자들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임한</w:t>
      </w:r>
      <w:r>
        <w:rPr>
          <w:rFonts w:ascii="Times New Roman" w:hAnsi="Times New Roman" w:eastAsia="Times New Roman" w:cs="Times New Roman"/>
        </w:rPr>
        <w:t xml:space="preserve"> </w:t>
      </w:r>
      <w:r>
        <w:rPr>
          <w:rFonts w:ascii="Malgun Gothic" w:hAnsi="Malgun Gothic" w:eastAsia="Malgun Gothic" w:cs="Malgun Gothic"/>
        </w:rPr>
        <w:t>불의</w:t>
      </w:r>
      <w:r>
        <w:rPr>
          <w:rFonts w:ascii="Times New Roman" w:hAnsi="Times New Roman" w:eastAsia="Times New Roman" w:cs="Times New Roman"/>
        </w:rPr>
        <w:t xml:space="preserve"> </w:t>
      </w:r>
      <w:r>
        <w:rPr>
          <w:rFonts w:ascii="Malgun Gothic" w:hAnsi="Malgun Gothic" w:eastAsia="Malgun Gothic" w:cs="Malgun Gothic"/>
        </w:rPr>
        <w:t>혀들로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w:t>
      </w:r>
    </w:p>
    <w:p>
      <w:pPr>
        <w:pStyle w:val="ArticleHeading"/>
        <w:jc w:val="left"/>
      </w:pPr>
      <w:r>
        <w:rPr>
          <w:rFonts w:ascii="Arial" w:hAnsi="Arial" w:eastAsia="Arial" w:cs="Arial"/>
        </w:rPr>
        <w:t>Muda Gani? Zakariya &amp; Yohane</w:t>
      </w:r>
    </w:p>
    <w:p>
      <w:pPr>
        <w:pStyle w:val="ArticleBody"/>
        <w:jc w:val="left"/>
      </w:pPr>
      <w:r>
        <w:rPr>
          <w:rFonts w:ascii="Times New Roman" w:hAnsi="Times New Roman" w:eastAsia="Times New Roman" w:cs="Times New Roman"/>
        </w:rPr>
        <w:t>« Combien de temps » est un symbole prophétique de la période allant du 11 septembre jusqu’à la loi du dimanche, période qui a été préfigurée dans le récit du mont Carmel, dans l’histoire des millérites de 1840 à 1844, dans l’histoire de Moïse depuis la huitième jusqu’à la dixième plaie, dans le témoignage des martyrs du cinquième sceau ; et, dans Zacharie, la question est posée : « Combien de temps » faudra-t-il encore avant que Dieu fasse miséricorde à Jérusalem, qui avait été à Babylone pendant soixante-dix ans.</w:t>
      </w:r>
    </w:p>
    <w:p>
      <w:pPr>
        <w:pStyle w:val="ArticleScripture"/>
        <w:jc w:val="left"/>
      </w:pPr>
      <w:r>
        <w:rPr>
          <w:rFonts w:ascii="Times New Roman" w:hAnsi="Times New Roman" w:eastAsia="Times New Roman" w:cs="Times New Roman"/>
        </w:rPr>
        <w:t>ئاندىن پەرۋەردىگارنىڭ پەرىشتىسى جاۋاب بېرىپ: «ئەي ساماۋى قوشۇنلارنىڭ رەببى، سەن بۇ يەتمىش يىلدىن بۇيان غەزىپ قىلغان يېرۇسالېمغا ۋە يەھۇدانىڭ شەھەرلىرىگە قاچانغىچە رەھىم قىلمايسەن؟» دېدى.</w:t>
      </w:r>
    </w:p>
    <w:p>
      <w:pPr>
        <w:pStyle w:val="ArticleScripture"/>
        <w:jc w:val="left"/>
      </w:pPr>
      <w:r>
        <w:rPr>
          <w:rFonts w:ascii="Times New Roman" w:hAnsi="Times New Roman" w:eastAsia="Times New Roman" w:cs="Times New Roman"/>
        </w:rPr>
        <w:t>Ndipo Ambuye anayankha mngelo amene analankhula ndi ine ndi mawu abwino ndi mawu otonthoza.</w:t>
      </w:r>
    </w:p>
    <w:p>
      <w:pPr>
        <w:pStyle w:val="ArticleScripture"/>
        <w:jc w:val="left"/>
      </w:pPr>
      <w:r>
        <w:rPr>
          <w:rFonts w:ascii="Times New Roman" w:hAnsi="Times New Roman" w:eastAsia="Times New Roman" w:cs="Times New Roman"/>
        </w:rPr>
        <w:t>Ainsi l’ange qui parlait avec moi me dit : Crie, en disant : Ainsi parle l’Éternel des armées : Je suis animé pour Jérusalem et pour Sion d’une grande jalousie. Et je suis saisi d’une très grande indignation contre les nations qui vivent dans la sécurité ; car je n’étais qu’un peu irrité, et elles ont contribué à aggraver le malheur. C’est pourquoi ainsi parle l’Éternel : Je reviens à Jérusalem avec compassion ; ma maison y sera rebâtie, dit l’Éternel des armées, et le cordeau sera étendu sur Jérusalem. Crie encore, en disant : Ainsi parle l’Éternel des armées : Mes villes regorgeront encore de biens ; l’Éternel consolera encore Sion, et il choisira encore Jérusalem. Zacharie 1:12–17.</w:t>
      </w:r>
    </w:p>
    <w:p>
      <w:pPr>
        <w:pStyle w:val="ArticleBody"/>
        <w:jc w:val="left"/>
      </w:pPr>
      <w:r>
        <w:rPr>
          <w:rFonts w:ascii="Nirmala UI" w:hAnsi="Nirmala UI" w:eastAsia="Nirmala UI" w:cs="Nirmala UI"/>
        </w:rPr>
        <w:t>लड़ीनुहूं</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538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“L’église de Dieu sur la terre était tout aussi véritablement en captivité durant cette longue période de persécution implacable que les enfants d’Israël retenus captifs à Babylone pendant la période de l’exil.” Prophètes et Rois, 714.</w:t>
      </w:r>
    </w:p>
    <w:p>
      <w:pPr>
        <w:pStyle w:val="ArticleBody"/>
        <w:jc w:val="left"/>
      </w:pP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ከሦስቱ</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መጀመሪያው</w:t>
      </w:r>
      <w:r>
        <w:rPr>
          <w:rFonts w:ascii="Times New Roman" w:hAnsi="Times New Roman" w:eastAsia="Times New Roman" w:cs="Times New Roman"/>
        </w:rPr>
        <w:t xml:space="preserve"> </w:t>
      </w:r>
      <w:r>
        <w:rPr>
          <w:rFonts w:ascii="Ebrima" w:hAnsi="Ebrima" w:eastAsia="Ebrima" w:cs="Ebrima"/>
        </w:rPr>
        <w:t>ደረሰ።</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ኤፕሪል</w:t>
      </w:r>
      <w:r>
        <w:rPr>
          <w:rFonts w:ascii="Times New Roman" w:hAnsi="Times New Roman" w:eastAsia="Times New Roman" w:cs="Times New Roman"/>
        </w:rPr>
        <w:t xml:space="preserve"> 19 </w:t>
      </w:r>
      <w:r>
        <w:rPr>
          <w:rFonts w:ascii="Ebrima" w:hAnsi="Ebrima" w:eastAsia="Ebrima" w:cs="Ebrima"/>
        </w:rPr>
        <w:t>ደረሰ፣</w:t>
      </w:r>
      <w:r>
        <w:rPr>
          <w:rFonts w:ascii="Times New Roman" w:hAnsi="Times New Roman" w:eastAsia="Times New Roman" w:cs="Times New Roman"/>
        </w:rPr>
        <w:t xml:space="preserve"> </w:t>
      </w:r>
      <w:r>
        <w:rPr>
          <w:rFonts w:ascii="Ebrima" w:hAnsi="Ebrima" w:eastAsia="Ebrima" w:cs="Ebrima"/>
        </w:rPr>
        <w:t>ሦስተኛውም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ኦክቶበር</w:t>
      </w:r>
      <w:r>
        <w:rPr>
          <w:rFonts w:ascii="Times New Roman" w:hAnsi="Times New Roman" w:eastAsia="Times New Roman" w:cs="Times New Roman"/>
        </w:rPr>
        <w:t xml:space="preserve"> 22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9/11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ክፍለ</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በሚለራይት</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1840 </w:t>
      </w:r>
      <w:r>
        <w:rPr>
          <w:rFonts w:ascii="Ebrima" w:hAnsi="Ebrima" w:eastAsia="Ebrima" w:cs="Ebrima"/>
        </w:rPr>
        <w:t>ኦገስት</w:t>
      </w:r>
      <w:r>
        <w:rPr>
          <w:rFonts w:ascii="Times New Roman" w:hAnsi="Times New Roman" w:eastAsia="Times New Roman" w:cs="Times New Roman"/>
        </w:rPr>
        <w:t xml:space="preserve"> 11 </w:t>
      </w:r>
      <w:r>
        <w:rPr>
          <w:rFonts w:ascii="Ebrima" w:hAnsi="Ebrima" w:eastAsia="Ebrima" w:cs="Ebrima"/>
        </w:rPr>
        <w:t>እስከ</w:t>
      </w:r>
      <w:r>
        <w:rPr>
          <w:rFonts w:ascii="Times New Roman" w:hAnsi="Times New Roman" w:eastAsia="Times New Roman" w:cs="Times New Roman"/>
        </w:rPr>
        <w:t xml:space="preserve"> 1844 </w:t>
      </w:r>
      <w:r>
        <w:rPr>
          <w:rFonts w:ascii="Ebrima" w:hAnsi="Ebrima" w:eastAsia="Ebrima" w:cs="Ebrima"/>
        </w:rPr>
        <w:t>ኦክቶበር</w:t>
      </w:r>
      <w:r>
        <w:rPr>
          <w:rFonts w:ascii="Times New Roman" w:hAnsi="Times New Roman" w:eastAsia="Times New Roman" w:cs="Times New Roman"/>
        </w:rPr>
        <w:t xml:space="preserve"> 22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በአምሳል</w:t>
      </w:r>
      <w:r>
        <w:rPr>
          <w:rFonts w:ascii="Times New Roman" w:hAnsi="Times New Roman" w:eastAsia="Times New Roman" w:cs="Times New Roman"/>
        </w:rPr>
        <w:t xml:space="preserve"> </w:t>
      </w:r>
      <w:r>
        <w:rPr>
          <w:rFonts w:ascii="Ebrima" w:hAnsi="Ebrima" w:eastAsia="Ebrima" w:cs="Ebrima"/>
        </w:rPr>
        <w:t>ቀርቦ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በምልክታዊ</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ታናሹን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ሲበላ፣</w:t>
      </w:r>
      <w:r>
        <w:rPr>
          <w:rFonts w:ascii="Times New Roman" w:hAnsi="Times New Roman" w:eastAsia="Times New Roman" w:cs="Times New Roman"/>
        </w:rPr>
        <w:t xml:space="preserve"> </w:t>
      </w:r>
      <w:r>
        <w:rPr>
          <w:rFonts w:ascii="Ebrima" w:hAnsi="Ebrima" w:eastAsia="Ebrima" w:cs="Ebrima"/>
        </w:rPr>
        <w:t>በአፉ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ጣፋጭ</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በሆዱ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መራራ</w:t>
      </w:r>
      <w:r>
        <w:rPr>
          <w:rFonts w:ascii="Times New Roman" w:hAnsi="Times New Roman" w:eastAsia="Times New Roman" w:cs="Times New Roman"/>
        </w:rPr>
        <w:t xml:space="preserve"> </w:t>
      </w:r>
      <w:r>
        <w:rPr>
          <w:rFonts w:ascii="Ebrima" w:hAnsi="Ebrima" w:eastAsia="Ebrima" w:cs="Ebrima"/>
        </w:rPr>
        <w:t>ሆነች</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በዮሐንስ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ሰጪ</w:t>
      </w:r>
      <w:r>
        <w:rPr>
          <w:rFonts w:ascii="Times New Roman" w:hAnsi="Times New Roman" w:eastAsia="Times New Roman" w:cs="Times New Roman"/>
        </w:rPr>
        <w:t xml:space="preserve"> </w:t>
      </w:r>
      <w:r>
        <w:rPr>
          <w:rFonts w:ascii="Ebrima" w:hAnsi="Ebrima" w:eastAsia="Ebrima" w:cs="Ebrima"/>
        </w:rPr>
        <w:t>ተገልጦአል።</w:t>
      </w:r>
    </w:p>
    <w:p>
      <w:pPr>
        <w:pStyle w:val="ArticleScripture"/>
        <w:jc w:val="left"/>
      </w:pP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कड़वा</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निगल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कड़वा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p>
    <w:p>
      <w:pPr>
        <w:pStyle w:val="ArticleScripture"/>
        <w:jc w:val="left"/>
      </w:pPr>
      <w:r>
        <w:rPr>
          <w:rFonts w:ascii="Times New Roman" w:hAnsi="Times New Roman" w:eastAsia="Times New Roman" w:cs="Times New Roman"/>
        </w:rPr>
        <w:t>Եվ նա ինձ ասաց. «Պետք է դարձյալ մարգարեանաս շատ ժողովուրդների, ազգերի, լեզուների և թագավորների առաջ»։ Յայտնութիւն 10:8–11.</w:t>
      </w:r>
    </w:p>
    <w:p>
      <w:pPr>
        <w:pStyle w:val="ArticleBody"/>
        <w:jc w:val="left"/>
      </w:pPr>
      <w:r>
        <w:rPr>
          <w:rFonts w:ascii="Times New Roman" w:hAnsi="Times New Roman" w:eastAsia="Times New Roman" w:cs="Times New Roman"/>
        </w:rPr>
        <w:t>Historia, którą Jan przedstawia, jest ukazana przez księgę, która została zjedzona, gdyż spożycie jej oznaczało, że milleryci zrozumieli poselstwo oraz ich doświadczenie w zwiastowaniu tego poselstwa. A zatem, gdy zaraz po przedstawieniu tej historii Janowi zostaje powiedziane, że musi znowu prorokować, prorokowanie, które zostaje tu wskazane, odnosi się do historii lat 1840–1844. Janowi zostaje powiedziane, że historia millerystów z lat 1840–1844 powtarza się w historii końca adwentyzmu. Gdy tylko Janowi zostaje powiedziane, że musi znowu prorokować, zostaje mu również powiedziane, aby zmierzył świątynię.</w:t>
      </w:r>
    </w:p>
    <w:p>
      <w:pPr>
        <w:pStyle w:val="ArticleScripture"/>
        <w:jc w:val="left"/>
      </w:pPr>
      <w:r>
        <w:rPr>
          <w:rFonts w:ascii="Times New Roman" w:hAnsi="Times New Roman" w:eastAsia="Times New Roman" w:cs="Times New Roman"/>
        </w:rPr>
        <w:t>Dhe m’u dha një kallam si shkop; dhe engjëlli qëndroi, duke thënë: Çohu dhe mat tempullin e Perëndisë, edhe altarin, edhe ata që adhurojnë në të. Por oborrin që është jashtë tempullit lëre mënjanë dhe mos e mat, sepse u është dhënë paganëve; dhe qytetin e shenjtë ata do ta shkelin nën këmbë për dyzet e dy muaj. Zbulesa 11:1, 2.</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ንኣድቬንቲዝም</w:t>
      </w:r>
      <w:r>
        <w:rPr>
          <w:rFonts w:ascii="Times New Roman" w:hAnsi="Times New Roman" w:eastAsia="Times New Roman" w:cs="Times New Roman"/>
        </w:rPr>
        <w:t xml:space="preserve"> </w:t>
      </w:r>
      <w:r>
        <w:rPr>
          <w:rFonts w:ascii="Ebrima" w:hAnsi="Ebrima" w:eastAsia="Ebrima" w:cs="Ebrima"/>
        </w:rPr>
        <w:t>ዝተዋህበ</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ዮሃንስ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ምምዛን</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ምህናጽ</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ገሊጹ</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ዝተቐመጠ</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ይሰማማዕ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ክዘርጋሕ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ነይሩሳሌም</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ክሓርያ</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ኣድቬንቲዝም</w:t>
      </w:r>
      <w:r>
        <w:rPr>
          <w:rFonts w:ascii="Times New Roman" w:hAnsi="Times New Roman" w:eastAsia="Times New Roman" w:cs="Times New Roman"/>
        </w:rPr>
        <w:t xml:space="preserve"> </w:t>
      </w:r>
      <w:r>
        <w:rPr>
          <w:rFonts w:ascii="Ebrima" w:hAnsi="Ebrima" w:eastAsia="Ebrima" w:cs="Ebrima"/>
        </w:rPr>
        <w:t>ብፊላዴልፍያዊ</w:t>
      </w:r>
      <w:r>
        <w:rPr>
          <w:rFonts w:ascii="Times New Roman" w:hAnsi="Times New Roman" w:eastAsia="Times New Roman" w:cs="Times New Roman"/>
        </w:rPr>
        <w:t xml:space="preserve"> </w:t>
      </w: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ሚለራዊ</w:t>
      </w:r>
      <w:r>
        <w:rPr>
          <w:rFonts w:ascii="Times New Roman" w:hAnsi="Times New Roman" w:eastAsia="Times New Roman" w:cs="Times New Roman"/>
        </w:rPr>
        <w:t xml:space="preserve"> </w:t>
      </w:r>
      <w:r>
        <w:rPr>
          <w:rFonts w:ascii="Ebrima" w:hAnsi="Ebrima" w:eastAsia="Ebrima" w:cs="Ebrima"/>
        </w:rPr>
        <w:t>ኣድቬንቲዝም</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ኣድቬንቲዝም</w:t>
      </w:r>
      <w:r>
        <w:rPr>
          <w:rFonts w:ascii="Times New Roman" w:hAnsi="Times New Roman" w:eastAsia="Times New Roman" w:cs="Times New Roman"/>
        </w:rPr>
        <w:t xml:space="preserve"> </w:t>
      </w:r>
      <w:r>
        <w:rPr>
          <w:rFonts w:ascii="Ebrima" w:hAnsi="Ebrima" w:eastAsia="Ebrima" w:cs="Ebrima"/>
        </w:rPr>
        <w:t>ብፊላዴልፍያዊ</w:t>
      </w:r>
      <w:r>
        <w:rPr>
          <w:rFonts w:ascii="Times New Roman" w:hAnsi="Times New Roman" w:eastAsia="Times New Roman" w:cs="Times New Roman"/>
        </w:rPr>
        <w:t xml:space="preserve"> </w:t>
      </w: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ይድገም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ዓቢ</w:t>
      </w:r>
      <w:r>
        <w:rPr>
          <w:rFonts w:ascii="Times New Roman" w:hAnsi="Times New Roman" w:eastAsia="Times New Roman" w:cs="Times New Roman"/>
        </w:rPr>
        <w:t xml:space="preserve"> </w:t>
      </w:r>
      <w:r>
        <w:rPr>
          <w:rFonts w:ascii="Ebrima" w:hAnsi="Ebrima" w:eastAsia="Ebrima" w:cs="Ebrima"/>
        </w:rPr>
        <w:t>ቅሬታ</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ድምፂ</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ሻብዓይ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ተወኪሉ</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ጀመረ።</w:t>
      </w:r>
    </w:p>
    <w:p>
      <w:pPr>
        <w:pStyle w:val="ArticleScripture"/>
        <w:jc w:val="left"/>
      </w:pPr>
      <w:r>
        <w:rPr>
          <w:rFonts w:ascii="Times New Roman" w:hAnsi="Times New Roman" w:eastAsia="Times New Roman" w:cs="Times New Roman"/>
        </w:rPr>
        <w:t>Mais aux jours de la voix du septième ange, quand il commencera à sonner de la trompette, le mystère de Dieu s’accomplira, comme il l’a annoncé à ses serviteurs, les prophètes. Apocalypse 10:7.</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মিলেরাইটদের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মধুর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আক্ষেপের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মিলেরাইটরা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আগাম</w:t>
      </w:r>
      <w:r>
        <w:rPr>
          <w:rFonts w:ascii="Times New Roman" w:hAnsi="Times New Roman" w:eastAsia="Times New Roman" w:cs="Times New Roman"/>
        </w:rPr>
        <w:t xml:space="preserve"> </w:t>
      </w:r>
      <w:r>
        <w:rPr>
          <w:rFonts w:ascii="Nirmala UI" w:hAnsi="Nirmala UI" w:eastAsia="Nirmala UI" w:cs="Nirmala UI"/>
        </w:rPr>
        <w:t>পূর্বকথন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তদনুযায়ী</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তেমনই</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নিরাশার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উদরে</w:t>
      </w:r>
      <w:r>
        <w:rPr>
          <w:rFonts w:ascii="Times New Roman" w:hAnsi="Times New Roman" w:eastAsia="Times New Roman" w:cs="Times New Roman"/>
        </w:rPr>
        <w:t xml:space="preserve"> </w:t>
      </w:r>
      <w:r>
        <w:rPr>
          <w:rFonts w:ascii="Nirmala UI" w:hAnsi="Nirmala UI" w:eastAsia="Nirmala UI" w:cs="Nirmala UI"/>
        </w:rPr>
        <w:t>তিক্ত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উঠল।</w:t>
      </w:r>
      <w:r>
        <w:rPr>
          <w:rFonts w:ascii="Times New Roman" w:hAnsi="Times New Roman" w:eastAsia="Times New Roman" w:cs="Times New Roman"/>
        </w:rPr>
        <w:t xml:space="preserve"> </w:t>
      </w:r>
      <w:r>
        <w:rPr>
          <w:rFonts w:ascii="Nirmala UI" w:hAnsi="Nirmala UI" w:eastAsia="Nirmala UI" w:cs="Nirmala UI"/>
        </w:rPr>
        <w:t>যেইমাত্র</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চিত্রায়ন</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জানানো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কাজই</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পরিমাপ</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যিরূশালেমকে</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জাখরিয়ার</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রবের</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আক্ষেপের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রবের</w:t>
      </w:r>
      <w:r>
        <w:rPr>
          <w:rFonts w:ascii="Times New Roman" w:hAnsi="Times New Roman" w:eastAsia="Times New Roman" w:cs="Times New Roman"/>
        </w:rPr>
        <w:t>)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সময়পর্বকে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ঐশ্বর্য</w:t>
      </w:r>
      <w:r>
        <w:rPr>
          <w:rFonts w:ascii="Times New Roman" w:hAnsi="Times New Roman" w:eastAsia="Times New Roman" w:cs="Times New Roman"/>
        </w:rPr>
        <w:t xml:space="preserve"> </w:t>
      </w:r>
      <w:r>
        <w:rPr>
          <w:rFonts w:ascii="Nirmala UI" w:hAnsi="Nirmala UI" w:eastAsia="Nirmala UI" w:cs="Nirmala UI"/>
        </w:rPr>
        <w:t>স্থায়ীভাবে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মানবতার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যাচ্ছিল।</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বিলম্বিত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আক্ষেপ</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করল।</w:t>
      </w:r>
    </w:p>
    <w:p>
      <w:pPr>
        <w:pStyle w:val="ArticleBody"/>
        <w:jc w:val="left"/>
      </w:pPr>
      <w:r>
        <w:rPr>
          <w:rFonts w:ascii="Times New Roman" w:hAnsi="Times New Roman" w:eastAsia="Times New Roman" w:cs="Times New Roman"/>
        </w:rPr>
        <w:t>I roto i te hītori tapu i kōwhiria e te Ariki a Hiruharama hei whakatakoto i tōna ingoa ki reira, ā, ko tōna “ingoa” ko tōna anō huru. E kōrerotia ana a Hiruharama rāua ko Hiona e Hakaraia i tana kīnga, “E tino hae ana ahau mō Hiruharama, mō Hiona hoki, he hae nui rawa atu tōku,” ā, muri iho, “e whakamarie anō a Ihowā i a Hiona, ā, ka whiriwhiri anō hoki i a Hiruharama.” Ka whakamarietia a Hiona ina riro mai i a ia te Wairua Tapu, arā, te “Kaiwhakamarie.” I tīmata te whakamarietanga a te Wairua Tapu i te 9/11, e rite ana ki tā te Karaiti whakahā ki ngā ākonga i muri i tana hekenga iho i tana tūtakitanga ki te Matua i muri i tōna aranga. I tino whakanuia te whakakitenga mai o te Wairua Tapu i te Petekoha. I tīmata taua wā ki te whakaaranga ake o te whakahere hua tuatahi, ā, i mutu ki te whakahere hua tuatahi o te Petekoha, i taua wā ka rangona te karere e te ao katoa.</w:t>
      </w:r>
    </w:p>
    <w:p>
      <w:pPr>
        <w:pStyle w:val="ArticleScripture"/>
        <w:jc w:val="left"/>
      </w:pPr>
      <w:r>
        <w:rPr>
          <w:rFonts w:ascii="Times New Roman" w:hAnsi="Times New Roman" w:eastAsia="Times New Roman" w:cs="Times New Roman"/>
        </w:rPr>
        <w:t>Consolez, consolez mon peuple, dit votre Dieu. Parlez au cœur de Jérusalem, et criez-lui que son combat est achevé, que son iniquité est pardonnée; car elle a reçu de la main de l’Éternel le double pour tous ses péchés. Ésaïe 41:1, 2.</w:t>
      </w:r>
    </w:p>
    <w:p>
      <w:pPr>
        <w:pStyle w:val="ArticleBody"/>
        <w:jc w:val="left"/>
      </w:pPr>
      <w:r>
        <w:rPr>
          <w:rFonts w:ascii="Times New Roman" w:hAnsi="Times New Roman" w:eastAsia="Times New Roman" w:cs="Times New Roman"/>
        </w:rPr>
        <w:t>Mia moja arobaini na nne elfu kutiwa muhuri kunatukia wakati “uovu wao umesamehewa.” Hili hutokea mara tu kabla ya sheria ya Jumapili, wanapoinuliwa kama sadaka ya malimbuko ya Kipentekoste huku wakipokea kumiminwa kwa Roho Mtakatifu pasipo kipimo, kama vile wanafunzi walivyokuwa mfano wake katika Pentekoste. Kunyunyiziwa kwa mvua kulikokuanza tarehe 9/11 kunakuwa kumiminwa kamili wakati wa sheria ya Jumapili. Katika historia hiyo, tangu sadaka ya malimbuko ya 9/11 hadi sadaka ya malimbuko katika sheria ya Jumapili, wakati wale mia moja arobaini na nne elfu wanatiwa muhuri na kuandaliwa kuwa sadaka ya kuinuliwa kama bendera tangu sheria ya Jumapili hadi kufungwa kwa muda wa rehema. Historia hiyo inawakilishwa na mafungu matatu ya kwanza ya Ufunuo kumi na nane, yakitangaza kuanguka kwa Babeli, ambayo ndiyo ishara ya kibiblia inayowakilisha ‘kujiongeza mara mbili.’</w:t>
      </w:r>
    </w:p>
    <w:p>
      <w:pPr>
        <w:pStyle w:val="ArticleScripture"/>
        <w:jc w:val="left"/>
      </w:pPr>
      <w:r>
        <w:rPr>
          <w:rFonts w:ascii="Times New Roman" w:hAnsi="Times New Roman" w:eastAsia="Times New Roman" w:cs="Times New Roman"/>
        </w:rPr>
        <w:t>Et après ces choses, je vis descendre du ciel un autre ange, ayant une grande puissance; et la terre fut illuminée de sa gloire. Et il cria avec force d’une voix puissante, disant: Babylone la grande est tombée, est tombée; elle est devenue la demeure des démons, le repaire de tout esprit impur, et la cage de tout oiseau impur et odieux. Car toutes les nations ont bu du vin de la fureur de son impudicité, et les rois de la terre se sont livrés avec elle à l’impudicité, et les marchands de la terre se sont enrichis par l’abondance de son luxe. Apocalypse 18:1–3.</w:t>
      </w:r>
    </w:p>
    <w:p>
      <w:pPr>
        <w:pStyle w:val="ArticleBody"/>
        <w:jc w:val="left"/>
      </w:pPr>
      <w:r>
        <w:rPr>
          <w:rFonts w:ascii="Times New Roman" w:hAnsi="Times New Roman" w:eastAsia="Times New Roman" w:cs="Times New Roman"/>
        </w:rPr>
        <w:t>در سراسرِ کتاب‌مقدس، دوگانگیِ عبارات یا واژه‌ها نمایانگرِ تحققِ کاملِ سقوطِ بابل در ایامِ آخر است. این، مُهرِ آلفا و اُمگا است که همواره پایانِ یک چیز را با آغازِ آن به تصویر می‌کشد. دو سقوطِ بابل به‌صورتِ نمرود و بلشصر نشان داده شده است. نمرود آغازِ بابل بود، آنگاه که آن صرفاً بابلِ کهن، یعنی بابِل، بود. سقوطِ نمرود نمایانگرِ سقوطِ بلشصر بود، و پیامِ فرشتهٔ دوم و فرشتهٔ مکاشفهٔ هجده این است که سقوطِ نمرود در آغازِ بابل، نمایانگرِ سقوطِ بلشصر در پایان بود؛ زیرا آلفا و اُمگا همواره پایانِ یک چیز را با آغازِ آن به تصویر می‌کشد.</w:t>
      </w:r>
    </w:p>
    <w:p>
      <w:pPr>
        <w:pStyle w:val="ArticleBody"/>
        <w:jc w:val="left"/>
      </w:pPr>
      <w:r>
        <w:rPr>
          <w:rFonts w:ascii="Times New Roman" w:hAnsi="Times New Roman" w:eastAsia="Times New Roman" w:cs="Times New Roman"/>
        </w:rPr>
        <w:t>Nimrods torn blev styrtet ned som et symbol på hans fald, og han var et forbillede på Tvillingetårnenes fald den 11. september. Belsazzars fald var skriften på væggen, som markerede afslutningen på Babylons halvfjerdsårige herredømme som det første rige i Bibelens profeti og således er et forbillede på De Forenede Staters fald ved afslutningen af Esajas treogtyves symbolske “halvfjerds år, som én konges dage”, der repræsenterer De Forenede Staters historie fra 1798 indtil søndagsloven. Belsazzars skrift på væggen repræsenterer det tidspunkt, hvor adskillelsesmuren mellem kirke og stat falder ved søndagsloven, hvilket netop er det punkt, hvor det sjette rige i Bibelens profeti ender, ligesom Belsazzar blev dræbt samme nat. Håndskriften på væggen er den skrevne lov, som omstyrter adskillelsesmuren mellem kirke og stat i forfatningen.</w:t>
      </w:r>
    </w:p>
    <w:p>
      <w:pPr>
        <w:pStyle w:val="ArticleBody"/>
        <w:jc w:val="left"/>
      </w:pPr>
      <w:r>
        <w:rPr>
          <w:rFonts w:ascii="Times New Roman" w:hAnsi="Times New Roman" w:eastAsia="Times New Roman" w:cs="Times New Roman"/>
        </w:rPr>
        <w:t>‘</w:t>
      </w:r>
      <w:r>
        <w:rPr>
          <w:rFonts w:ascii="Nirmala UI" w:hAnsi="Nirmala UI" w:eastAsia="Nirmala UI" w:cs="Nirmala UI"/>
        </w:rPr>
        <w:t>দ্বিগুণ</w:t>
      </w:r>
      <w:r>
        <w:rPr>
          <w:rFonts w:ascii="Times New Roman" w:hAnsi="Times New Roman" w:eastAsia="Times New Roman" w:cs="Times New Roman"/>
        </w:rPr>
        <w:t xml:space="preserve">’ </w:t>
      </w:r>
      <w:r>
        <w:rPr>
          <w:rFonts w:ascii="Nirmala UI" w:hAnsi="Nirmala UI" w:eastAsia="Nirmala UI" w:cs="Nirmala UI"/>
        </w:rPr>
        <w:t>বাক্যাংশ</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শব্দের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প্রতীকায়ন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9/11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অবসান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মহামারী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বিস্তৃত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প্রথমে</w:t>
      </w:r>
      <w:r>
        <w:rPr>
          <w:rFonts w:ascii="Times New Roman" w:hAnsi="Times New Roman" w:eastAsia="Times New Roman" w:cs="Times New Roman"/>
        </w:rPr>
        <w:t xml:space="preserve"> 9/11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w:t>
      </w:r>
      <w:r>
        <w:rPr>
          <w:rFonts w:ascii="Times New Roman" w:hAnsi="Times New Roman" w:eastAsia="Times New Roman" w:cs="Times New Roman"/>
        </w:rPr>
        <w:t xml:space="preserve"> </w:t>
      </w:r>
      <w:r>
        <w:rPr>
          <w:rFonts w:ascii="Nirmala UI" w:hAnsi="Nirmala UI" w:eastAsia="Nirmala UI" w:cs="Nirmala UI"/>
        </w:rPr>
        <w:t>ছিটানো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পূর্ণরূপে</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সান্ত্বনাদাতা</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দেখিয়ে</w:t>
      </w:r>
      <w:r>
        <w:rPr>
          <w:rFonts w:ascii="Times New Roman" w:hAnsi="Times New Roman" w:eastAsia="Times New Roman" w:cs="Times New Roman"/>
        </w:rPr>
        <w:t xml:space="preserve"> </w:t>
      </w:r>
      <w:r>
        <w:rPr>
          <w:rFonts w:ascii="Nirmala UI" w:hAnsi="Nirmala UI" w:eastAsia="Nirmala UI" w:cs="Nirmala UI"/>
        </w:rPr>
        <w:t>দেবেন।</w:t>
      </w:r>
    </w:p>
    <w:p>
      <w:pPr>
        <w:pStyle w:val="ArticleScripture"/>
        <w:jc w:val="left"/>
      </w:pPr>
      <w:r>
        <w:rPr>
          <w:rFonts w:ascii="Times New Roman" w:hAnsi="Times New Roman" w:eastAsia="Times New Roman" w:cs="Times New Roman"/>
        </w:rPr>
        <w:t>Mais le Consolateur, qui est le Saint-Esprit, que le Père enverra en mon nom, lui, vous enseignera toutes choses, et vous rappellera tout ce que je vous ai dit. Jean 14:26.</w:t>
      </w:r>
    </w:p>
    <w:p>
      <w:pPr>
        <w:pStyle w:val="ArticleBody"/>
        <w:jc w:val="left"/>
      </w:pPr>
      <w:r>
        <w:rPr>
          <w:rFonts w:ascii="Times New Roman" w:hAnsi="Times New Roman" w:eastAsia="Times New Roman" w:cs="Times New Roman"/>
        </w:rPr>
        <w:t>Roho Mtakatifu huwasilishwa kwa wale mia moja arobaini na nne elfu kupitia “mafuta ya dhahabu,” ambayo pia ni “mvua,” na ambayo pia ni “Mfariji.” Anapowakilishwa kama “Mfariji,” Roho Mtakatifu anatambulisha udhihirisho wa pekee wa Roho Mtakatifu.</w:t>
      </w:r>
    </w:p>
    <w:p>
      <w:pPr>
        <w:pStyle w:val="ArticleBody"/>
        <w:jc w:val="left"/>
      </w:pPr>
      <w:r>
        <w:rPr>
          <w:rFonts w:ascii="Times New Roman" w:hAnsi="Times New Roman" w:eastAsia="Times New Roman" w:cs="Times New Roman"/>
        </w:rPr>
        <w:t>Khuda ke logon ne hamesha Rūḥ-ul-Qudus ko us waqt hasil kiya hai jab unhon ne Injīl ke taqāzō ko pūrā kiya ho, lekin haqīqī muqaddas bēdārī ke auqāt, “jaise guzashta sālōn mein,” jab jamā‘atī badan ke liye Rūḥ-ul-Qudus ka ek khās izhār hota hai, Rūḥ-ul-Qudus ko Tasallī Dene Wāle ke taur par pesh kiya gaya hai. Is se bhi zyada aham yeh hai ke jamā‘atī badan kī yāddāsht ko Tasallī Dene Wālā baḥāl karta hai jab woh “sab bāton ko” un kī “yād mein lata hai.” Yeh tasdīq karta hai ke is izhār mein shirkat karne wale afrad ka tajriba haqīqī hai, kyūnki Rūḥ-ul-Qudus un ke zehnoñ kī sargarmiyōñ mein sharīk hai, is liye ke woh fikr ke amal par asar andāz hota hai jab woh “sab bāton ko tumhārī yād mein lata hai.”</w:t>
      </w:r>
    </w:p>
    <w:p>
      <w:pPr>
        <w:pStyle w:val="ArticleBody"/>
        <w:jc w:val="left"/>
      </w:pPr>
      <w:r>
        <w:rPr>
          <w:rFonts w:ascii="Times New Roman" w:hAnsi="Times New Roman" w:eastAsia="Times New Roman" w:cs="Times New Roman"/>
        </w:rPr>
        <w:t>La mémoire humaine, conjointement avec les autres composantes telles que le jugement, l’intelligence, la raison et la conscience, constitue la nature supérieure de l’homme, que l’apôtre Paul désigne comme « la pensée ». Cette nature supérieure est soit la pensée charnelle, soit la pensée de Christ.</w:t>
      </w:r>
    </w:p>
    <w:p>
      <w:pPr>
        <w:pStyle w:val="ArticleScripture"/>
        <w:jc w:val="left"/>
      </w:pPr>
      <w:r>
        <w:rPr>
          <w:rFonts w:ascii="Times New Roman" w:hAnsi="Times New Roman" w:eastAsia="Times New Roman" w:cs="Times New Roman"/>
        </w:rPr>
        <w:t>Mert a testi gondolkodás ellenségeskedés Istennel szemben; minthogy nem engedelmeskedik Isten törvényének, sőt nem is képes rá. Róma 8:7.</w:t>
      </w:r>
    </w:p>
    <w:p>
      <w:pPr>
        <w:pStyle w:val="ArticleScripture"/>
        <w:jc w:val="left"/>
      </w:pPr>
      <w:r>
        <w:rPr>
          <w:rFonts w:ascii="Times New Roman" w:hAnsi="Times New Roman" w:eastAsia="Times New Roman" w:cs="Times New Roman"/>
        </w:rPr>
        <w:t>Vonkani hi le hnuai theih ang maw, amah chuan amah zirtîr thei tûrin? Nimahsela keini chuan Krista rilru kan nei. 1 Korinth 2:16.</w:t>
      </w:r>
    </w:p>
    <w:p>
      <w:pPr>
        <w:pStyle w:val="ArticleBody"/>
        <w:jc w:val="left"/>
      </w:pPr>
      <w:r>
        <w:rPr>
          <w:rFonts w:ascii="Times New Roman" w:hAnsi="Times New Roman" w:eastAsia="Times New Roman" w:cs="Times New Roman"/>
        </w:rPr>
        <w:t>La nature inférieure, ou la chair, est constituée des systèmes nerveux, émotionnel et hormonal associés aux sens, lesquels sont les « avenues de l’âme ». La nature supérieure est destinée à dominer sur l’inférieure et, à ce titre, elle est représentée comme la forteresse; or la forteresse est constamment assaillie par les sens (la nature inférieure), et ces assauts sont portés contre la forteresse par les avenues qui y donnent accès. Au sein de la forteresse de la nature supérieure se trouve un centre de commandement, ou ce que Sœur White appelle la citadelle. La citadelle est le Très Saint du sanctuaire, lequel est divisé en deux sections fondamentales. Le parvis est la chair, ou nature inférieure, et, pour entrer dans le parvis ou encore pour faire passer le sang dans le lieu saint, il fallait franchir un rideau, ou voile. Le parvis est encadré par les voiles.</w:t>
      </w:r>
    </w:p>
    <w:p>
      <w:pPr>
        <w:pStyle w:val="ArticleScripture"/>
        <w:jc w:val="left"/>
      </w:pPr>
      <w:r>
        <w:rPr>
          <w:rFonts w:ascii="Times New Roman" w:hAnsi="Times New Roman" w:eastAsia="Times New Roman" w:cs="Times New Roman"/>
        </w:rPr>
        <w:t>Par une voie nouvelle et vivante, qu’il a consacrée pour nous à travers le voile, c’est-à-dire sa chair. Hébreux 10:20.</w:t>
      </w:r>
    </w:p>
    <w:p>
      <w:pPr>
        <w:pStyle w:val="ArticleBody"/>
        <w:jc w:val="left"/>
      </w:pPr>
      <w:r>
        <w:rPr>
          <w:rFonts w:ascii="Times New Roman" w:hAnsi="Times New Roman" w:eastAsia="Times New Roman" w:cs="Times New Roman"/>
        </w:rPr>
        <w:t>Kudenga kwagawanyika kukhala zigawo ziwiri: bwalo ndi malo opatulika. Malo opatulikawo, nawonso, amagawikana kukhala zigawo ziwiri, monga mmene chikhalidwe chapamwamba chimagawikanso. Chikhalidwe chapamwamba chimagawika m'madera awiri. Limodzi la maderawo limaimiridwa ngati Malo Opatulika, ndipo linalo ngati Malo Opatulikitsa. Malo Opatulika amaimira ntchito za m'maganizo zofunika kuti umunthu ugwire ntchito, koma Malo Opatulikitsa ndi dera limene Mulungu ndi munthu amakumanirana. Malo Opatulikitsa ndi chipinda cha mpando wachifumu cha Mulungu, ndipo amene atembenuka mtima akhala m'malo a kumwamba pamodzi ndi Khristu.</w:t>
      </w:r>
    </w:p>
    <w:p>
      <w:pPr>
        <w:pStyle w:val="ArticleScripture"/>
        <w:jc w:val="left"/>
      </w:pPr>
      <w:r>
        <w:rPr>
          <w:rFonts w:ascii="Times New Roman" w:hAnsi="Times New Roman" w:eastAsia="Times New Roman" w:cs="Times New Roman"/>
        </w:rPr>
        <w:t>Et il nous a ressuscités ensemble, et nous a fait asseoir ensemble dans les lieux célestes en Jésus-Christ. Éphésiens 2:6.</w:t>
      </w:r>
    </w:p>
    <w:p>
      <w:pPr>
        <w:pStyle w:val="ArticleBody"/>
        <w:jc w:val="left"/>
      </w:pPr>
      <w:r>
        <w:rPr>
          <w:rFonts w:ascii="Times New Roman" w:hAnsi="Times New Roman" w:eastAsia="Times New Roman" w:cs="Times New Roman"/>
        </w:rPr>
        <w:t>Le verset est tiré d’un passage où, plusieurs versets auparavant, mais absolument dans le même enchaînement de pensée, Jésus est assis dans les lieux célestes, tout comme l’est son peuple.</w:t>
      </w:r>
    </w:p>
    <w:p>
      <w:pPr>
        <w:pStyle w:val="ArticleScripture"/>
        <w:jc w:val="left"/>
      </w:pPr>
      <w:r>
        <w:rPr>
          <w:rFonts w:ascii="Times New Roman" w:hAnsi="Times New Roman" w:eastAsia="Times New Roman" w:cs="Times New Roman"/>
        </w:rPr>
        <w:t>Abin da ya aikata a cikin Almasihu, sa’ad da ya tashe shi daga matattu, ya kuma zaunar da shi a hannun damansa a wurare na samaniya. Afisawa 1:20.</w:t>
      </w:r>
    </w:p>
    <w:p>
      <w:pPr>
        <w:pStyle w:val="ArticleBody"/>
        <w:jc w:val="left"/>
      </w:pPr>
      <w:r>
        <w:rPr>
          <w:rFonts w:ascii="Times New Roman" w:hAnsi="Times New Roman" w:eastAsia="Times New Roman" w:cs="Times New Roman"/>
        </w:rPr>
        <w:t>Le Christ et son peuple sont assis ensemble dans le lieu très saint. Le Christ est ressuscité, puis il s’est assis dans les lieux célestes, et son peuple est relevé et assis dans la salle du trône du lieu très saint. Paul montre que ceux qui sont relevés au verset six ont été ressuscités du péché dans le verset précédent.</w:t>
      </w:r>
    </w:p>
    <w:p>
      <w:pPr>
        <w:pStyle w:val="ArticleScripture"/>
        <w:jc w:val="left"/>
      </w:pPr>
      <w:r>
        <w:rPr>
          <w:rFonts w:ascii="Times New Roman" w:hAnsi="Times New Roman" w:eastAsia="Times New Roman" w:cs="Times New Roman"/>
        </w:rPr>
        <w:t>Na hata tulipokuwa wafu katika dhambi, alituhuisha pamoja na Kristo, (kwa neema mmeokolewa); tena akatufufua pamoja, akatuketisha pamoja katika ulimwengu wa roho ndani ya Kristo Yesu. Waefeso 1:5, 6.</w:t>
      </w:r>
    </w:p>
    <w:p>
      <w:pPr>
        <w:pStyle w:val="ArticleBody"/>
        <w:jc w:val="left"/>
      </w:pPr>
      <w:r>
        <w:rPr>
          <w:rFonts w:ascii="Times New Roman" w:hAnsi="Times New Roman" w:eastAsia="Times New Roman" w:cs="Times New Roman"/>
        </w:rPr>
        <w:t>L’accomplissement parfait du passage d’Éphésiens se trouve dans les deux témoins d’Apocalypse onze, qui ressuscitent, puis sont enlevés au ciel comme un étendard — mais aussi pour être assis dans les lieux célestes. Dans le Lieu très saint, les deux témoins représentent l’humanité dans la présence même de Dieu, et la justification de leur droit d’y être assis est l’insigne que chacun d’eux possède. Cet insigne est le sceau de Dieu, et le sceau de Dieu signifie que l’humain est devenu un avec le divin, et ce sceau est représenté par le fait que le Consolateur, qui est le Saint-Esprit, demeure dans le Lieu très saint de leur nature supérieure. Le Lieu très saint est la salle du trône de Dieu, où le divin et l’humain sont unis, et il représente le temple humain, dont la nature supérieure comprend un Lieu très saint où la divinité et l’humanité sont toutes deux assises ensemble.</w:t>
      </w:r>
    </w:p>
    <w:p>
      <w:pPr>
        <w:pStyle w:val="ArticleBody"/>
        <w:jc w:val="left"/>
      </w:pPr>
      <w:r>
        <w:rPr>
          <w:rFonts w:ascii="Times New Roman" w:hAnsi="Times New Roman" w:eastAsia="Times New Roman" w:cs="Times New Roman"/>
        </w:rPr>
        <w:t>L’effusion du « Consolateur » est le scellement des cent quarante-quatre mille, et elle marque un changement dans l’histoire du salut, car à ce moment-là, l’Église passe de l’Église militante à l’Église triomphante. À ce moment-là, elle passe du mouvement laodicéen des cent quarante-quatre mille au mouvement philadelphien des cent quarante-quatre mille. À ce moment-là, elle passe de l’expérience de la septième Église à l’expérience de la sixième Église, et la sixième Église était celle des millérites. Une caractéristique prophétique de la sixième Église de Philadelphie, telle qu’elle s’est accomplie dans le mouvement millérite, est qu’elle ne fut jamais une Église. Elle ne fut qu’un mouvement jusqu’en 1856, lorsque les deux White identifièrent le mouvement comme étant laodicéen. Sept ans plus tard, l’Église légale fut formée.</w:t>
      </w:r>
    </w:p>
    <w:p>
      <w:pPr>
        <w:pStyle w:val="ArticleBody"/>
        <w:jc w:val="left"/>
      </w:pPr>
      <w:r>
        <w:rPr>
          <w:rFonts w:ascii="Times New Roman" w:hAnsi="Times New Roman" w:eastAsia="Times New Roman" w:cs="Times New Roman"/>
        </w:rPr>
        <w:t>Mabadiliko ya wokovu katika sheria ya Jumapili yalifananishwa kwa mfano na mabadiliko ya wokovu katika Pentekoste, ambayo yaliashiria kuanzishwa kwa Kristo kama Kuhani Mkuu.</w:t>
      </w:r>
    </w:p>
    <w:p>
      <w:pPr>
        <w:pStyle w:val="ArticleScripture"/>
        <w:jc w:val="left"/>
      </w:pPr>
      <w:r>
        <w:rPr>
          <w:rFonts w:ascii="Times New Roman" w:hAnsi="Times New Roman" w:eastAsia="Times New Roman" w:cs="Times New Roman"/>
        </w:rPr>
        <w:t>La effusión pentecostal fue la comunicación del Cielo de que la entronización del Redentor había sido consumada. Conforme a su promesa, Él había enviado desde el cielo al Espíritu Santo a sus seguidores como señal de que, como sacerdote y rey, había recibido toda autoridad en el cielo y en la tierra, y era el Ungido sobre su pueblo.” Hechos de los Apóstoles, 38.</w:t>
      </w:r>
    </w:p>
    <w:p>
      <w:pPr>
        <w:pStyle w:val="ArticleBody"/>
        <w:jc w:val="left"/>
      </w:pPr>
      <w:r>
        <w:rPr>
          <w:rFonts w:ascii="Times New Roman" w:hAnsi="Times New Roman" w:eastAsia="Times New Roman" w:cs="Times New Roman"/>
        </w:rPr>
        <w:t>Wanneer de late regen zonder mate wordt uitgestort over de honderdvierenveertigduizend ten tijde van de zondagwet, zal dit de “mededeling van de hemel” zijn dat de strijdende kerk ten einde is gekomen en de triomferende kerk is aangebroken. De inhuldiging van Christus met Pinksteren in het heiligdom hierboven is een voorafbeelding van de zalving van de honderdvierenveertigduizend ten tijde van de zondagwet.</w:t>
      </w:r>
    </w:p>
    <w:p>
      <w:pPr>
        <w:pStyle w:val="ArticleBody"/>
        <w:jc w:val="left"/>
      </w:pPr>
      <w:r>
        <w:rPr>
          <w:rFonts w:ascii="Times New Roman" w:hAnsi="Times New Roman" w:eastAsia="Times New Roman" w:cs="Times New Roman"/>
        </w:rPr>
        <w:t>Nsã gu “Pentecostal” mĩn kɔɔ kɛ Kriso yɛ Ŋutsɔ Aƒetɔ la, tsɔ eŋlɛ be woa-tsɔ ami na Eyɛwɔwɔ kple dɔwɔwɔ gã la me le dzifofɔ me; gake woa-tsɔ ami na e hã le eƒe nyɔnyrɔ me. Eƒe nyɔnyrɔ (9/11) va Pentekoste dzi (Kwasida se la) hã ɖe eƒe nɔnɔme bubu me ake le ƒe etɔ kple afã megbe na eƒe nyɔnyrɔ, to eƒe kuku vavã, ɖiɖi, kple tsitretsitsi me (ŋkeke gbãtɔ si wowɔna nuvɔsae la ƒe festa). Eya ta 9/11 ɖe eƒe nɔnɔme me le eƒe nyɔnyrɔ me eye wole eƒe tsitretsitsi me hã. Eƒe tsitretsitsi dzesi-tɔtrɔ la kple eƒe tsitretsitsi vavã la wɔnɔa nyagblɔɖila ƒe ŋɔli eve ƒe gɔmedzedze, siwo katã wu nu le Pentekoste dzi. Ŋutinya siawo katã gɔmedzea le gbãtɔ-kple-nunyɔsae la ƒe tsitretsitsi me.</w:t>
      </w:r>
    </w:p>
    <w:p>
      <w:pPr>
        <w:pStyle w:val="ArticleScripture"/>
        <w:jc w:val="left"/>
      </w:pPr>
      <w:r>
        <w:rPr>
          <w:rFonts w:ascii="Times New Roman" w:hAnsi="Times New Roman" w:eastAsia="Times New Roman" w:cs="Times New Roman"/>
        </w:rPr>
        <w:t>Kasi sasa Kristo amefufuka kutoka kwa wafu, naye amekuwa malimbuko ya wale waliolala. Kwa kuwa kwa mtu mmoja mauti ilikuja, kwa mtu mmoja pia kuja ufufuo wa wafu. Kwa maana kama katika Adamu wote wanakufa, vivyo hivyo katika Kristo wote watahuishwa. Lakini kila mtu kwa utaratibu wake mwenyewe: Kristo malimbuko; baadaye wale walio wa Kristo wakati wa kuja kwake. 1 Wakorintho 15:20–23.</w:t>
      </w:r>
    </w:p>
    <w:p>
      <w:pPr>
        <w:pStyle w:val="ArticleBody"/>
        <w:jc w:val="left"/>
      </w:pPr>
      <w:r>
        <w:rPr>
          <w:rFonts w:ascii="Times New Roman" w:hAnsi="Times New Roman" w:eastAsia="Times New Roman" w:cs="Times New Roman"/>
        </w:rPr>
        <w:t>Le Christ est l’offrande des prémices lors de sa résurrection, marquant le commencement de la « saison pentecostale », laquelle s’achève avec l’offrande des prémices de la Pentecôte. La résurrection du Christ est l’orge, et le blé, ce sont ceux qui, « ensuite », « appartiennent à Christ lors de son avènement ». Ceux qui viennent « ensuite » à la résurrection du Christ sont « ceux qui appartiennent à Christ lors de son avènement », représentant ainsi le rassemblement final des âmes fidèles à la fin du monde, tel qu’il est figuré par ces trois mille âmes qui furent recueillies à la Pentecôte.</w:t>
      </w:r>
    </w:p>
    <w:p>
      <w:pPr>
        <w:pStyle w:val="ArticleBody"/>
        <w:jc w:val="left"/>
      </w:pPr>
      <w:r>
        <w:rPr>
          <w:rFonts w:ascii="Times New Roman" w:hAnsi="Times New Roman" w:eastAsia="Times New Roman" w:cs="Times New Roman"/>
        </w:rPr>
        <w:t>Le verset traite également de la résurrection en termes de mort. La mort a commencé avec Adam et passe sur tous les hommes, mais elle le fait « dans » un « ordre ». Dans le livre des Actes, Pierre rapporte que, lorsque le livre de Joël s’accomplissait alors, les hommes devaient envoyer leurs péchés d’avance en jugement afin qu’ils fussent effacés, lorsque viendraient des temps de rafraîchissement de la part de la présence du Consolateur. Christ ne regardait pas alors aux livres du jugement pour effacer le péché, car le jugement était encore à plus de dix-huit cents ans dans l’avenir.</w:t>
      </w:r>
    </w:p>
    <w:p>
      <w:pPr>
        <w:pStyle w:val="ArticleBody"/>
        <w:jc w:val="left"/>
      </w:pPr>
      <w:r>
        <w:rPr>
          <w:rFonts w:ascii="Times New Roman" w:hAnsi="Times New Roman" w:eastAsia="Times New Roman" w:cs="Times New Roman"/>
        </w:rPr>
        <w:t>“Chacun à son rang” commence avec Adam et désigne ainsi le jugement des morts depuis Adam jusqu’à ce que viennent les temps de rafraîchissement. Lorsque la pluie de l’arrière-saison arrive, le jugement passe des morts aux vivants. Dans la période représentée par le verset (depuis la résurrection de Christ jusqu’à la Pentecôte), depuis les prémices de l’orge jusqu’aux prémices du blé, la pluie tombe durant le jugement des vivants et, à mesure qu’elle tombe, le message représenté par la pluie sépare le blé de l’ivraie. Au décret dominical, qui est la Pentecôte, le blé n’est plus mêlé à l’ivraie, et l’offrande des prémices du blé, constituée de deux pains agités, est élevée. Le processus de purification depuis le 11 septembre jusqu’au décret dominical est également représenté dans Malachie 3, lorsque le Messager de l’Alliance purifie et épure aussi les Lévites, et il le fait par le « feu ». Le « feu » est un symbole d’un message, comme le représentent les langues de feu à la Pentecôte. Dans l’histoire considérée, la séparation des deux classes, qui produit les cent quarante-quatre mille, lesquels sont les deux pains agités représentés par les prémices de la Pentecôte, devait être menée jusqu’à complète cuisson, car ils étaient la seule offrande qui comprît un emblème du péché.</w:t>
      </w:r>
    </w:p>
    <w:p>
      <w:pPr>
        <w:pStyle w:val="ArticleBody"/>
        <w:jc w:val="left"/>
      </w:pP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હલાવવામાં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રોટલા</w:t>
      </w:r>
      <w:r>
        <w:rPr>
          <w:rFonts w:ascii="Times New Roman" w:hAnsi="Times New Roman" w:eastAsia="Times New Roman" w:cs="Times New Roman"/>
        </w:rPr>
        <w:t xml:space="preserve"> </w:t>
      </w:r>
      <w:r>
        <w:rPr>
          <w:rFonts w:ascii="Nirmala UI" w:hAnsi="Nirmala UI" w:eastAsia="Nirmala UI" w:cs="Nirmala UI"/>
        </w:rPr>
        <w:t>ખમીરવાળા</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ખમીર</w:t>
      </w:r>
      <w:r>
        <w:rPr>
          <w:rFonts w:ascii="Times New Roman" w:hAnsi="Times New Roman" w:eastAsia="Times New Roman" w:cs="Times New Roman"/>
        </w:rPr>
        <w:t xml:space="preserve"> </w:t>
      </w:r>
      <w:r>
        <w:rPr>
          <w:rFonts w:ascii="Nirmala UI" w:hAnsi="Nirmala UI" w:eastAsia="Nirmala UI" w:cs="Nirmala UI"/>
        </w:rPr>
        <w:t>પાપનું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ખમીર</w:t>
      </w:r>
      <w:r>
        <w:rPr>
          <w:rFonts w:ascii="Times New Roman" w:hAnsi="Times New Roman" w:eastAsia="Times New Roman" w:cs="Times New Roman"/>
        </w:rPr>
        <w:t xml:space="preserve"> </w:t>
      </w:r>
      <w:r>
        <w:rPr>
          <w:rFonts w:ascii="Nirmala UI" w:hAnsi="Nirmala UI" w:eastAsia="Nirmala UI" w:cs="Nirmala UI"/>
        </w:rPr>
        <w:t>ભઠ્ઠીની</w:t>
      </w:r>
      <w:r>
        <w:rPr>
          <w:rFonts w:ascii="Times New Roman" w:hAnsi="Times New Roman" w:eastAsia="Times New Roman" w:cs="Times New Roman"/>
        </w:rPr>
        <w:t xml:space="preserve"> </w:t>
      </w:r>
      <w:r>
        <w:rPr>
          <w:rFonts w:ascii="Nirmala UI" w:hAnsi="Nirmala UI" w:eastAsia="Nirmala UI" w:cs="Nirmala UI"/>
        </w:rPr>
        <w:t>આગમાં</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શુદ્ધિકારક</w:t>
      </w:r>
      <w:r>
        <w:rPr>
          <w:rFonts w:ascii="Times New Roman" w:hAnsi="Times New Roman" w:eastAsia="Times New Roman" w:cs="Times New Roman"/>
        </w:rPr>
        <w:t xml:space="preserve"> </w:t>
      </w:r>
      <w:r>
        <w:rPr>
          <w:rFonts w:ascii="Nirmala UI" w:hAnsi="Nirmala UI" w:eastAsia="Nirmala UI" w:cs="Nirmala UI"/>
        </w:rPr>
        <w:t>આગ</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સત્તાવીસમાં</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9/11 </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પવનનો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શીખવે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ઇઝરાયલના</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પ્રાયશ્ચિત્ત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ઉત્તરવર્ષાના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અસ્તિત્વમાં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તમામ</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ઉત્તરવર્ષાના</w:t>
      </w:r>
      <w:r>
        <w:rPr>
          <w:rFonts w:ascii="Times New Roman" w:hAnsi="Times New Roman" w:eastAsia="Times New Roman" w:cs="Times New Roman"/>
        </w:rPr>
        <w:t xml:space="preserve"> </w:t>
      </w:r>
      <w:r>
        <w:rPr>
          <w:rFonts w:ascii="Nirmala UI" w:hAnsi="Nirmala UI" w:eastAsia="Nirmala UI" w:cs="Nirmala UI"/>
        </w:rPr>
        <w:t>સંદેશાઓ</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આગ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આગ</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મલિનતા</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વાપરે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ઉત્તરવર્ષાના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સન્ડે</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ઉઠાવવામાં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પેન્ટેકોસ્ટની</w:t>
      </w:r>
      <w:r>
        <w:rPr>
          <w:rFonts w:ascii="Times New Roman" w:hAnsi="Times New Roman" w:eastAsia="Times New Roman" w:cs="Times New Roman"/>
        </w:rPr>
        <w:t xml:space="preserve"> </w:t>
      </w:r>
      <w:r>
        <w:rPr>
          <w:rFonts w:ascii="Nirmala UI" w:hAnsi="Nirmala UI" w:eastAsia="Nirmala UI" w:cs="Nirmala UI"/>
        </w:rPr>
        <w:t>પ્રથમફળ</w:t>
      </w:r>
      <w:r>
        <w:rPr>
          <w:rFonts w:ascii="Times New Roman" w:hAnsi="Times New Roman" w:eastAsia="Times New Roman" w:cs="Times New Roman"/>
        </w:rPr>
        <w:t xml:space="preserve"> </w:t>
      </w:r>
      <w:r>
        <w:rPr>
          <w:rFonts w:ascii="Nirmala UI" w:hAnsi="Nirmala UI" w:eastAsia="Nirmala UI" w:cs="Nirmala UI"/>
        </w:rPr>
        <w:t>ઘઉંની</w:t>
      </w:r>
      <w:r>
        <w:rPr>
          <w:rFonts w:ascii="Times New Roman" w:hAnsi="Times New Roman" w:eastAsia="Times New Roman" w:cs="Times New Roman"/>
        </w:rPr>
        <w:t xml:space="preserve"> </w:t>
      </w:r>
      <w:r>
        <w:rPr>
          <w:rFonts w:ascii="Nirmala UI" w:hAnsi="Nirmala UI" w:eastAsia="Nirmala UI" w:cs="Nirmala UI"/>
        </w:rPr>
        <w:t>અર્પણમાંથી</w:t>
      </w:r>
      <w:r>
        <w:rPr>
          <w:rFonts w:ascii="Times New Roman" w:hAnsi="Times New Roman" w:eastAsia="Times New Roman" w:cs="Times New Roman"/>
        </w:rPr>
        <w:t xml:space="preserve"> </w:t>
      </w:r>
      <w:r>
        <w:rPr>
          <w:rFonts w:ascii="Nirmala UI" w:hAnsi="Nirmala UI" w:eastAsia="Nirmala UI" w:cs="Nirmala UI"/>
        </w:rPr>
        <w:t>ખમીર</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પેન્ટેકોસ્ટની</w:t>
      </w:r>
      <w:r>
        <w:rPr>
          <w:rFonts w:ascii="Times New Roman" w:hAnsi="Times New Roman" w:eastAsia="Times New Roman" w:cs="Times New Roman"/>
        </w:rPr>
        <w:t xml:space="preserve"> </w:t>
      </w:r>
      <w:r>
        <w:rPr>
          <w:rFonts w:ascii="Nirmala UI" w:hAnsi="Nirmala UI" w:eastAsia="Nirmala UI" w:cs="Nirmala UI"/>
        </w:rPr>
        <w:t>પ્રથમફળ</w:t>
      </w:r>
      <w:r>
        <w:rPr>
          <w:rFonts w:ascii="Times New Roman" w:hAnsi="Times New Roman" w:eastAsia="Times New Roman" w:cs="Times New Roman"/>
        </w:rPr>
        <w:t xml:space="preserve"> </w:t>
      </w:r>
      <w:r>
        <w:rPr>
          <w:rFonts w:ascii="Nirmala UI" w:hAnsi="Nirmala UI" w:eastAsia="Nirmala UI" w:cs="Nirmala UI"/>
        </w:rPr>
        <w:t>ઘઉંની</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લોહીના</w:t>
      </w:r>
      <w:r>
        <w:rPr>
          <w:rFonts w:ascii="Times New Roman" w:hAnsi="Times New Roman" w:eastAsia="Times New Roman" w:cs="Times New Roman"/>
        </w:rPr>
        <w:t xml:space="preserve"> </w:t>
      </w:r>
      <w:r>
        <w:rPr>
          <w:rFonts w:ascii="Nirmala UI" w:hAnsi="Nirmala UI" w:eastAsia="Nirmala UI" w:cs="Nirmala UI"/>
        </w:rPr>
        <w:t>ધર્મીકરણ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સાક્ષીના</w:t>
      </w:r>
      <w:r>
        <w:rPr>
          <w:rFonts w:ascii="Times New Roman" w:hAnsi="Times New Roman" w:eastAsia="Times New Roman" w:cs="Times New Roman"/>
        </w:rPr>
        <w:t xml:space="preserve"> </w:t>
      </w:r>
      <w:r>
        <w:rPr>
          <w:rFonts w:ascii="Nirmala UI" w:hAnsi="Nirmala UI" w:eastAsia="Nirmala UI" w:cs="Nirmala UI"/>
        </w:rPr>
        <w:t>પવિત્રીકરણ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સંપ્રેષિત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પ્રસ્તુતિકરણ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જીવવા</w:t>
      </w:r>
      <w:r>
        <w:rPr>
          <w:rFonts w:ascii="Times New Roman" w:hAnsi="Times New Roman" w:eastAsia="Times New Roman" w:cs="Times New Roman"/>
        </w:rPr>
        <w:t xml:space="preserve"> </w:t>
      </w:r>
      <w:r>
        <w:rPr>
          <w:rFonts w:ascii="Nirmala UI" w:hAnsi="Nirmala UI" w:eastAsia="Nirmala UI" w:cs="Nirmala UI"/>
        </w:rPr>
        <w:t>દે</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ઉત્તરવર્ષાના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પ્રસ્તુતિકરણ</w:t>
      </w:r>
      <w:r>
        <w:rPr>
          <w:rFonts w:ascii="Times New Roman" w:hAnsi="Times New Roman" w:eastAsia="Times New Roman" w:cs="Times New Roman"/>
        </w:rPr>
        <w:t xml:space="preserve"> </w:t>
      </w:r>
      <w:r>
        <w:rPr>
          <w:rFonts w:ascii="Nirmala UI" w:hAnsi="Nirmala UI" w:eastAsia="Nirmala UI" w:cs="Nirmala UI"/>
        </w:rPr>
        <w:t>મરણ</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 oni su ga pobijedili krvlju Janjetovom i riječju svoga svjedočanstva; i ne uzljubiše života svojega do smrti. Otkrivenje 12,11.</w:t>
      </w:r>
    </w:p>
    <w:p>
      <w:pPr>
        <w:pStyle w:val="ArticleBody"/>
        <w:jc w:val="left"/>
      </w:pPr>
      <w:r>
        <w:rPr>
          <w:rFonts w:ascii="Times New Roman" w:hAnsi="Times New Roman" w:eastAsia="Times New Roman" w:cs="Times New Roman"/>
        </w:rPr>
        <w:t>Les cent quarante-quatre mille suivent le Christ dans la victoire comme lui-même a vaincu, car, prophétiquement, ils suivent le Christ.</w:t>
      </w:r>
    </w:p>
    <w:p>
      <w:pPr>
        <w:pStyle w:val="ArticleScripture"/>
        <w:jc w:val="left"/>
      </w:pPr>
      <w:r>
        <w:rPr>
          <w:rFonts w:ascii="Times New Roman" w:hAnsi="Times New Roman" w:eastAsia="Times New Roman" w:cs="Times New Roman"/>
        </w:rPr>
        <w:t>Bano ke ba sa kang ba silafatsoa le basali; hobane ke baroetsana. Bano ke ba latelang Konyana hohle moo e eang teng. Bana ba lopolotsoe hara batho, e le litholoana tsa pele ho Molimo le ho Konyana. Tšenolo 14:4.</w:t>
      </w:r>
    </w:p>
    <w:p>
      <w:pPr>
        <w:pStyle w:val="ArticleBody"/>
        <w:jc w:val="left"/>
      </w:pPr>
      <w:r>
        <w:rPr>
          <w:rFonts w:ascii="Times New Roman" w:hAnsi="Times New Roman" w:eastAsia="Times New Roman" w:cs="Times New Roman"/>
        </w:rPr>
        <w:t>Sa “talata kwatro” ng Pahayag labing-apat, ang isang daan at apatnapu’t apat na libo ay kinikilalang “mga unang bunga.” Sila rin ay kinikilalang “mga birhen,” at ipinaalam sa atin ng inspirasyon na ang talinghaga ng sampung birhen sa Mateo dalawampu’t lima ay naglalarawan ng karanasan ng mga Adventistang bayan. Hindi lamang sila “mga birhen”; sila ay hindi “nadungisan ng mga babae,” sapagkat ang proseso ng pagsubok at paghihiwalay na nagluwal sa isang daan at apatnapu’t apat na libo ay nagbunga ng isang malinaw na pagkakaiba sa pagitan ng isang daan at apatnapu’t apat na libo at ng “lahat” ng mga bulaang relihiyon. “Ang mga ito” ay sumusunod sa Kordero saan man Siya pumaroon, at bilang mga handog na unang bunga, kinakailangan nilang sumunod kay Cristo sa Kaniyang kamatayan, paglilibing, at pagkabuhay na mag-uli.</w:t>
      </w:r>
    </w:p>
    <w:p>
      <w:pPr>
        <w:pStyle w:val="ArticleBody"/>
        <w:jc w:val="left"/>
      </w:pPr>
      <w:r>
        <w:rPr>
          <w:rFonts w:ascii="Times New Roman" w:hAnsi="Times New Roman" w:eastAsia="Times New Roman" w:cs="Times New Roman"/>
        </w:rPr>
        <w:t>Na Ufunuo sura ya kumi na moja, aya ya kumi na moja, wale mashahidi wawili watakaoinuliwa kuwa bendera kwanza wanauawa; kisha, baada ya siku tatu na nusu, wanafufuliwa kuwa sadaka ya malimbuko, kama alivyokuwa Kristo. Sadaka ya malimbuko, iliyokuwa na iliyo Kristo, ilijumuisha kumwagwa kwa damu ya agano ili kuwakomboa wale waliokuwa wamefilisika kwa uzoefu wa Laodikia. Katika aya moja, (aya ya nne) muhtasari huu mfupi wa mistari mbalimbali ya nuru ya unabii inayohusiana na wale elfu mia moja arobaini na nne unawekwa wazi. Nao unawekwa wazi katika Ufunuo 144 kwa mkono wa Palmoni, yule mhesabu wa ajabu. Kurudiwa mara mbili katika Maandiko huwakilisha historia ya mvua ya masika ya mwisho, na mvua ya masika ya mwisho ndiyo mahali na wakati ambapo Mfariji anamwagiwa juu ya watu wa Mungu.</w:t>
      </w:r>
    </w:p>
    <w:p>
      <w:pPr>
        <w:pStyle w:val="ArticleScripture"/>
        <w:jc w:val="left"/>
      </w:pPr>
      <w:r>
        <w:rPr>
          <w:rFonts w:ascii="Times New Roman" w:hAnsi="Times New Roman" w:eastAsia="Times New Roman" w:cs="Times New Roman"/>
        </w:rPr>
        <w:t>Que bels son sus las montanhas los pès de cel que pòrta bonas novèlas, que publica la patz; que pòrta bonas novèlas de ben, que publica la salvacion; que ditz a Sion: Ton Dieu regna! Tas sentinèlas elevaràn la votz; ensems, de votz comuna, cantaràn: car veiràn uèlh a uèlh, quand lo Senhor tornarà menar Sion. Esclatatz de joi, cantatz ensems, ò luòcs desolats de Jerusalèm: car lo Senhor a consolat son pòble, a raquitat Jerusalèm. Lo Senhor a desnudat son braç sant davant los uèlhs de totas las nacions; e totes los confins de la tèrra veiràn la salvacion de nòstre Dieu. Partissètz, partissètz, sortissètz d’aquí; tocatz pas res d’impur; sortissètz del mitan d’ela; siatz purs, vosautres que portatz los aisinas del Senhor. Isaïas 52:7–11.</w:t>
      </w:r>
    </w:p>
    <w:p>
      <w:pPr>
        <w:pStyle w:val="ArticleBody"/>
        <w:jc w:val="left"/>
      </w:pPr>
      <w:r>
        <w:rPr>
          <w:rFonts w:ascii="Times New Roman" w:hAnsi="Times New Roman" w:eastAsia="Times New Roman" w:cs="Times New Roman"/>
        </w:rPr>
        <w:t>Zioni H6726 është i njëjti me H6725, që do të thotë “ndjesia e të qenit i spikatur; një shtyllë monumentale ose udhërrëfyese: – shenjë, titull, shenjë rrugore.” Zioni është një simbol i flamurit të njëqind e dyzet e katër mijëve, dhe në këtë pjesë ata e kanë marrë tashmë shiun e vonë, sepse i kanë shpallur dhe paraqitur tashmë lajmet e mira të paqes. Po aq e veçantë për këtë fakt është se ata shohin “sy më sy”, gjë që përfaqëson dishepujt në Rrëshajë, sepse dhjetë ditët para Rrëshajëve përfaqësojnë një periudhë bashkimi. Zoti “ka”, (duke përfaqësuar kohën e shkuar) ka përmbushur tashmë tri gjëra për ata që sjellin lajme të mira. Ai “e ka ngushëlluar popullin e tij”, “e ka shpenguar Jerusalemin” dhe “e ka zbuluar krahun e tij të shenjtë përpara syve të të gjitha kombeve.”</w:t>
      </w:r>
    </w:p>
    <w:p>
      <w:pPr>
        <w:pStyle w:val="ArticleBody"/>
        <w:jc w:val="left"/>
      </w:pP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9/11 “</w:t>
      </w:r>
      <w:r>
        <w:rPr>
          <w:rFonts w:ascii="Ebrima" w:hAnsi="Ebrima" w:eastAsia="Ebrima" w:cs="Ebrima"/>
        </w:rPr>
        <w:t>አጽናና</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በማልክያስ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የተገለጸውን</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ተቀመጠ፤</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የበኩራት</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መባዎችን</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ሲያነሣ፣</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ክንዱን</w:t>
      </w:r>
      <w:r>
        <w:rPr>
          <w:rFonts w:ascii="Times New Roman" w:hAnsi="Times New Roman" w:eastAsia="Times New Roman" w:cs="Times New Roman"/>
        </w:rPr>
        <w:t xml:space="preserve"> </w:t>
      </w:r>
      <w:r>
        <w:rPr>
          <w:rFonts w:ascii="Ebrima" w:hAnsi="Ebrima" w:eastAsia="Ebrima" w:cs="Ebrima"/>
        </w:rPr>
        <w:t>በአሕዛብ</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ዓይን</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ሲገልጥ</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ያጽናናል፣</w:t>
      </w:r>
      <w:r>
        <w:rPr>
          <w:rFonts w:ascii="Times New Roman" w:hAnsi="Times New Roman" w:eastAsia="Times New Roman" w:cs="Times New Roman"/>
        </w:rPr>
        <w:t xml:space="preserve"> </w:t>
      </w:r>
      <w:r>
        <w:rPr>
          <w:rFonts w:ascii="Ebrima" w:hAnsi="Ebrima" w:eastAsia="Ebrima" w:cs="Ebrima"/>
        </w:rPr>
        <w:t>ይቤዣል፣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ሺህንም</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ያጽናናል፣</w:t>
      </w:r>
      <w:r>
        <w:rPr>
          <w:rFonts w:ascii="Times New Roman" w:hAnsi="Times New Roman" w:eastAsia="Times New Roman" w:cs="Times New Roman"/>
        </w:rPr>
        <w:t xml:space="preserve"> </w:t>
      </w:r>
      <w:r>
        <w:rPr>
          <w:rFonts w:ascii="Ebrima" w:hAnsi="Ebrima" w:eastAsia="Ebrima" w:cs="Ebrima"/>
        </w:rPr>
        <w:t>ሕዝቡንም</w:t>
      </w:r>
      <w:r>
        <w:rPr>
          <w:rFonts w:ascii="Times New Roman" w:hAnsi="Times New Roman" w:eastAsia="Times New Roman" w:cs="Times New Roman"/>
        </w:rPr>
        <w:t xml:space="preserve"> </w:t>
      </w:r>
      <w:r>
        <w:rPr>
          <w:rFonts w:ascii="Ebrima" w:hAnsi="Ebrima" w:eastAsia="Ebrima" w:cs="Ebrima"/>
        </w:rPr>
        <w:t>የሚቤዥበትን</w:t>
      </w:r>
      <w:r>
        <w:rPr>
          <w:rFonts w:ascii="Times New Roman" w:hAnsi="Times New Roman" w:eastAsia="Times New Roman" w:cs="Times New Roman"/>
        </w:rPr>
        <w:t xml:space="preserve"> </w:t>
      </w:r>
      <w:r>
        <w:rPr>
          <w:rFonts w:ascii="Ebrima" w:hAnsi="Ebrima" w:eastAsia="Ebrima" w:cs="Ebrima"/>
        </w:rPr>
        <w:t>የመንጻት</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ያደርጋቸዋል፤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ማልክያስ</w:t>
      </w:r>
      <w:r>
        <w:rPr>
          <w:rFonts w:ascii="Times New Roman" w:hAnsi="Times New Roman" w:eastAsia="Times New Roman" w:cs="Times New Roman"/>
        </w:rPr>
        <w:t xml:space="preserve"> </w:t>
      </w:r>
      <w:r>
        <w:rPr>
          <w:rFonts w:ascii="Ebrima" w:hAnsi="Ebrima" w:eastAsia="Ebrima" w:cs="Ebrima"/>
        </w:rPr>
        <w:t>እንደሚለው፣</w:t>
      </w:r>
      <w:r>
        <w:rPr>
          <w:rFonts w:ascii="Times New Roman" w:hAnsi="Times New Roman" w:eastAsia="Times New Roman" w:cs="Times New Roman"/>
        </w:rPr>
        <w:t xml:space="preserve"> “</w:t>
      </w:r>
      <w:r>
        <w:rPr>
          <w:rFonts w:ascii="Ebrima" w:hAnsi="Ebrima" w:eastAsia="Ebrima" w:cs="Ebrima"/>
        </w:rPr>
        <w:t>የይሁዳና</w:t>
      </w:r>
      <w:r>
        <w:rPr>
          <w:rFonts w:ascii="Times New Roman" w:hAnsi="Times New Roman" w:eastAsia="Times New Roman" w:cs="Times New Roman"/>
        </w:rPr>
        <w:t xml:space="preserve"> </w:t>
      </w:r>
      <w:r>
        <w:rPr>
          <w:rFonts w:ascii="Ebrima" w:hAnsi="Ebrima" w:eastAsia="Ebrima" w:cs="Ebrima"/>
        </w:rPr>
        <w:t>የኢየሩሳሌም</w:t>
      </w:r>
      <w:r>
        <w:rPr>
          <w:rFonts w:ascii="Times New Roman" w:hAnsi="Times New Roman" w:eastAsia="Times New Roman" w:cs="Times New Roman"/>
        </w:rPr>
        <w:t xml:space="preserve"> </w:t>
      </w:r>
      <w:r>
        <w:rPr>
          <w:rFonts w:ascii="Ebrima" w:hAnsi="Ebrima" w:eastAsia="Ebrima" w:cs="Ebrima"/>
        </w:rPr>
        <w:t>መባ</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የሚያሰኝ</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ጥንቱ</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il s’assiéra comme celui qui affine et purifie l’argent; il purifiera les fils de Lévi, et les épurera comme l’or et l’argent, afin qu’ils présentent à l’Éternel une offrande avec justice. Alors l’offrande de Juda et de Jérusalem sera agréable à l’Éternel, comme aux jours d’autrefois, et comme aux années anciennes. Malachie 3:3, 4.</w:t>
      </w:r>
    </w:p>
    <w:p>
      <w:pPr>
        <w:pStyle w:val="ArticleBody"/>
        <w:jc w:val="left"/>
      </w:pPr>
      <w:r>
        <w:rPr>
          <w:rFonts w:ascii="Times New Roman" w:hAnsi="Times New Roman" w:eastAsia="Times New Roman" w:cs="Times New Roman"/>
        </w:rPr>
        <w:t>Nous mènerons à leur conclusion, dans le prochain article, nos considérations sur le « combien de temps ».</w:t>
      </w:r>
    </w:p>
    <w:p>
      <w:pPr>
        <w:pStyle w:val="ArticleScripture"/>
        <w:jc w:val="left"/>
      </w:pPr>
      <w:r>
        <w:rPr>
          <w:rFonts w:ascii="Times New Roman" w:hAnsi="Times New Roman" w:eastAsia="Times New Roman" w:cs="Times New Roman"/>
        </w:rPr>
        <w:t>“‘Cilës i është shosha në dorën e Tij, dhe Ai do ta pastrojë tërësisht lëmin e Tij, dhe do ta mbledhë grurin e Tij në hambar.’ Mateu 3:12. Kjo ishte një nga kohët e pastrimit. Me anë të fjalëve të së vërtetës, byku po ndahej nga gruri. Për shkak se ishin tepër mendjemëdhenj dhe të vetëdrejtë për të pranuar qortimin, tepër të dhënë pas botës për të pranuar një jetë përulësie, shumë u larguan nga Jezusi. Shumë po bëjnë ende të njëjtën gjë. Shpirtrat vihen sot në provë, ashtu siç u vunë në provë ata dishepuj në sinagogën e Kapernaumit. Kur e vërteta i sillet zemrës, ata shohin se jeta e tyre nuk është në përputhje me vullnetin e Perëndisë. Ata shohin nevojën për një ndryshim tërësor në vetvete; por nuk janë të gatshëm të marrin mbi vete këtë vepër vetmohuese. Prandaj zemërohen kur u zbulohen mëkatet. Ata largohen të fyer, ashtu siç e lanë dishepujt Jezusin, duke murmuritur: ‘Kjo është një fjalë e rëndë; kush mund ta dëgjojë?’” Jeta e Dëshiruar,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Yoele na Kanisa la Waadventista Wasabato wa Laodikia - Namba Tano</dc:title>
  <dc:subject>Jusqu’à quand ? Le cinquième sceau</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