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Nambari Saba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Το Αριθμός Επτά</w:t>
      </w:r>
    </w:p>
    <w:p>
      <w:pPr>
        <w:pStyle w:val="ArticleBody"/>
        <w:jc w:val="left"/>
      </w:pPr>
      <w:r>
        <w:rPr>
          <w:rFonts w:ascii="Times New Roman" w:hAnsi="Times New Roman" w:eastAsia="Times New Roman" w:cs="Times New Roman"/>
        </w:rPr>
        <w:t>In die eerste paar artikels het ons die gedeelte uit The Desire of Ages ingesluit wat handel oor Christus wat die gelykenis van die wingerd aan die twisgierige Jode voorhou. Die gelykenis van die lied van die wingerd is ook die lied van Moses en die Lam wat die honderd-vier-en-veertig duisend sing, en die inspirasie lig ons in dat ’n “lied” in profesie ’n “ervaring” verteenwoordig. Die honderd-vier-en-veertig duisend volg die Lam waar Hy ook al gaan, en daarom sal hulle deur dieselfde ervaring gaan as Christus en Moses. Christus, as die omega van die profetiese geskiedenis van antieke Israel, en Moses, die alfa van die profetiese geskiedenis van antieke Israel, het albei in parallelle tydperke geleef toe ’n vorige verbondsvolk verbygegaan is en ’n nuwe verbondsvolk gekies is. Die honderd-vier-en-veertig duisend sing die lied van Moses en van die Lam deur ’n geskiedenis te beleef waarin ’n vorige verbondsvolk verbygegaan word—terwyl die Here met sy finale verbondsvolk in verbond tree.</w:t>
      </w:r>
    </w:p>
    <w:p>
      <w:pPr>
        <w:pStyle w:val="ArticleBody"/>
        <w:jc w:val="left"/>
      </w:pPr>
      <w:r>
        <w:rPr>
          <w:rFonts w:ascii="Times New Roman" w:hAnsi="Times New Roman" w:eastAsia="Times New Roman" w:cs="Times New Roman"/>
        </w:rPr>
        <w:t>Prophetisch gesehen stimmt der Zeitpunkt, da Christus das Gleichnis vortrug, mit dem Auftreten des Petrus überein, als er zu Pfingsten die nörgelnden Juden anredete. In der letzten Krise stellt Jesus, indem er das Gleichnis den nörgelnden Juden vorträgt, diejenigen dar, die den Trunkenen Ephraims das Lied vom Weinberg singen. Petrus trägt zu Pfingsten dasselbe Lied vor; nur singt er es in der Tonart Joels. Das Lied vom Weinberg ist das Lied eines ehemaligen Bundesvolkes, das eben zu derselben Zeit verstoßen wird, da ein neues Bundesvolk mit dem Herrn vermählt wird. Die Jungfrauen, die enttäuscht wurden und in die Verweilzeit eintraten, warteten auf die Hochzeit; und die vollkommene Erfüllung wäre, dass sie auf die Versiegelung der hundertvierundvierzigtausend warten.</w:t>
      </w:r>
    </w:p>
    <w:p>
      <w:pPr>
        <w:pStyle w:val="ArticleBody"/>
        <w:jc w:val="left"/>
      </w:pPr>
      <w:r>
        <w:rPr>
          <w:rFonts w:ascii="Times New Roman" w:hAnsi="Times New Roman" w:eastAsia="Times New Roman" w:cs="Times New Roman"/>
        </w:rPr>
        <w:t>Buka ya Yoele e sima na mokapo na yango ya liboso na kolimbolaka ndenge elanga ya vinyo ya Nzambe ebebisamaki na bamɛli ya vinyo mpe ya masanga makasi, oyo “vinyo ya sika” elongolamaki na minoko na bango. Mbala moko Yesu ayebisaki Bayuda ete bokonzi na bango ekolongolama epai na bango mpe ekopesama na etuluku ya basali ya elanga oyo bakobimisa mpenza mbuma ya solo ya elanga ya vinyo, Yesu abongolaki mokano ya maloba na Ye mpe azongelaki libanga ya motuya ya moboko na tempelo oyo batyaki pembeni, kasi oyo ekanamaki kokóma libanga ya nsɔngɛ. Ebandeli esengelaki kozongelama na nsuka, mpe ntango bosolo oyo etalisami polele, emonisami lokola “ya kokamwa.”</w:t>
      </w:r>
    </w:p>
    <w:p>
      <w:pPr>
        <w:pStyle w:val="ArticleBody"/>
        <w:jc w:val="left"/>
      </w:pPr>
      <w:r>
        <w:rPr>
          <w:rFonts w:ascii="Times New Roman" w:hAnsi="Times New Roman" w:eastAsia="Times New Roman" w:cs="Times New Roman"/>
        </w:rPr>
        <w:t>“Ethetho lokuqala ekukhankanyweni” eLizwini likaThixo liyasazisa ukuba, ngenxa yokuba uYoweli eqala ngokuthetha ngokutshatyalaliswa kwesidiliya, leyo yeyona ngongoma iphambili yobungqina bakhe. UYoweli akayedwa, kuba wonke umprofeti omkhulu uqala ubungqina bakhe ngokujongana nezono nemeko elahlekileyo kaSirayeli.</w:t>
      </w:r>
    </w:p>
    <w:p>
      <w:pPr>
        <w:pStyle w:val="ArticleBody"/>
        <w:jc w:val="left"/>
      </w:pPr>
      <w:r>
        <w:rPr>
          <w:rFonts w:ascii="Times New Roman" w:hAnsi="Times New Roman" w:eastAsia="Times New Roman" w:cs="Times New Roman"/>
        </w:rPr>
        <w:t>Dalam Yesaya dua puluh delapan, “orang-orang pencemooh yang memerintah” “Yerusalem” digambarkan sebagai “orang-orang mabuk Efraim,” dan sebagai “mahkota kecongkakan.” “Mahkota” melambangkan kepemimpinan dan “kecongkakan” melambangkan watak yang bersifat satanis.</w:t>
      </w:r>
    </w:p>
    <w:p>
      <w:pPr>
        <w:pStyle w:val="ArticleBody"/>
        <w:jc w:val="left"/>
      </w:pPr>
      <w:r>
        <w:rPr>
          <w:rFonts w:ascii="Times New Roman" w:hAnsi="Times New Roman" w:eastAsia="Times New Roman" w:cs="Times New Roman"/>
        </w:rPr>
        <w:t>Les ivrognes sont mis en contraste avec le reste (« résidu »), qui devient la « couronne » de gloire de Dieu; car, durant la pluie de l’arrière-saison, le Seigneur établit Son « royaume de gloire », comme l’a préfiguré l’établissement du « royaume de grâce » à la croix. Le royaume de grâce à la croix est le type du royaume de gloire au moment de la loi du dimanche.</w:t>
      </w:r>
    </w:p>
    <w:p>
      <w:pPr>
        <w:pStyle w:val="ArticleBody"/>
        <w:jc w:val="left"/>
      </w:pPr>
      <w:r>
        <w:rPr>
          <w:rFonts w:ascii="Times New Roman" w:hAnsi="Times New Roman" w:eastAsia="Times New Roman" w:cs="Times New Roman"/>
        </w:rPr>
        <w:t>Mvua ya masika ya mwisho ilianza tarehe 9/11 wakati kutiwa muhuri kwa wale mia moja arobaini na nne elfu na hukumu ya walio hai pia kulipoanza. Katika wakati wa kutiwa muhuri, kumwagwa kwa Roho Mtakatifu kulianza tarehe 9/11, kama Yesu alivyopuliza matone machache. Huo ndio msingi, na kumwagwa kwa Roho Mtakatifu katika Kilio cha Usiku wa Manane ndilo jiwe la kilele. “Wa ajabu” ni ishara ya kipindi cha kumwagwa kwa Roho kutoka “9/11 hadi sheria ya Jumapili.”</w:t>
      </w:r>
    </w:p>
    <w:p>
      <w:pPr>
        <w:pStyle w:val="ArticleBody"/>
        <w:jc w:val="left"/>
      </w:pPr>
      <w:r>
        <w:rPr>
          <w:rFonts w:ascii="Times New Roman" w:hAnsi="Times New Roman" w:eastAsia="Times New Roman" w:cs="Times New Roman"/>
        </w:rPr>
        <w:t>Lefanolo le lekanang, empa le le hanyetsanang, la “moqhaka” o emelang boetapele le behiloe pepenene tlalehong ea Esaia mashome a mabeli a metso e robeli, ha matahoa a busang Jerusalema a fapoheloa, ’me boetapele ba kereke ea Molimo bo fuoa masala. Sena se bontša setšoantšo sa serapa sa morara. Moqhaka oa letahoa o tlosoa, ’me ba likete tse lekholo le mashome a mane a metso e mene e be bona moqhaka o emelang ’muso oa Kreste. Esaia o ruta ’nete eona eo khaolong ea mashome a mabeli a metso e ’meli, ha Shebna a lahleloa naheng e hōle ’me a nkeloa sebaka ke Eliakime. Ebang ke matahoa a Efraime kapa Shebna khaolong ea mashome a mabeli a metso e ’meli, ka bobeli ba emela boetapele ba batho ba Molimo ba selekane sa Hae sa pele bo fapoheloang.</w:t>
      </w:r>
    </w:p>
    <w:p>
      <w:pPr>
        <w:pStyle w:val="ArticleBody"/>
        <w:jc w:val="left"/>
      </w:pPr>
      <w:r>
        <w:rPr>
          <w:rFonts w:ascii="Times New Roman" w:hAnsi="Times New Roman" w:eastAsia="Times New Roman" w:cs="Times New Roman"/>
        </w:rPr>
        <w:t>Zekariya anagwira M’njira Yolowera Mwachigonjetso, yomwe ilinso Kulira kwa Pakati pa Usiku, ndipo mavesi otsatirawo amagwirizana ndi Yesaya pozindikiritsa anthu a Mulungu monga korona.</w:t>
      </w:r>
    </w:p>
    <w:p>
      <w:pPr>
        <w:pStyle w:val="ArticleScripture"/>
        <w:jc w:val="left"/>
      </w:pPr>
      <w:r>
        <w:rPr>
          <w:rFonts w:ascii="Times New Roman" w:hAnsi="Times New Roman" w:eastAsia="Times New Roman" w:cs="Times New Roman"/>
        </w:rPr>
        <w:t>Bersukacitalah dengan sangat, hai puteri Sion; bersoraklah, hai puteri Yerusalem: lihatlah, Rajamu datang kepadamu: Ia adil dan membawa keselamatan; rendah hati, dan menunggang seekor keledai, bahkan seekor keledai muda, anak keledai. Dan Aku akan melenyapkan kereta dari Efraim, dan kuda dari Yerusalem, dan busur perang akan dilenyapkan; dan Ia akan memberitakan damai kepada bangsa-bangsa: dan kekuasaan-Nya akan terbentang dari laut sampai ke laut, dan dari sungai sampai ke ujung-ujung bumi.</w:t>
      </w:r>
    </w:p>
    <w:p>
      <w:pPr>
        <w:pStyle w:val="ArticleScripture"/>
        <w:jc w:val="left"/>
      </w:pPr>
      <w:r>
        <w:rPr>
          <w:rFonts w:ascii="Times New Roman" w:hAnsi="Times New Roman" w:eastAsia="Times New Roman" w:cs="Times New Roman"/>
        </w:rPr>
        <w:t>Quant à toi aussi, à cause du sang de ton alliance, j’ai fait sortir tes prisonniers de la fosse où il n’y a point d’eau.</w:t>
      </w:r>
    </w:p>
    <w:p>
      <w:pPr>
        <w:pStyle w:val="ArticleScripture"/>
        <w:jc w:val="left"/>
      </w:pPr>
      <w:r>
        <w:rPr>
          <w:rFonts w:ascii="Times New Roman" w:hAnsi="Times New Roman" w:eastAsia="Times New Roman" w:cs="Times New Roman"/>
        </w:rPr>
        <w:t>Retournez à la forteresse, vous prisonniers de l’espérance : aujourd’hui même je le déclare, je te rendrai le double ; quand j’aurai bandé Juda pour moi, rempli l’arc d’Éphraïm, et suscité tes fils, ô Sion, contre tes fils, ô Grèce, et que je t’aurai rendue semblable à l’épée d’un homme puissant.</w:t>
      </w:r>
    </w:p>
    <w:p>
      <w:pPr>
        <w:pStyle w:val="ArticleScripture"/>
        <w:jc w:val="left"/>
      </w:pPr>
      <w:r>
        <w:rPr>
          <w:rFonts w:ascii="Times New Roman" w:hAnsi="Times New Roman" w:eastAsia="Times New Roman" w:cs="Times New Roman"/>
        </w:rPr>
        <w:t>És az Úr megjelenik fölöttük, és nyila villámlásként csap ki; az Úr Isten megfújja a harsonát, és a délnek forgószeleivel vonul. A Seregek Ura megoltalmazza őket; ők pedig emésztenek, és leigáznak parittyakövekkel; isznak, és bortól felhangzó zajhoz hasonlóan ujjonganak; megtelnek, mint az áldozati csészék, és mint az oltár szegletei. És az Úr, az ő Istenük megszabadítja őket azon a napon, mint népének nyáját; mert olyanok lesznek, mint a korona kövei, fölemelve mint zászló az ő földjén. Mert mily nagy az ő jósága, és mily nagy az ő szépsége! A gabona felvidámítja az ifjakat, és az újbor a hajadonokat. Zakariás 9:9–17.</w:t>
      </w:r>
    </w:p>
    <w:p>
      <w:pPr>
        <w:pStyle w:val="ArticleBody"/>
        <w:jc w:val="left"/>
      </w:pPr>
      <w:r>
        <w:rPr>
          <w:rFonts w:ascii="Times New Roman" w:hAnsi="Times New Roman" w:eastAsia="Times New Roman" w:cs="Times New Roman"/>
        </w:rPr>
        <w:t>Versículo once (9/11) declara: «En cuanto a ti también, por la sangre de tu pacto he sacado a tus prisioneros del foso en el cual no hay agua.» Cristo confirmó el pacto con muchos por una semana, y la semana comenzó en Su bautismo. Durante tres años y medio Cristo anduvo entre los hombres, y en el período culminante de esos tres años y medio Cristo cumplió la predicción de Zacarías, identificando la entrada triunfal del Mesías en Jerusalén. El Clamor de Medianoche dio inicio a un período que condujo a la muerte, sepultura y resurrección de Cristo. El bautismo de Cristo representa Su muerte, sepultura y resurrección; por lo tanto, el comienzo y el final del período de tres años y medio son lo mismo.</w:t>
      </w:r>
    </w:p>
    <w:p>
      <w:pPr>
        <w:pStyle w:val="ArticleBody"/>
        <w:jc w:val="left"/>
      </w:pPr>
      <w:r>
        <w:rPr>
          <w:rFonts w:ascii="Times New Roman" w:hAnsi="Times New Roman" w:eastAsia="Times New Roman" w:cs="Times New Roman"/>
        </w:rPr>
        <w:t>Le baptême du Christ est une figure du 11 septembre, et le 11 septembre marque le commencement d’une période qui s’achève à la loi du dimanche. Le 11 septembre, la pluie de l’arrière-saison commença à tomber en ondées légères, et à la loi du dimanche elle est répandue sans mesure, comme le typifie le Christ soufflant sur les disciples quelques gouttes de pluie par anticipation de l’effusion de la Pentecôte.</w:t>
      </w:r>
    </w:p>
    <w:p>
      <w:pPr>
        <w:pStyle w:val="ArticleBody"/>
        <w:jc w:val="left"/>
      </w:pPr>
      <w:r>
        <w:rPr>
          <w:rFonts w:ascii="Times New Roman" w:hAnsi="Times New Roman" w:eastAsia="Times New Roman" w:cs="Times New Roman"/>
        </w:rPr>
        <w:t>Zekaria 9:11 se stem ooreen met 9/11 en ook met die Middernagsroep, wat tot die Sondagswet lei. By 9/11 het die Laodiséa-boodskap as teenwoordige waarheid gekom, soos dit in 1856 en 1888 gedoen het. Die Laodiséa-boodskap word gegee aan mense wat onbewus is daarvan dat hulle dood is. Hulle is in ’n “put” sonder enige laatreënboodskap, want hulle put het geen water nie. As Laodiséa maar net sou reageer op die geklop aan hulle harte, sou die Here hulle uit die put oprig, want totdat die genadetyd by die Sondagswet sluit, is hulle “gevangenes van hoop.”</w:t>
      </w:r>
    </w:p>
    <w:p>
      <w:pPr>
        <w:pStyle w:val="ArticleScripture"/>
        <w:jc w:val="left"/>
      </w:pPr>
      <w:r>
        <w:rPr>
          <w:rFonts w:ascii="Times New Roman" w:hAnsi="Times New Roman" w:eastAsia="Times New Roman" w:cs="Times New Roman"/>
        </w:rPr>
        <w:t>Inanga namu, kwa damu ya agano lako nimewatoa wafungwa wako katika shimo lisilo na maji. Rudini kwenye ngome, enyi wafungwa wa tumaini; hata leo natangaza ya kuwa nitakurudishia mara mbili. Zekaria 9:11, 12.</w:t>
      </w:r>
    </w:p>
    <w:p>
      <w:pPr>
        <w:pStyle w:val="ArticleBody"/>
        <w:jc w:val="left"/>
      </w:pPr>
      <w:r>
        <w:rPr>
          <w:rFonts w:ascii="Times New Roman" w:hAnsi="Times New Roman" w:eastAsia="Times New Roman" w:cs="Times New Roman"/>
        </w:rPr>
        <w:t>۹/۱۱ پیامی را که در سال ۱۹۸۹ وارد شد، با قدرت تأیید کرد. آن پیام، پیامِ فرشتهٔ سوم است؛ اما در ساختار و اصطلاحاتِ جنبشِ اصلاحیِ میلری، سال ۱۹۸۹ زمانِ ورودِ فرشتهٔ اول را مشخص ساخت. پیامِ فرشتهٔ اول در ۱۱ اوت ۱۸۴۰ به‌وسیلهٔ تحققِ نبوتی دربارهٔ اسلام با قدرت تأیید شد، و این امر نشان می‌دهد که ورودِ فرشتهٔ سوم در سال ۱۹۸۹ نیز به‌وسیلهٔ تحققِ نبوتی دربارهٔ اسلام با قدرت تأیید می‌شد.</w:t>
      </w:r>
    </w:p>
    <w:p>
      <w:pPr>
        <w:pStyle w:val="ArticleBody"/>
        <w:jc w:val="left"/>
      </w:pPr>
      <w:r>
        <w:rPr>
          <w:rFonts w:ascii="Times New Roman" w:hAnsi="Times New Roman" w:eastAsia="Times New Roman" w:cs="Times New Roman"/>
        </w:rPr>
        <w:t>په 1840 کال د اګست په 11مه، کله چې د اسلام نبوت تصدیق شو، د مکاشفې د لسم فصل فرښته راکوزه شوه؛ او په دې توګه یې د 9/11 پر ورځ د مکاشفې د اتلسم فصل د فرښتې نزول تمثیل کړ. په 1840 کې د لومړۍ فرښتې ځواکمنېدل، او په 1844 کې د دویمې فرښتې ځواکمنېدل، دواړه د 9/11 پر ورځ د درېیمې فرښتې د ځواکمنېدو تمثیل کوي. د 2020 کال د جولای 18مه د دویمې فرښتې راتګ و، لکه څنګه چې دا د 1844 کال د اپرېل په 19مه د مېلریانو د لومړۍ ناهیلۍ له لارې تمثیل شوی و. د مېلري تاریخ د لومړۍ او دویمې فرښتو د دواړو ځواکمنېدو تاریخونه، او همدارنګه د 9/11 پر ورځ د درېیمې فرښتې د ځواکمنېدو تاریخ، د نیمې شپې د فریاد د پیغام د ځواکمنېدو لپاره شاهدان برابروي، هغه پیغام چې د 2023 کال په جولای کې راورسېد.</w:t>
      </w:r>
    </w:p>
    <w:p>
      <w:pPr>
        <w:pStyle w:val="ArticleBody"/>
        <w:jc w:val="left"/>
      </w:pP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ਲਗਾਏ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9/11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ਫੂਕਣ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ਜ਼ਬਾਨਾਂ</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ਲਿਜਾਣ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ਪਹਿਚਾਣਿਆ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ਜੇਹੋ</w:t>
      </w:r>
      <w:r>
        <w:rPr>
          <w:rFonts w:ascii="Times New Roman" w:hAnsi="Times New Roman" w:eastAsia="Times New Roman" w:cs="Times New Roman"/>
        </w:rPr>
        <w:t xml:space="preserve"> </w:t>
      </w:r>
      <w:r>
        <w:rPr>
          <w:rFonts w:ascii="Nirmala UI" w:hAnsi="Nirmala UI" w:eastAsia="Nirmala UI" w:cs="Nirmala UI"/>
        </w:rPr>
        <w:t>ਜਿਹੀ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ਹਕੀਕਤ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ਫੂਕਣਾ</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ਪੁਨਰੁੱਥਾਨ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ਫਸਲ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ਭੇਟ</w:t>
      </w:r>
      <w:r>
        <w:rPr>
          <w:rFonts w:ascii="Times New Roman" w:hAnsi="Times New Roman" w:eastAsia="Times New Roman" w:cs="Times New Roman"/>
        </w:rPr>
        <w:t xml:space="preserve"> </w:t>
      </w:r>
      <w:r>
        <w:rPr>
          <w:rFonts w:ascii="Nirmala UI" w:hAnsi="Nirmala UI" w:eastAsia="Nirmala UI" w:cs="Nirmala UI"/>
        </w:rPr>
        <w:t>ਚੜ੍ਹਾਈ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ਪੰਜਾਹ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ਗੈਂਹੂਂ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ਫਸਲ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ਭੇਟ</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9/11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ਜ਼ਕਰਿਆਹ</w:t>
      </w:r>
      <w:r>
        <w:rPr>
          <w:rFonts w:ascii="Times New Roman" w:hAnsi="Times New Roman" w:eastAsia="Times New Roman" w:cs="Times New Roman"/>
        </w:rPr>
        <w:t xml:space="preserve"> 9:9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ਸੰਪੂਰਨ</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ਜੁਲਾਈ</w:t>
      </w:r>
      <w:r>
        <w:rPr>
          <w:rFonts w:ascii="Times New Roman" w:hAnsi="Times New Roman" w:eastAsia="Times New Roman" w:cs="Times New Roman"/>
        </w:rPr>
        <w:t xml:space="preserve"> 2023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Réjouis-toi avec transport, fille de Sion; pousse des cris, fille de Jérusalem: voici, ton Roi vient à toi; il est juste, et victorieux; humble, et monté sur un âne, sur un ânon, le petit d’une ânesse. Zacharie 9:9.</w:t>
      </w:r>
    </w:p>
    <w:p>
      <w:pPr>
        <w:pStyle w:val="ArticleBody"/>
        <w:jc w:val="left"/>
      </w:pPr>
      <w:r>
        <w:rPr>
          <w:rFonts w:ascii="Times New Roman" w:hAnsi="Times New Roman" w:eastAsia="Times New Roman" w:cs="Times New Roman"/>
        </w:rPr>
        <w:t>Jadi, Zakharia sependapat dengan perlambangan Yesaya tentang umat Allah sebagai sebuah mahkota, tetapi ia menambahkan bahwa mahkota itu juga adalah panji ketika ia mencatat, “for they shall be as the stones of a crown, lifted up as an ensign upon his land”, dan Zakharia selanjutnya menggemakan sukacita yang dikaitkan dengan lambang-lambang “corn” dan “new wine” dalam Yoel, dengan menyatakan, “corn shall make the young men cheerful, and new wine the maids.” Ketika kita mempertimbangkan catatan tentang orang-orang mabuk dari Efraim dalam pasal dua puluh delapan, perhatikanlah bahwa inilah pasal Alkitab yang mengidentifikasi “the rest and the refreshing.” Inilah salah satu bagian utama dalam Kitab Suci mengenai hujan akhir, sehingga orang-orang mabuk dari Efraim ini pasti adalah orang-orang mabuk yang sama seperti yang dibicarakan Yoel.</w:t>
      </w:r>
    </w:p>
    <w:p>
      <w:pPr>
        <w:pStyle w:val="ArticleScripture"/>
        <w:jc w:val="left"/>
      </w:pPr>
      <w:r>
        <w:rPr>
          <w:rFonts w:ascii="Times New Roman" w:hAnsi="Times New Roman" w:eastAsia="Times New Roman" w:cs="Times New Roman"/>
        </w:rPr>
        <w:t>Fe alas á corona da soberba, aos bêbados de Efraim, cuja formosa glória é flor que murcha, os quais estão sobre a cabeça do fértil vale dos vencidos do vinho! Eis que o Senhor tem um que é poderoso e forte, que, como tempestade de saraiva e tormenta destruidora, como torrente de águas impetuosas que transbordam, lançará por terra com a mão. A coroa da soberba, os bêbados de Efraim, será pisada aos pés; e a formosa glória, que está sobre a cabeça do fértil vale, será flor que murcha, e como o fruto temporão antes do verão; o qual, vendo-o aquele que o contempla, estando-o ainda na mão, o engole. Naquele dia o Senhor dos Exércitos será por coroa de glória e por diadema de formosura ao remanescente do seu povo, e por espírito de juízo ao que se assenta no tribunal, e por fortaleza aos que fazem recuar a peleja até à porta. Mas também estes erram por causa do vinho e se desencaminham por causa da bebida forte; o sacerdote e o profeta erram por causa da bebida forte, são absorvidos pelo vinho, andam fora do caminho por causa da bebida forte; erram na visão, tropeçam no juízo. Porque todas as mesas estão cheias de vômito e imundícia, de modo que não há lugar limpo. …</w:t>
      </w:r>
    </w:p>
    <w:p>
      <w:pPr>
        <w:pStyle w:val="ArticleScripture"/>
        <w:jc w:val="left"/>
      </w:pPr>
      <w:r>
        <w:rPr>
          <w:rFonts w:ascii="Times New Roman" w:hAnsi="Times New Roman" w:eastAsia="Times New Roman" w:cs="Times New Roman"/>
        </w:rPr>
        <w:t>Attendez et soyez dans l’étonnement; poussez des cris, et criez: ils sont ivres, mais non de vin; ils chancellent, mais non de boisson forte. Car l’Éternel a répandu sur vous un esprit d’assoupissement profond, et il a fermé vos yeux: les prophètes et vos chefs, les voyants, il les a couverts. Et toute vision est devenue pour vous comme les paroles d’un livre scellé, qu’on remet à un homme instruit, en disant: Lis ceci, je te prie; et il dit: Je ne le puis, car il est scellé. Et l’on remet le livre à celui qui n’est point instruit, en disant: Lis ceci, je te prie; et il dit: Je ne suis point instruit.</w:t>
      </w:r>
    </w:p>
    <w:p>
      <w:pPr>
        <w:pStyle w:val="ArticleScripture"/>
        <w:jc w:val="left"/>
      </w:pPr>
      <w:r>
        <w:rPr>
          <w:rFonts w:ascii="Times New Roman" w:hAnsi="Times New Roman" w:eastAsia="Times New Roman" w:cs="Times New Roman"/>
        </w:rPr>
        <w:t>ἔφη οὖν ὁ Κύριος· Ἐπειδὴ ὁ λαὸς οὗτος ἐγγίζει μοι τῷ στόματι αὐτοῦ καὶ τοῖς χείλεσιν αὐτοῦ με τιμᾷ, ἡ δὲ καρδία αὐτοῦ πόρρω ἀπέχει ἀπ’ ἐμοῦ, καὶ ὁ φόβος αὐτοῦ πρὸς ἐμὲ διδάσκεται ἐντάλμασιν ἀνθρώπων, διὰ τοῦτο ἰδοὺ ἐγὼ προσθήσω τοῦ ποιῆσαι ἐν τῷ λαῷ τούτῳ θαυμαστὰ καὶ παράδοξα· ἀπολεῖται γὰρ ἡ σοφία τῶν σοφῶν αὐτῶν, καὶ ἡ σύνεσις τῶν συνετῶν αὐτῶν κρυβήσεται. Οὐαὶ τοῖς βαθέως βουλευομένοις τοῦ κρύψαι βουλὴν ἀπὸ Κυρίου, καὶ ἔσται ἐν σκότει τὰ ἔργα αὐτῶν, καὶ ἐροῦσιν· Τίς ἡμᾶς ὁρᾷ; καὶ τίς ἡμᾶς γινώσκει; ἢ ὡς πηλὸς κεραμέως λογισθήσεσθε; μὴ ἐρεῖ τὸ πλάσμα τῷ πλάσαντι αὐτό· Οὐ σύ με ἔπλασας; ἢ τὸ ποίημα τῷ ποιήσαντι· Οὐ συνῆκας; Ἠσαΐας 28:1–8· 29:9–16.</w:t>
      </w:r>
    </w:p>
    <w:p>
      <w:pPr>
        <w:pStyle w:val="ArticleBody"/>
        <w:jc w:val="left"/>
      </w:pPr>
      <w:r>
        <w:rPr>
          <w:rFonts w:ascii="Times New Roman" w:hAnsi="Times New Roman" w:eastAsia="Times New Roman" w:cs="Times New Roman"/>
        </w:rPr>
        <w:t>Le Seigneur va accomplir une « œuvre merveilleuse » parmi les ivrognes d’Éphraïm, en leur ôtant leur sagesse et leur intelligence, ces deux éléments mêmes qui sont associés à la compréhension de l’accroissement de la connaissance lorsqu’un message prophétique est descellé. Ce sont les sages qui comprennent. Une part de l’« œuvre merveilleuse » consiste à retirer de l’esprit des ivrognes d’Éphraïm la connaissance descellée par le Lion de la tribu de Juda. La séparation des sages et des méchants fait partie de l’« œuvre merveilleuse » du Seigneur. C’est l’Évangile éternel. Après que le Christ eut conduit les Juifs chicaneurs à travers la parabole de la vigne et les eut ainsi amenés à prononcer leur propre jugement, il posa une question tirée du Psaume 118 :</w:t>
      </w:r>
    </w:p>
    <w:p>
      <w:pPr>
        <w:pStyle w:val="ArticleScripture"/>
        <w:jc w:val="left"/>
      </w:pPr>
      <w:r>
        <w:rPr>
          <w:rFonts w:ascii="Times New Roman" w:hAnsi="Times New Roman" w:eastAsia="Times New Roman" w:cs="Times New Roman"/>
        </w:rPr>
        <w:t>Ibu nkume nke ndị na-ewu ụlọ jụrụ aghọwo isi nkume nkuku. Nke a bụ ọrụ Onyenwe anyị; ọ dị ebube n’anya anyị. Nke a bụ ụbọchị Onyenwe anyị mere; anyị ga-aṅụrị ọṅụ ma nwee obi ụtọ n’ime ya. Abụ Ọma 118:22–24.</w:t>
      </w:r>
    </w:p>
    <w:p>
      <w:pPr>
        <w:pStyle w:val="ArticleBody"/>
        <w:jc w:val="left"/>
      </w:pPr>
      <w:r>
        <w:rPr>
          <w:rFonts w:ascii="Times New Roman" w:hAnsi="Times New Roman" w:eastAsia="Times New Roman" w:cs="Times New Roman"/>
        </w:rPr>
        <w:t>Le Seigneur doit accomplir « une œuvre merveilleuse et un prodige » contre les ivrognes d’Éphraïm, et cela comprend le retrait de leur capacité à reconnaître la vérité. La « pierre principale de l’angle » est merveilleuse aux yeux de ceux qui possèdent le « vin nouveau » de Joël.</w:t>
      </w:r>
    </w:p>
    <w:p>
      <w:pPr>
        <w:pStyle w:val="ArticleBody"/>
        <w:jc w:val="left"/>
      </w:pPr>
      <w:r>
        <w:rPr>
          <w:rFonts w:ascii="Myanmar Text" w:hAnsi="Myanmar Text" w:eastAsia="Myanmar Text" w:cs="Myanmar Text"/>
        </w:rPr>
        <w:t>မူးယစ်သောသူတို့သည်</w:t>
      </w:r>
      <w:r>
        <w:rPr>
          <w:rFonts w:ascii="Times New Roman" w:hAnsi="Times New Roman" w:eastAsia="Times New Roman" w:cs="Times New Roman"/>
        </w:rPr>
        <w:t xml:space="preserve"> “</w:t>
      </w:r>
      <w:r>
        <w:rPr>
          <w:rFonts w:ascii="Myanmar Text" w:hAnsi="Myanmar Text" w:eastAsia="Myanmar Text" w:cs="Myanmar Text"/>
        </w:rPr>
        <w:t>ပညာရှိ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ခေါင်းဆောင်မှုဖြစ်စေ၊</w:t>
      </w:r>
      <w:r>
        <w:rPr>
          <w:rFonts w:ascii="Times New Roman" w:hAnsi="Times New Roman" w:eastAsia="Times New Roman" w:cs="Times New Roman"/>
        </w:rPr>
        <w:t xml:space="preserve"> “</w:t>
      </w:r>
      <w:r>
        <w:rPr>
          <w:rFonts w:ascii="Myanmar Text" w:hAnsi="Myanmar Text" w:eastAsia="Myanmar Text" w:cs="Myanmar Text"/>
        </w:rPr>
        <w:t>ပညာမရှိ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သာမန်ယုံကြည်သူတို့ဖြစ်စေ၊</w:t>
      </w:r>
      <w:r>
        <w:rPr>
          <w:rFonts w:ascii="Times New Roman" w:hAnsi="Times New Roman" w:eastAsia="Times New Roman" w:cs="Times New Roman"/>
        </w:rPr>
        <w:t xml:space="preserve"> </w:t>
      </w:r>
      <w:r>
        <w:rPr>
          <w:rFonts w:ascii="Myanmar Text" w:hAnsi="Myanmar Text" w:eastAsia="Myanmar Text" w:cs="Myanmar Text"/>
        </w:rPr>
        <w:t>တံဆိပ်ခတ်ထားသော</w:t>
      </w:r>
      <w:r>
        <w:rPr>
          <w:rFonts w:ascii="Times New Roman" w:hAnsi="Times New Roman" w:eastAsia="Times New Roman" w:cs="Times New Roman"/>
        </w:rPr>
        <w:t xml:space="preserve"> </w:t>
      </w:r>
      <w:r>
        <w:rPr>
          <w:rFonts w:ascii="Myanmar Text" w:hAnsi="Myanmar Text" w:eastAsia="Myanmar Text" w:cs="Myanmar Text"/>
        </w:rPr>
        <w:t>စာအုပ်ကို</w:t>
      </w:r>
      <w:r>
        <w:rPr>
          <w:rFonts w:ascii="Times New Roman" w:hAnsi="Times New Roman" w:eastAsia="Times New Roman" w:cs="Times New Roman"/>
        </w:rPr>
        <w:t xml:space="preserve"> </w:t>
      </w:r>
      <w:r>
        <w:rPr>
          <w:rFonts w:ascii="Myanmar Text" w:hAnsi="Myanmar Text" w:eastAsia="Myanmar Text" w:cs="Myanmar Text"/>
        </w:rPr>
        <w:t>မဖတ်နိုင်ကြ။</w:t>
      </w:r>
      <w:r>
        <w:rPr>
          <w:rFonts w:ascii="Times New Roman" w:hAnsi="Times New Roman" w:eastAsia="Times New Roman" w:cs="Times New Roman"/>
        </w:rPr>
        <w:t xml:space="preserve"> “</w:t>
      </w:r>
      <w:r>
        <w:rPr>
          <w:rFonts w:ascii="Myanmar Text" w:hAnsi="Myanmar Text" w:eastAsia="Myanmar Text" w:cs="Myanmar Text"/>
        </w:rPr>
        <w:t>တံဆိပ်ခတ်ထားသော</w:t>
      </w:r>
      <w:r>
        <w:rPr>
          <w:rFonts w:ascii="Times New Roman" w:hAnsi="Times New Roman" w:eastAsia="Times New Roman" w:cs="Times New Roman"/>
        </w:rPr>
        <w:t xml:space="preserve"> </w:t>
      </w:r>
      <w:r>
        <w:rPr>
          <w:rFonts w:ascii="Myanmar Text" w:hAnsi="Myanmar Text" w:eastAsia="Myanmar Text" w:cs="Myanmar Text"/>
        </w:rPr>
        <w:t>စာအုပ်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ပရောဖက်ပြုသက်သေခံချက်ကို</w:t>
      </w:r>
      <w:r>
        <w:rPr>
          <w:rFonts w:ascii="Times New Roman" w:hAnsi="Times New Roman" w:eastAsia="Times New Roman" w:cs="Times New Roman"/>
        </w:rPr>
        <w:t xml:space="preserve"> </w:t>
      </w:r>
      <w:r>
        <w:rPr>
          <w:rFonts w:ascii="Myanmar Text" w:hAnsi="Myanmar Text" w:eastAsia="Myanmar Text" w:cs="Myanmar Text"/>
        </w:rPr>
        <w:t>မူးယစ်သောသူတို့က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နားလည်နိုင်ရန်မှာ</w:t>
      </w:r>
      <w:r>
        <w:rPr>
          <w:rFonts w:ascii="Times New Roman" w:hAnsi="Times New Roman" w:eastAsia="Times New Roman" w:cs="Times New Roman"/>
        </w:rPr>
        <w:t xml:space="preserve"> </w:t>
      </w:r>
      <w:r>
        <w:rPr>
          <w:rFonts w:ascii="Myanmar Text" w:hAnsi="Myanmar Text" w:eastAsia="Myanmar Text" w:cs="Myanmar Text"/>
        </w:rPr>
        <w:t>မဖြစ်နိုင်ပေ။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မူးယစ်သောသူတို့ကို</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လွဲသွားကြသည်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နှစ်ကြိမ်တိုင်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ဤအချက်ကို</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၂၈</w:t>
      </w:r>
      <w:r>
        <w:rPr>
          <w:rFonts w:ascii="Times New Roman" w:hAnsi="Times New Roman" w:eastAsia="Times New Roman" w:cs="Times New Roman"/>
        </w:rPr>
        <w:t xml:space="preserve"> </w:t>
      </w:r>
      <w:r>
        <w:rPr>
          <w:rFonts w:ascii="Myanmar Text" w:hAnsi="Myanmar Text" w:eastAsia="Myanmar Text" w:cs="Myanmar Text"/>
        </w:rPr>
        <w:t>တွင်လည်း</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မှတ်တမ်းတင်ထားပြီး၊</w:t>
      </w:r>
      <w:r>
        <w:rPr>
          <w:rFonts w:ascii="Times New Roman" w:hAnsi="Times New Roman" w:eastAsia="Times New Roman" w:cs="Times New Roman"/>
        </w:rPr>
        <w:t xml:space="preserve"> </w:t>
      </w:r>
      <w:r>
        <w:rPr>
          <w:rFonts w:ascii="Myanmar Text" w:hAnsi="Myanmar Text" w:eastAsia="Myanmar Text" w:cs="Myanmar Text"/>
        </w:rPr>
        <w:t>ထိုအခန်းသည်</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အမြတ်ဆုံးသော</w:t>
      </w:r>
      <w:r>
        <w:rPr>
          <w:rFonts w:ascii="Times New Roman" w:hAnsi="Times New Roman" w:eastAsia="Times New Roman" w:cs="Times New Roman"/>
        </w:rPr>
        <w:t xml:space="preserve"> </w:t>
      </w:r>
      <w:r>
        <w:rPr>
          <w:rFonts w:ascii="Myanmar Text" w:hAnsi="Myanmar Text" w:eastAsia="Myanmar Text" w:cs="Myanmar Text"/>
        </w:rPr>
        <w:t>ကျမ်းပိုဒ်တစ်ပိုဒ်</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ဟေရှာယသည်</w:t>
      </w:r>
      <w:r>
        <w:rPr>
          <w:rFonts w:ascii="Times New Roman" w:hAnsi="Times New Roman" w:eastAsia="Times New Roman" w:cs="Times New Roman"/>
        </w:rPr>
        <w:t xml:space="preserve"> </w:t>
      </w:r>
      <w:r>
        <w:rPr>
          <w:rFonts w:ascii="Myanmar Text" w:hAnsi="Myanmar Text" w:eastAsia="Myanmar Text" w:cs="Myanmar Text"/>
        </w:rPr>
        <w:t>မူးယစ်သောသူတို့</w:t>
      </w:r>
      <w:r>
        <w:rPr>
          <w:rFonts w:ascii="Times New Roman" w:hAnsi="Times New Roman" w:eastAsia="Times New Roman" w:cs="Times New Roman"/>
        </w:rPr>
        <w:t xml:space="preserve"> </w:t>
      </w:r>
      <w:r>
        <w:rPr>
          <w:rFonts w:ascii="Myanmar Text" w:hAnsi="Myanmar Text" w:eastAsia="Myanmar Text" w:cs="Myanmar Text"/>
        </w:rPr>
        <w:t>နားမထောင်လိုခဲ့သော</w:t>
      </w:r>
      <w:r>
        <w:rPr>
          <w:rFonts w:ascii="Times New Roman" w:hAnsi="Times New Roman" w:eastAsia="Times New Roman" w:cs="Times New Roman"/>
        </w:rPr>
        <w:t xml:space="preserve"> “</w:t>
      </w:r>
      <w:r>
        <w:rPr>
          <w:rFonts w:ascii="Myanmar Text" w:hAnsi="Myanmar Text" w:eastAsia="Myanmar Text" w:cs="Myanmar Text"/>
        </w:rPr>
        <w:t>အနားယူခြင်းနှင့်</w:t>
      </w:r>
      <w:r>
        <w:rPr>
          <w:rFonts w:ascii="Times New Roman" w:hAnsi="Times New Roman" w:eastAsia="Times New Roman" w:cs="Times New Roman"/>
        </w:rPr>
        <w:t xml:space="preserve"> </w:t>
      </w:r>
      <w:r>
        <w:rPr>
          <w:rFonts w:ascii="Myanmar Text" w:hAnsi="Myanmar Text" w:eastAsia="Myanmar Text" w:cs="Myanmar Text"/>
        </w:rPr>
        <w:t>လန်းဆန်းစေခြင်း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w:t>
      </w:r>
      <w:r>
        <w:rPr>
          <w:rFonts w:ascii="Myanmar Text" w:hAnsi="Myanmar Text" w:eastAsia="Myanmar Text" w:cs="Myanmar Text"/>
        </w:rPr>
        <w:t>အနားယူခြင်းနှင့်</w:t>
      </w:r>
      <w:r>
        <w:rPr>
          <w:rFonts w:ascii="Times New Roman" w:hAnsi="Times New Roman" w:eastAsia="Times New Roman" w:cs="Times New Roman"/>
        </w:rPr>
        <w:t xml:space="preserve"> </w:t>
      </w:r>
      <w:r>
        <w:rPr>
          <w:rFonts w:ascii="Myanmar Text" w:hAnsi="Myanmar Text" w:eastAsia="Myanmar Text" w:cs="Myanmar Text"/>
        </w:rPr>
        <w:t>လန်းဆန်းစေခြင်း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သတင်းစကားတစ်ရပ်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ကြားနာနိုင်သောကြောင့်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Është ajo dehje që i ka nxjerrë të dehurit jashtë shtigjeve të vjetra të Jeremias, të cilat janë “udha” në të cilën duhet ecur për të gjetur shiun e fundit, të paraqitur nga Jeremia si “prehje”. Refuzimi i mesazhit të shiut të fundit nga të dehurit e Efraimit është një temë e veçantë e Fjalës së Perëndisë. Ata janë të dehur, sepse refuzuan të kthehen te historia themelore, e cila jep modelin për historinë e njëqind e dyzet e katër mijëve, që është historia e shiut të fundit.</w:t>
      </w:r>
    </w:p>
    <w:p>
      <w:pPr>
        <w:pStyle w:val="ArticleBody"/>
        <w:jc w:val="left"/>
      </w:pPr>
      <w:r>
        <w:rPr>
          <w:rFonts w:ascii="Times New Roman" w:hAnsi="Times New Roman" w:eastAsia="Times New Roman" w:cs="Times New Roman"/>
        </w:rPr>
        <w:t>“</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અદભૂત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એફ્રાયિમના</w:t>
      </w:r>
      <w:r>
        <w:rPr>
          <w:rFonts w:ascii="Times New Roman" w:hAnsi="Times New Roman" w:eastAsia="Times New Roman" w:cs="Times New Roman"/>
        </w:rPr>
        <w:t xml:space="preserve"> </w:t>
      </w:r>
      <w:r>
        <w:rPr>
          <w:rFonts w:ascii="Nirmala UI" w:hAnsi="Nirmala UI" w:eastAsia="Nirmala UI" w:cs="Nirmala UI"/>
        </w:rPr>
        <w:t>મદ્યપો</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વરસાદના</w:t>
      </w:r>
      <w:r>
        <w:rPr>
          <w:rFonts w:ascii="Times New Roman" w:hAnsi="Times New Roman" w:eastAsia="Times New Roman" w:cs="Times New Roman"/>
        </w:rPr>
        <w:t xml:space="preserve"> </w:t>
      </w:r>
      <w:r>
        <w:rPr>
          <w:rFonts w:ascii="Nirmala UI" w:hAnsi="Nirmala UI" w:eastAsia="Nirmala UI" w:cs="Nirmala UI"/>
        </w:rPr>
        <w:t>ઉંડેલવામાં</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વરસાદ</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પરીક્ષણકારી</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ઉપાસકોના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વર્ગો</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ચિત્રણ</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માંથી</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દુષ્ટોએ</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વ્યાખ્યા</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રેખાઓ</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આધારિત</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અસ્વીકાર્યું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અઠ્ઠાવીસની</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પદ્ધતિનો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માંથી</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દુષ્ટોની</w:t>
      </w:r>
      <w:r>
        <w:rPr>
          <w:rFonts w:ascii="Times New Roman" w:hAnsi="Times New Roman" w:eastAsia="Times New Roman" w:cs="Times New Roman"/>
        </w:rPr>
        <w:t xml:space="preserve"> </w:t>
      </w:r>
      <w:r>
        <w:rPr>
          <w:rFonts w:ascii="Nirmala UI" w:hAnsi="Nirmala UI" w:eastAsia="Nirmala UI" w:cs="Nirmala UI"/>
        </w:rPr>
        <w:t>મદ્યાવસ્થા</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સમજવાની</w:t>
      </w:r>
      <w:r>
        <w:rPr>
          <w:rFonts w:ascii="Times New Roman" w:hAnsi="Times New Roman" w:eastAsia="Times New Roman" w:cs="Times New Roman"/>
        </w:rPr>
        <w:t xml:space="preserve"> </w:t>
      </w:r>
      <w:r>
        <w:rPr>
          <w:rFonts w:ascii="Nirmala UI" w:hAnsi="Nirmala UI" w:eastAsia="Nirmala UI" w:cs="Nirmala UI"/>
        </w:rPr>
        <w:t>અસમર્થતા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અંધ</w:t>
      </w:r>
      <w:r>
        <w:rPr>
          <w:rFonts w:ascii="Times New Roman" w:hAnsi="Times New Roman" w:eastAsia="Times New Roman" w:cs="Times New Roman"/>
        </w:rPr>
        <w:t xml:space="preserve"> </w:t>
      </w:r>
      <w:r>
        <w:rPr>
          <w:rFonts w:ascii="Nirmala UI" w:hAnsi="Nirmala UI" w:eastAsia="Nirmala UI" w:cs="Nirmala UI"/>
        </w:rPr>
        <w:t>સ્થિતિ</w:t>
      </w:r>
      <w:r>
        <w:rPr>
          <w:rFonts w:ascii="Times New Roman" w:hAnsi="Times New Roman" w:eastAsia="Times New Roman" w:cs="Times New Roman"/>
        </w:rPr>
        <w:t xml:space="preserve"> </w:t>
      </w:r>
      <w:r>
        <w:rPr>
          <w:rFonts w:ascii="Nirmala UI" w:hAnsi="Nirmala UI" w:eastAsia="Nirmala UI" w:cs="Nirmala UI"/>
        </w:rPr>
        <w:t>મૂળભૂત</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માર્ગોમાં</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ફરવાની</w:t>
      </w:r>
      <w:r>
        <w:rPr>
          <w:rFonts w:ascii="Times New Roman" w:hAnsi="Times New Roman" w:eastAsia="Times New Roman" w:cs="Times New Roman"/>
        </w:rPr>
        <w:t xml:space="preserve"> </w:t>
      </w:r>
      <w:r>
        <w:rPr>
          <w:rFonts w:ascii="Nirmala UI" w:hAnsi="Nirmala UI" w:eastAsia="Nirmala UI" w:cs="Nirmala UI"/>
        </w:rPr>
        <w:t>અનિચ્છાથી</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ઈસુએ</w:t>
      </w:r>
      <w:r>
        <w:rPr>
          <w:rFonts w:ascii="Times New Roman" w:hAnsi="Times New Roman" w:eastAsia="Times New Roman" w:cs="Times New Roman"/>
        </w:rPr>
        <w:t xml:space="preserve"> </w:t>
      </w:r>
      <w:r>
        <w:rPr>
          <w:rFonts w:ascii="Nirmala UI" w:hAnsi="Nirmala UI" w:eastAsia="Nirmala UI" w:cs="Nirmala UI"/>
        </w:rPr>
        <w:t>ટીકાખોર</w:t>
      </w:r>
      <w:r>
        <w:rPr>
          <w:rFonts w:ascii="Times New Roman" w:hAnsi="Times New Roman" w:eastAsia="Times New Roman" w:cs="Times New Roman"/>
        </w:rPr>
        <w:t xml:space="preserve"> </w:t>
      </w:r>
      <w:r>
        <w:rPr>
          <w:rFonts w:ascii="Nirmala UI" w:hAnsi="Nirmala UI" w:eastAsia="Nirmala UI" w:cs="Nirmala UI"/>
        </w:rPr>
        <w:t>યહૂદીઓને</w:t>
      </w:r>
      <w:r>
        <w:rPr>
          <w:rFonts w:ascii="Times New Roman" w:hAnsi="Times New Roman" w:eastAsia="Times New Roman" w:cs="Times New Roman"/>
        </w:rPr>
        <w:t xml:space="preserve"> </w:t>
      </w:r>
      <w:r>
        <w:rPr>
          <w:rFonts w:ascii="Nirmala UI" w:hAnsi="Nirmala UI" w:eastAsia="Nirmala UI" w:cs="Nirmala UI"/>
        </w:rPr>
        <w:t>ઠપકો</w:t>
      </w:r>
      <w:r>
        <w:rPr>
          <w:rFonts w:ascii="Times New Roman" w:hAnsi="Times New Roman" w:eastAsia="Times New Roman" w:cs="Times New Roman"/>
        </w:rPr>
        <w:t xml:space="preserve"> </w:t>
      </w:r>
      <w:r>
        <w:rPr>
          <w:rFonts w:ascii="Nirmala UI" w:hAnsi="Nirmala UI" w:eastAsia="Nirmala UI" w:cs="Nirmala UI"/>
        </w:rPr>
        <w:t>આપતાં</w:t>
      </w:r>
      <w:r>
        <w:rPr>
          <w:rFonts w:ascii="Times New Roman" w:hAnsi="Times New Roman" w:eastAsia="Times New Roman" w:cs="Times New Roman"/>
        </w:rPr>
        <w:t xml:space="preserve"> </w:t>
      </w:r>
      <w:r>
        <w:rPr>
          <w:rFonts w:ascii="Nirmala UI" w:hAnsi="Nirmala UI" w:eastAsia="Nirmala UI" w:cs="Nirmala UI"/>
        </w:rPr>
        <w:t>પૂછ્યું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કદી</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પથ્થર</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વાંચ્યું</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ખૂણાના</w:t>
      </w:r>
      <w:r>
        <w:rPr>
          <w:rFonts w:ascii="Times New Roman" w:hAnsi="Times New Roman" w:eastAsia="Times New Roman" w:cs="Times New Roman"/>
        </w:rPr>
        <w:t xml:space="preserve"> </w:t>
      </w:r>
      <w:r>
        <w:rPr>
          <w:rFonts w:ascii="Nirmala UI" w:hAnsi="Nirmala UI" w:eastAsia="Nirmala UI" w:cs="Nirmala UI"/>
        </w:rPr>
        <w:t>મસ્તકરૂપ</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शिखर</w:t>
      </w:r>
      <w:r>
        <w:rPr>
          <w:rFonts w:ascii="Times New Roman" w:hAnsi="Times New Roman" w:eastAsia="Times New Roman" w:cs="Times New Roman"/>
        </w:rPr>
        <w:t>-</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होखेला।</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कवनो</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उतरल।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उतरल।</w:t>
      </w:r>
    </w:p>
    <w:p>
      <w:pPr>
        <w:pStyle w:val="ArticleBody"/>
        <w:jc w:val="left"/>
      </w:pPr>
      <w:r>
        <w:rPr>
          <w:rFonts w:ascii="Times New Roman" w:hAnsi="Times New Roman" w:eastAsia="Times New Roman" w:cs="Times New Roman"/>
        </w:rPr>
        <w:t>Ang Pulong ng Diyos na makahulagwayon sa tagna labi ka detalyado sa iyang pagpatin-aw sa mga hinungdan nga nalangkit sa ulahing ulan. Usa sa maong mga kamatuoran mao nga ang mga hubog sa Ephraim dili makahimo sa pag-ila sa ulahing ulan, ug kini gitipo pinaagi sa mga Judio nga nagsugyot kang Pedro nga ang mga tinun-an nangahubog. Ang nag-unang prinsipyo sa pamaagi tin-awng gipahayag sa makadaghang higayon ingon nga Alpha ug Omega sulod sa Pulong sa Diyos, apan ang Pulong gitimrihan alang kanila. Ang pamaagi, ang nag-unang lagda sa tagna, ug ang mensahe sa ulahing ulan maoy pipila sa mga gibalaan nga mga tema sa usa ka makahulagwayong laray sa kasaysayan nga gihulagway ingon nga usa ka “katingalahang buhat.”</w:t>
      </w:r>
    </w:p>
    <w:p>
      <w:pPr>
        <w:pStyle w:val="ArticleScripture"/>
        <w:jc w:val="left"/>
      </w:pPr>
      <w:r>
        <w:rPr>
          <w:rFonts w:ascii="Times New Roman" w:hAnsi="Times New Roman" w:eastAsia="Times New Roman" w:cs="Times New Roman"/>
        </w:rPr>
        <w:t>De nouveau, la parole de l’Éternel des armées me fut adressée, en ces termes : Ainsi parle l’Éternel des armées : J’ai été jaloux pour Sion d’une grande jalousie, et j’ai été jaloux pour elle avec une grande fureur. Ainsi parle l’Éternel : Je suis revenu vers Sion, et j’habiterai au milieu de Jérusalem ; et Jérusalem sera appelée ville de vérité, et la montagne de l’Éternel des armées, montagne sainte. Ainsi parle l’Éternel des armées : Il y aura encore dans les rues de Jérusalem des vieillards et des femmes âgées habitant, chacun ayant son bâton à la main à cause du grand nombre de ses jours. Et les rues de la ville seront remplies de garçons et de filles qui joueront dans ses rues.</w:t>
      </w:r>
    </w:p>
    <w:p>
      <w:pPr>
        <w:pStyle w:val="ArticleScripture"/>
        <w:jc w:val="left"/>
      </w:pPr>
      <w:r>
        <w:rPr>
          <w:rFonts w:ascii="Times New Roman" w:hAnsi="Times New Roman" w:eastAsia="Times New Roman" w:cs="Times New Roman"/>
        </w:rPr>
        <w:t>Ainsi parle l’Éternel des armées : Si la chose paraît merveilleuse aux yeux du reste de ce peuple en ces jours-ci, sera-t-elle aussi merveilleuse à mes yeux ? dit l’Éternel des armées. Ainsi parle l’Éternel des armées : Voici, je sauverai mon peuple du pays de l’orient et du pays de l’occident ; je les ramènerai, et ils habiteront au milieu de Jérusalem ; ils seront mon peuple, et je serai leur Dieu, dans la vérité et dans la justice. Ainsi parle l’Éternel des armées : Que vos mains soient fortes, vous qui entendez en ces jours ces paroles de la bouche des prophètes, lesquels étaient là au jour où fut posé le fondement de la maison de l’Éternel des armées, afin que le temple fût bâti. Car avant ces jours-là il n’y avait point de salaire pour l’homme, ni de salaire pour la bête ; et il n’y avait point de paix pour celui qui sortait ou pour celui qui entrait, à cause de l’affliction ; car je mettais tous les hommes, chacun contre son prochain. Mais maintenant, je ne serai pas envers le reste de ce peuple comme dans les jours précédents, dit l’Éternel des armées. Zacharie 8:1–11.</w:t>
      </w:r>
    </w:p>
    <w:p>
      <w:pPr>
        <w:pStyle w:val="ArticleBody"/>
        <w:jc w:val="left"/>
      </w:pPr>
      <w:r>
        <w:rPr>
          <w:rFonts w:ascii="Times New Roman" w:hAnsi="Times New Roman" w:eastAsia="Times New Roman" w:cs="Times New Roman"/>
        </w:rPr>
        <w:t>Zekariya anasema, “Mikono yenu na iwe hodari, ninyi msikiao siku hizi maneno haya kwa vinywa vya manabii, waliokuwako siku ile msingi wa nyumba ya Bwana wa majeshi ulipowekwa, ili hekalu lipate kujengwa.” Kiwatiacho nguvu watu wa Mungu ni ujumbe wa msingi unaokuwa jiwe kuu la pembeni. Ujumbe huo ni kwamba historia ya Wamilleri inarudiwa katika historia ya wale mia moja arobaini na nne elfu.</w:t>
      </w:r>
    </w:p>
    <w:p>
      <w:pPr>
        <w:pStyle w:val="ArticleBody"/>
        <w:jc w:val="left"/>
      </w:pPr>
      <w:r>
        <w:rPr>
          <w:rFonts w:ascii="Times New Roman" w:hAnsi="Times New Roman" w:eastAsia="Times New Roman" w:cs="Times New Roman"/>
        </w:rPr>
        <w:t>Christ demande : « Si cela paraît merveilleux aux yeux du reste de ce peuple en ces jours, cela devrait-il aussi paraître merveilleux à mes yeux ? » Cette question identifie la période prophétique de l’« œuvre merveilleuse » de Dieu, qui est le sujet de tout prophète ; mais elle identifie aussi le moment où le mouvement laodicéen des cent quarante-quatre mille devient le mouvement philadelphien des cent quarante-quatre mille. C’est le même point que celui où ils sont scellés, et le même point où le mouvement passe de militant à triomphant, lequel est aussi celui où l’œuvre consistant à unir la divinité à l’humanité parmi ce groupe de personnes est menée à son terme, tandis que le sanctuaire est véritablement purifié. Cela peut être reconnu dans les versets, car l’histoire prophétique représentée par son « œuvre merveilleuse » est merveilleuse aux yeux de Dieu et aux yeux du reste, et voir d’œil à œil est un symbole d’unité. L’unité ici représentée parle du scellement du peuple de Dieu qui suit l’Agneau partout où il va, et qui est parvenu au point où il préférerait mourir plutôt que de pécher et de dénaturer le caractère de Christ.</w:t>
      </w:r>
    </w:p>
    <w:p>
      <w:pPr>
        <w:pStyle w:val="ArticleBody"/>
        <w:jc w:val="left"/>
      </w:pPr>
      <w:r>
        <w:rPr>
          <w:rFonts w:ascii="Times New Roman" w:hAnsi="Times New Roman" w:eastAsia="Times New Roman" w:cs="Times New Roman"/>
        </w:rPr>
        <w:t>Miha prepoznaje temeljnu povijest drevnoga Izraela kao „čudesna djela“.</w:t>
      </w:r>
    </w:p>
    <w:p>
      <w:pPr>
        <w:pStyle w:val="ArticleScripture"/>
        <w:jc w:val="left"/>
      </w:pPr>
      <w:r>
        <w:rPr>
          <w:rFonts w:ascii="Times New Roman" w:hAnsi="Times New Roman" w:eastAsia="Times New Roman" w:cs="Times New Roman"/>
        </w:rPr>
        <w:t>Malinga na mikolo ya kobima na yo na mokili ya Ejipito nakolakisa ye makambo ya kokamwa. Mika 7:15.</w:t>
      </w:r>
    </w:p>
    <w:p>
      <w:pPr>
        <w:pStyle w:val="ArticleBody"/>
        <w:jc w:val="left"/>
      </w:pPr>
      <w:r>
        <w:rPr>
          <w:rFonts w:ascii="Times New Roman" w:hAnsi="Times New Roman" w:eastAsia="Times New Roman" w:cs="Times New Roman"/>
        </w:rPr>
        <w:t>Les « œuvres merveilleuses » constituent l’histoire fondatrice, laquelle est « merveilleuse » parce que cette histoire fondatrice se répète dans l’histoire de la fin, représentée par la pierre faîtière. Les « œuvres merveilleuses » sont l’histoire qui commence avec la pierre angulaire et s’achève avec la « pierre faîtière ». Ses « œuvres merveilleuses » se sont manifestées dans l’histoire de Moïse et se sont répétées dans l’histoire de Christ. Moïse était la pierre angulaire et Christ la pierre faîtière. Moïse est alpha et Christ oméga, prophétiquement.</w:t>
      </w:r>
    </w:p>
    <w:p>
      <w:pPr>
        <w:pStyle w:val="ArticleScripture"/>
        <w:jc w:val="left"/>
      </w:pPr>
      <w:r>
        <w:rPr>
          <w:rFonts w:ascii="Times New Roman" w:hAnsi="Times New Roman" w:eastAsia="Times New Roman" w:cs="Times New Roman"/>
        </w:rPr>
        <w:t>«En commençant par Moïse, le véritable Alpha de l’histoire biblique, le Christ expliqua, dans toutes les Écritures, ce qui le concernait.» The Desire of Ages, 797.</w:t>
      </w:r>
    </w:p>
    <w:p>
      <w:pPr>
        <w:pStyle w:val="ArticleBody"/>
        <w:jc w:val="left"/>
      </w:pPr>
      <w:r>
        <w:rPr>
          <w:rFonts w:ascii="Times New Roman" w:hAnsi="Times New Roman" w:eastAsia="Times New Roman" w:cs="Times New Roman"/>
        </w:rPr>
        <w:t>Mose o rutile, mme Petro a dirisa mafoko a ga Mose ka Pentekosete go supa gore Mose o ne a tshwantsha Keresete.</w:t>
      </w:r>
    </w:p>
    <w:p>
      <w:pPr>
        <w:pStyle w:val="ArticleScripture"/>
        <w:jc w:val="left"/>
      </w:pPr>
      <w:r>
        <w:rPr>
          <w:rFonts w:ascii="Times New Roman" w:hAnsi="Times New Roman" w:eastAsia="Times New Roman" w:cs="Times New Roman"/>
        </w:rPr>
        <w:t>Sɛ́ngbɛ nyɛ nù siwo Mawu fia ŋgɔ́ la, to eƒe nyagblɔɖila gbogbowo nu me be Kristo la ava kpe ŋu, eyae wòwɔ ale. Míedzudzɔ nû me la, eye miaɖo asi le Mawu ŋu, bena woatsɔ miaƒe nuvɔwo afu, ne ɣeyiɣi siwo nyɔnyrɔ ƒe dzudzɔ ava tso Aƒetɔ la ƒe ŋkume la va; eye wòado Yesu Kristo ɖa, ame si wowóe ƒe gbe na mi do ŋgɔ́. Esi dziƒo le egbɔ dzi va yi vaseɖe ɣeyiɣi siwo le nu gbogbo ƒe gbugbɔgblɔme la, siwo Mawu gblɔ tso eƒe nyagblɔɖila kɔkɔewo gbogbo ƒe nu me tso xexeame gɔmedzedze. Esi Mose gblɔ nyateƒe na fofowo be, Aƒetɔ, miaƒe Mawu la, ado nyagblɔɖila ɖe miŋu tso mia nɔviwo dome, abe nye ene; eya la, miaɖo to le nu sia nu siwo katã wòagblɔ na mi. Eye ava eme be, luʋɔ sia luʋɔ si mate ŋu aɖo to na nyagblɔɖila ma o la, woatsrɔe tso ameawo dome. Ke nyagblɔɖilawo katã tso Samuel dzi kple ame siwo ƒo to eyome la, ame alesiwó katã gblɔ nu la, wowɔ ɣeɖeɖe ɖe ŋkeke siawo ŋu fan. Dɔwɔwɔwo 3:18–24.</w:t>
      </w:r>
    </w:p>
    <w:p>
      <w:pPr>
        <w:pStyle w:val="ArticleBody"/>
        <w:jc w:val="left"/>
      </w:pPr>
      <w:r>
        <w:rPr>
          <w:rFonts w:ascii="Times New Roman" w:hAnsi="Times New Roman" w:eastAsia="Times New Roman" w:cs="Times New Roman"/>
        </w:rPr>
        <w:t>Moses comme alpha et le Christ comme oméga furent établis par le second témoignage de Pierre concernant Moïse lors de l’effusion de la Pentecôte; ce faisant, Pierre souligne et identifie qu’un élément primordial du message de la pluie de l’arrière-saison (et de la controverse suscitée contre lui) est le principe prophétique de « l’alpha et l’oméga ». Ce principe est, pour les cent quarante-quatre mille, l’équivalent du principe année/jour dans l’histoire millérite. Le principe de « l’alpha et l’oméga » est le principe selon lequel « le fondement devient la pierre de faîte »; il est le principe de « Moïse et l’Agneau »; et, par conséquent, il est identifié par l’Inspiration comme l’un des versets du chant de la vigne, lequel est aussi le cantique de Moïse et de l’Agneau.</w:t>
      </w:r>
    </w:p>
    <w:p>
      <w:pPr>
        <w:pStyle w:val="ArticleBody"/>
        <w:jc w:val="left"/>
      </w:pPr>
      <w:r>
        <w:rPr>
          <w:rFonts w:ascii="Times New Roman" w:hAnsi="Times New Roman" w:eastAsia="Times New Roman" w:cs="Times New Roman"/>
        </w:rPr>
        <w:t>Le commencement et la fin que représentent les diverses lignes prophétiques désignent l’histoire au cours de laquelle Dieu accomplit Ses « œuvres merveilleuses », et c’est la lumière mise en évidence par la reconnaissance de ce que représente le symbole des « œuvres merveilleuses » qui transforme un Laodicéen en un Philadelphien, devenant ainsi une pierre dans un temple en cours d’édification, comme le fut le temple millérite bâti en 46 ans jusqu’au 22 octobre 1844, lorsque le Seigneur vint soudainement à Son temple.</w:t>
      </w:r>
    </w:p>
    <w:p>
      <w:pPr>
        <w:pStyle w:val="ArticleScripture"/>
        <w:jc w:val="left"/>
      </w:pPr>
      <w:r>
        <w:rPr>
          <w:rFonts w:ascii="Times New Roman" w:hAnsi="Times New Roman" w:eastAsia="Times New Roman" w:cs="Times New Roman"/>
        </w:rPr>
        <w:t>Եթե իսկապէս ճաշակած էք, թէ Տէրը քաղցր է։ Մօտենալով Նրան՝ որպէս կենդանի քարի, որ թէպէտ մարդկանց կողմից մերժուած է, բայց Աստծոյ կողմից ընտրուած է եւ թանկագին, դուք եւս, որպէս կենդանի քարեր, կառուցւում էք իբրեւ հոգեւոր տուն, սուրբ քահանայութիւն, որպէսզի մատուցանէք հոգեւոր զոհեր, որոնք Յիսուս Քրիստոսի միջոցով ընդունելի են Աստծուն։ Ուստի նաեւ Գիրքն ասում է. «Ահա Սիոնում դնում եմ անկեան գլխաւոր քարը, ընտրեալ, թանկագին. եւ ով որ հաւատայ Նրան, չի ամաչի»։ Արդ, ձեզ համար, որ հաւատում էք, Նա թանկագին է, իսկ անհնազանդների համար՝ «քարը, որ շինարարները մերժեցին, նա՛ դարձաւ անկեան գլուխը», եւ՝ «գայթակղութեան քար եւ սայթաքման վէմ»՝ նրանց համար, որոնք սայթաքում են խօսքի վրայ՝ լինելով անհնազանդ, ինչին իսկ նշանակուած էլ էին։ Բայց դուք ընտրեալ ազգ էք, թագաւորական քահանայութիւն, սուրբ ազգ, սեփականութեան ժողովուրդ, որպէսզի պատմէք Նրա առաքինութիւնները, որ ձեզ խաւարից կանչեց Իր սքանչելի լոյսի մէջ։ Դուք, որ առաջ ժողովուրդ չէիք, բայց այժմ Աստծոյ ժողովուրդն էք, որ ողորմութիւն չէիք ստացել, բայց այժմ ողորմութիւն ստացաք։ Ա Պետրոս 2:3–10.</w:t>
      </w:r>
    </w:p>
    <w:p>
      <w:pPr>
        <w:pStyle w:val="ArticleBody"/>
        <w:jc w:val="left"/>
      </w:pPr>
      <w:r>
        <w:rPr>
          <w:rFonts w:ascii="Times New Roman" w:hAnsi="Times New Roman" w:eastAsia="Times New Roman" w:cs="Times New Roman"/>
        </w:rPr>
        <w:t>Dansk?</w:t>
      </w:r>
    </w:p>
    <w:p>
      <w:pPr>
        <w:pStyle w:val="ArticleBody"/>
        <w:jc w:val="left"/>
      </w:pPr>
      <w:r>
        <w:rPr>
          <w:rFonts w:ascii="Times New Roman" w:hAnsi="Times New Roman" w:eastAsia="Times New Roman" w:cs="Times New Roman"/>
        </w:rPr>
        <w:t>Kwa miongo mitatu iliyopita imeonyeshwa mara kwa mara kwamba ufafanuzi wa kinabii wa “injili ya milele” ni historia ambamo ukweli wa kinabii unafunuliwa kutoka katika kufungwa kwake, na kuanzisha mchakato wa majaribio wa hatua tatu, wenye sifa mbili za utofauti katika majaribio hayo matatu. Majaribu mawili ya kwanza yana asili tofauti na la tatu, kwa maana la tatu ni kipimo cha kuthibitisha kama ulifaulu majaribio ya kwanza na ya pili. Tofauti nyingine katika injili ya milele ni kwamba ni lazima upite jaribio la sasa ili ushiriki katika jaribio linalofuata.</w:t>
      </w:r>
    </w:p>
    <w:p>
      <w:pPr>
        <w:pStyle w:val="ArticleBody"/>
        <w:jc w:val="left"/>
      </w:pPr>
      <w:r>
        <w:rPr>
          <w:rFonts w:ascii="Times New Roman" w:hAnsi="Times New Roman" w:eastAsia="Times New Roman" w:cs="Times New Roman"/>
        </w:rPr>
        <w:t>L’histoire des « œuvres merveilleuses » est aussi l’histoire dans laquelle « l’Évangile éternel » atteint son point culminant, car l’heure du jugement, annoncée par le premier ange et identifiée comme étant l’Évangile éternel, trouve son accomplissement parfait à partir du 11 septembre. Le jugement contre lequel les millérites étaient avertis était le 22 octobre 1844, lorsque la porte se ferma dans la parabole des dix vierges, préfigurant ainsi la loi du dimanche, lorsque la porte se ferme de nouveau dans la parabole des dix vierges. Le 11 septembre annonce que l’heure du jugement exécutif de Dieu commence à la loi du dimanche, de même que les millérites annonçaient que l’heure du jugement investigatif commença le 22 octobre 1844.</w:t>
      </w:r>
    </w:p>
    <w:p>
      <w:pPr>
        <w:pStyle w:val="ArticleBody"/>
        <w:jc w:val="left"/>
      </w:pPr>
      <w:r>
        <w:rPr>
          <w:rFonts w:ascii="Times New Roman" w:hAnsi="Times New Roman" w:eastAsia="Times New Roman" w:cs="Times New Roman"/>
        </w:rPr>
        <w:t>O 9/11 ilaa sharciga Axadda waa xilli loo matalay “shuqullada yaabka leh ee Ilaah,” iyo sida dhagaxii aasaaska ahaa oo noqda “madaxii geeska,” iyo sida “xilligii Bentakostiga,” iyo sida “Xabaquuq cutubka labaad,” iyo sida “wakhtiga shaabadaynta ee boqol iyo afartan iyo afar kun,” iyo sida “wakhtiga imtixaanka ee sawirka bahalka,” iyo sida “injiilka weligiis ah,” iyo sida “taariikhda quduuska ah ee 1840 ilaa 1844,” iyo sida taariikhda “Muujintii cutubka tobnaad,” iyo sida “taariikhda laga bilaabo baabtiiskii Masiixa ilaa dhimashadiisii.”</w:t>
      </w:r>
    </w:p>
    <w:p>
      <w:pPr>
        <w:pStyle w:val="ArticleBody"/>
        <w:jc w:val="left"/>
      </w:pPr>
      <w:r>
        <w:rPr>
          <w:rFonts w:ascii="Times New Roman" w:hAnsi="Times New Roman" w:eastAsia="Times New Roman" w:cs="Times New Roman"/>
        </w:rPr>
        <w:t>Istoria reprezentată în mod fractalic prin botezul Său a început perioada de 2520 de zile care s-a încheiat la cruce. Botezul lui Hristos a reprezentat moartea, îngroparea și învierea Sa, care s-au împlinit literal la sfârșitul celor 1260 de zile.</w:t>
      </w:r>
    </w:p>
    <w:p>
      <w:pPr>
        <w:pStyle w:val="ArticleBody"/>
        <w:jc w:val="left"/>
      </w:pPr>
      <w:r>
        <w:rPr>
          <w:rFonts w:ascii="Microsoft YaHei" w:hAnsi="Microsoft YaHei" w:eastAsia="Microsoft YaHei" w:cs="Microsoft YaHei"/>
        </w:rPr>
        <w:t>当圣灵在基督受洗时降临</w:t>
      </w:r>
      <w:r>
        <w:rPr>
          <w:rFonts w:ascii="Times New Roman" w:hAnsi="Times New Roman" w:eastAsia="Times New Roman" w:cs="Times New Roman"/>
        </w:rPr>
        <w:t>,</w:t>
      </w:r>
      <w:r>
        <w:rPr>
          <w:rFonts w:ascii="Microsoft YaHei" w:hAnsi="Microsoft YaHei" w:eastAsia="Microsoft YaHei" w:cs="Microsoft YaHei"/>
        </w:rPr>
        <w:t>这乃是预表启示录第十八章的天使于</w:t>
      </w:r>
      <w:r>
        <w:rPr>
          <w:rFonts w:ascii="Times New Roman" w:hAnsi="Times New Roman" w:eastAsia="Times New Roman" w:cs="Times New Roman"/>
        </w:rPr>
        <w:t xml:space="preserve"> 9/11 </w:t>
      </w:r>
      <w:r>
        <w:rPr>
          <w:rFonts w:ascii="Microsoft YaHei" w:hAnsi="Microsoft YaHei" w:eastAsia="Microsoft YaHei" w:cs="Microsoft YaHei"/>
        </w:rPr>
        <w:t>的降临</w:t>
      </w:r>
      <w:r>
        <w:rPr>
          <w:rFonts w:ascii="Times New Roman" w:hAnsi="Times New Roman" w:eastAsia="Times New Roman" w:cs="Times New Roman"/>
        </w:rPr>
        <w:t>.</w:t>
      </w:r>
      <w:r>
        <w:rPr>
          <w:rFonts w:ascii="Microsoft YaHei" w:hAnsi="Microsoft YaHei" w:eastAsia="Microsoft YaHei" w:cs="Microsoft YaHei"/>
        </w:rPr>
        <w:t>再过一千二百六十个预言日</w:t>
      </w:r>
      <w:r>
        <w:rPr>
          <w:rFonts w:ascii="Times New Roman" w:hAnsi="Times New Roman" w:eastAsia="Times New Roman" w:cs="Times New Roman"/>
        </w:rPr>
        <w:t>,</w:t>
      </w:r>
      <w:r>
        <w:rPr>
          <w:rFonts w:ascii="Microsoft YaHei" w:hAnsi="Microsoft YaHei" w:eastAsia="Microsoft YaHei" w:cs="Microsoft YaHei"/>
        </w:rPr>
        <w:t>受洗所象征之事便在十字架上按字面应验了</w:t>
      </w:r>
      <w:r>
        <w:rPr>
          <w:rFonts w:ascii="Times New Roman" w:hAnsi="Times New Roman" w:eastAsia="Times New Roman" w:cs="Times New Roman"/>
        </w:rPr>
        <w:t>.</w:t>
      </w:r>
      <w:r>
        <w:rPr>
          <w:rFonts w:ascii="Microsoft YaHei" w:hAnsi="Microsoft YaHei" w:eastAsia="Microsoft YaHei" w:cs="Microsoft YaHei"/>
        </w:rPr>
        <w:t>从受洗到十字架的这段历史</w:t>
      </w:r>
      <w:r>
        <w:rPr>
          <w:rFonts w:ascii="Times New Roman" w:hAnsi="Times New Roman" w:eastAsia="Times New Roman" w:cs="Times New Roman"/>
        </w:rPr>
        <w:t>,</w:t>
      </w:r>
      <w:r>
        <w:rPr>
          <w:rFonts w:ascii="Microsoft YaHei" w:hAnsi="Microsoft YaHei" w:eastAsia="Microsoft YaHei" w:cs="Microsoft YaHei"/>
        </w:rPr>
        <w:t>包含一个象征性的阿尔法历史</w:t>
      </w:r>
      <w:r>
        <w:rPr>
          <w:rFonts w:ascii="Times New Roman" w:hAnsi="Times New Roman" w:eastAsia="Times New Roman" w:cs="Times New Roman"/>
        </w:rPr>
        <w:t>,</w:t>
      </w:r>
      <w:r>
        <w:rPr>
          <w:rFonts w:ascii="Microsoft YaHei" w:hAnsi="Microsoft YaHei" w:eastAsia="Microsoft YaHei" w:cs="Microsoft YaHei"/>
        </w:rPr>
        <w:t>并在该时期的末了按字面得以成全</w:t>
      </w:r>
      <w:r>
        <w:rPr>
          <w:rFonts w:ascii="Times New Roman" w:hAnsi="Times New Roman" w:eastAsia="Times New Roman" w:cs="Times New Roman"/>
        </w:rPr>
        <w:t>.</w:t>
      </w:r>
      <w:r>
        <w:rPr>
          <w:rFonts w:ascii="Microsoft YaHei" w:hAnsi="Microsoft YaHei" w:eastAsia="Microsoft YaHei" w:cs="Microsoft YaHei"/>
        </w:rPr>
        <w:t>阿尔法与欧米伽的历史</w:t>
      </w:r>
      <w:r>
        <w:rPr>
          <w:rFonts w:ascii="Times New Roman" w:hAnsi="Times New Roman" w:eastAsia="Times New Roman" w:cs="Times New Roman"/>
        </w:rPr>
        <w:t>,</w:t>
      </w:r>
      <w:r>
        <w:rPr>
          <w:rFonts w:ascii="Microsoft YaHei" w:hAnsi="Microsoft YaHei" w:eastAsia="Microsoft YaHei" w:cs="Microsoft YaHei"/>
        </w:rPr>
        <w:t>乃是整个总体历史的分形</w:t>
      </w:r>
      <w:r>
        <w:rPr>
          <w:rFonts w:ascii="Times New Roman" w:hAnsi="Times New Roman" w:eastAsia="Times New Roman" w:cs="Times New Roman"/>
        </w:rPr>
        <w:t>.</w:t>
      </w:r>
      <w:r>
        <w:rPr>
          <w:rFonts w:ascii="Microsoft YaHei" w:hAnsi="Microsoft YaHei" w:eastAsia="Microsoft YaHei" w:cs="Microsoft YaHei"/>
        </w:rPr>
        <w:t>从受洗到十字架的历史</w:t>
      </w:r>
      <w:r>
        <w:rPr>
          <w:rFonts w:ascii="Times New Roman" w:hAnsi="Times New Roman" w:eastAsia="Times New Roman" w:cs="Times New Roman"/>
        </w:rPr>
        <w:t>,</w:t>
      </w:r>
      <w:r>
        <w:rPr>
          <w:rFonts w:ascii="Microsoft YaHei" w:hAnsi="Microsoft YaHei" w:eastAsia="Microsoft YaHei" w:cs="Microsoft YaHei"/>
        </w:rPr>
        <w:t>就是</w:t>
      </w:r>
      <w:r>
        <w:rPr>
          <w:rFonts w:ascii="Times New Roman" w:hAnsi="Times New Roman" w:eastAsia="Times New Roman" w:cs="Times New Roman"/>
        </w:rPr>
        <w:t>“</w:t>
      </w:r>
      <w:r>
        <w:rPr>
          <w:rFonts w:ascii="Microsoft YaHei" w:hAnsi="Microsoft YaHei" w:eastAsia="Microsoft YaHei" w:cs="Microsoft YaHei"/>
        </w:rPr>
        <w:t>上帝奇妙的作为</w:t>
      </w:r>
      <w:r>
        <w:rPr>
          <w:rFonts w:ascii="Times New Roman" w:hAnsi="Times New Roman" w:eastAsia="Times New Roman" w:cs="Times New Roman"/>
        </w:rPr>
        <w:t>”;</w:t>
      </w:r>
      <w:r>
        <w:rPr>
          <w:rFonts w:ascii="Microsoft YaHei" w:hAnsi="Microsoft YaHei" w:eastAsia="Microsoft YaHei" w:cs="Microsoft YaHei"/>
        </w:rPr>
        <w:t>这段历史也由</w:t>
      </w:r>
      <w:r>
        <w:rPr>
          <w:rFonts w:ascii="Times New Roman" w:hAnsi="Times New Roman" w:eastAsia="Times New Roman" w:cs="Times New Roman"/>
        </w:rPr>
        <w:t>“</w:t>
      </w:r>
      <w:r>
        <w:rPr>
          <w:rFonts w:ascii="Microsoft YaHei" w:hAnsi="Microsoft YaHei" w:eastAsia="Microsoft YaHei" w:cs="Microsoft YaHei"/>
        </w:rPr>
        <w:t>基督的受洗</w:t>
      </w:r>
      <w:r>
        <w:rPr>
          <w:rFonts w:ascii="Times New Roman" w:hAnsi="Times New Roman" w:eastAsia="Times New Roman" w:cs="Times New Roman"/>
        </w:rPr>
        <w:t>”</w:t>
      </w:r>
      <w:r>
        <w:rPr>
          <w:rFonts w:ascii="Microsoft YaHei" w:hAnsi="Microsoft YaHei" w:eastAsia="Microsoft YaHei" w:cs="Microsoft YaHei"/>
        </w:rPr>
        <w:t>所表征</w:t>
      </w:r>
      <w:r>
        <w:rPr>
          <w:rFonts w:ascii="Times New Roman" w:hAnsi="Times New Roman" w:eastAsia="Times New Roman" w:cs="Times New Roman"/>
        </w:rPr>
        <w:t>,</w:t>
      </w:r>
      <w:r>
        <w:rPr>
          <w:rFonts w:ascii="Microsoft YaHei" w:hAnsi="Microsoft YaHei" w:eastAsia="Microsoft YaHei" w:cs="Microsoft YaHei"/>
        </w:rPr>
        <w:t>也由祂字面的</w:t>
      </w:r>
      <w:r>
        <w:rPr>
          <w:rFonts w:ascii="Times New Roman" w:hAnsi="Times New Roman" w:eastAsia="Times New Roman" w:cs="Times New Roman"/>
        </w:rPr>
        <w:t>“</w:t>
      </w:r>
      <w:r>
        <w:rPr>
          <w:rFonts w:ascii="Microsoft YaHei" w:hAnsi="Microsoft YaHei" w:eastAsia="Microsoft YaHei" w:cs="Microsoft YaHei"/>
        </w:rPr>
        <w:t>死、埋葬与复活</w:t>
      </w:r>
      <w:r>
        <w:rPr>
          <w:rFonts w:ascii="Times New Roman" w:hAnsi="Times New Roman" w:eastAsia="Times New Roman" w:cs="Times New Roman"/>
        </w:rPr>
        <w:t>”</w:t>
      </w:r>
      <w:r>
        <w:rPr>
          <w:rFonts w:ascii="Microsoft YaHei" w:hAnsi="Microsoft YaHei" w:eastAsia="Microsoft YaHei" w:cs="Microsoft YaHei"/>
        </w:rPr>
        <w:t>所表征</w:t>
      </w:r>
      <w:r>
        <w:rPr>
          <w:rFonts w:ascii="Times New Roman" w:hAnsi="Times New Roman" w:eastAsia="Times New Roman" w:cs="Times New Roman"/>
        </w:rPr>
        <w:t>,</w:t>
      </w:r>
      <w:r>
        <w:rPr>
          <w:rFonts w:ascii="Microsoft YaHei" w:hAnsi="Microsoft YaHei" w:eastAsia="Microsoft YaHei" w:cs="Microsoft YaHei"/>
        </w:rPr>
        <w:t>因此也由</w:t>
      </w:r>
      <w:r>
        <w:rPr>
          <w:rFonts w:ascii="Times New Roman" w:hAnsi="Times New Roman" w:eastAsia="Times New Roman" w:cs="Times New Roman"/>
        </w:rPr>
        <w:t>“</w:t>
      </w:r>
      <w:r>
        <w:rPr>
          <w:rFonts w:ascii="Microsoft YaHei" w:hAnsi="Microsoft YaHei" w:eastAsia="Microsoft YaHei" w:cs="Microsoft YaHei"/>
        </w:rPr>
        <w:t>古以色列人在红海中的受洗</w:t>
      </w:r>
      <w:r>
        <w:rPr>
          <w:rFonts w:ascii="Times New Roman" w:hAnsi="Times New Roman" w:eastAsia="Times New Roman" w:cs="Times New Roman"/>
        </w:rPr>
        <w:t>”</w:t>
      </w:r>
      <w:r>
        <w:rPr>
          <w:rFonts w:ascii="Microsoft YaHei" w:hAnsi="Microsoft YaHei" w:eastAsia="Microsoft YaHei" w:cs="Microsoft YaHei"/>
        </w:rPr>
        <w:t>所表征</w:t>
      </w:r>
      <w:r>
        <w:rPr>
          <w:rFonts w:ascii="Times New Roman" w:hAnsi="Times New Roman" w:eastAsia="Times New Roman" w:cs="Times New Roman"/>
        </w:rPr>
        <w:t>,</w:t>
      </w:r>
      <w:r>
        <w:rPr>
          <w:rFonts w:ascii="Microsoft YaHei" w:hAnsi="Microsoft YaHei" w:eastAsia="Microsoft YaHei" w:cs="Microsoft YaHei"/>
        </w:rPr>
        <w:t>也由</w:t>
      </w:r>
      <w:r>
        <w:rPr>
          <w:rFonts w:ascii="Times New Roman" w:hAnsi="Times New Roman" w:eastAsia="Times New Roman" w:cs="Times New Roman"/>
        </w:rPr>
        <w:t>“</w:t>
      </w:r>
      <w:r>
        <w:rPr>
          <w:rFonts w:ascii="Microsoft YaHei" w:hAnsi="Microsoft YaHei" w:eastAsia="Microsoft YaHei" w:cs="Microsoft YaHei"/>
        </w:rPr>
        <w:t>挪亚时代八个灵魂所经历的受洗</w:t>
      </w:r>
      <w:r>
        <w:rPr>
          <w:rFonts w:ascii="Times New Roman" w:hAnsi="Times New Roman" w:eastAsia="Times New Roman" w:cs="Times New Roman"/>
        </w:rPr>
        <w:t>”</w:t>
      </w:r>
      <w:r>
        <w:rPr>
          <w:rFonts w:ascii="Microsoft YaHei" w:hAnsi="Microsoft YaHei" w:eastAsia="Microsoft YaHei" w:cs="Microsoft YaHei"/>
        </w:rPr>
        <w:t>所表征</w:t>
      </w:r>
      <w:r>
        <w:rPr>
          <w:rFonts w:ascii="Times New Roman" w:hAnsi="Times New Roman" w:eastAsia="Times New Roman" w:cs="Times New Roman"/>
        </w:rPr>
        <w:t>.</w:t>
      </w:r>
      <w:r>
        <w:rPr>
          <w:rFonts w:ascii="Microsoft YaHei" w:hAnsi="Microsoft YaHei" w:eastAsia="Microsoft YaHei" w:cs="Microsoft YaHei"/>
        </w:rPr>
        <w:t>所有这些时期都代表祂</w:t>
      </w:r>
      <w:r>
        <w:rPr>
          <w:rFonts w:ascii="Times New Roman" w:hAnsi="Times New Roman" w:eastAsia="Times New Roman" w:cs="Times New Roman"/>
        </w:rPr>
        <w:t>“</w:t>
      </w:r>
      <w:r>
        <w:rPr>
          <w:rFonts w:ascii="Microsoft YaHei" w:hAnsi="Microsoft YaHei" w:eastAsia="Microsoft YaHei" w:cs="Microsoft YaHei"/>
        </w:rPr>
        <w:t>奇妙的作为</w:t>
      </w:r>
      <w:r>
        <w:rPr>
          <w:rFonts w:ascii="Times New Roman" w:hAnsi="Times New Roman" w:eastAsia="Times New Roman" w:cs="Times New Roman"/>
        </w:rPr>
        <w:t>”</w:t>
      </w:r>
      <w:r>
        <w:rPr>
          <w:rFonts w:ascii="Microsoft YaHei" w:hAnsi="Microsoft YaHei" w:eastAsia="Microsoft YaHei" w:cs="Microsoft YaHei"/>
        </w:rPr>
        <w:t>的历史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Quant au nombre 8 en tant que symbole de résurrection, ce sont ces huit âmes dans l’arche qui en constituent la première mention comme symbole; et selon la règle de la première mention, tous les détails prophétiques se trouvent dans cette première mention. Ces huit âmes passent de l’ancienne terre à une nouvelle terre, n’est-ce pas?</w:t>
      </w:r>
    </w:p>
    <w:p>
      <w:pPr>
        <w:pStyle w:val="ArticleBody"/>
        <w:jc w:val="left"/>
      </w:pPr>
      <w:r>
        <w:rPr>
          <w:rFonts w:ascii="Times New Roman" w:hAnsi="Times New Roman" w:eastAsia="Times New Roman" w:cs="Times New Roman"/>
        </w:rPr>
        <w:t>Esas ocho almas vivieron durante el tiempo de la lluvia, pero todos los que rechazaron el mensaje de advertencia acerca de la lluvia murieron, ¿correcto? Las “8” almas que pasan a la tierra nueva, representadas por la historia del mensaje de advertencia rechazado, la puerta cerrada, la lluvia y la tierra nueva, atravesaron un cambio dispensacional del mundo antiguo al mundo nuevo.</w:t>
      </w:r>
    </w:p>
    <w:p>
      <w:pPr>
        <w:pStyle w:val="ArticleBody"/>
        <w:jc w:val="left"/>
      </w:pPr>
      <w:r>
        <w:rPr>
          <w:rFonts w:ascii="Times New Roman" w:hAnsi="Times New Roman" w:eastAsia="Times New Roman" w:cs="Times New Roman"/>
        </w:rPr>
        <w:t>Chanjman dispensasyonèl ki make uit nanm sa yo ki se san karannkat mil la, se pasaj soti Laodise rive Filadèlfi; li se tou pasaj soti nan legliz militè a, ki konpoze de ble ak move zèb, pou rive nan legliz triyonfan an, ki konpoze sèlman de premye fwi ofrann ble a, ki leve tankou yon ofrann siy pou tout lemonn wè, menm jan ak lè yon moun ap gade yon bato sèl sou dlo tanpèt yo. Moun sa yo se 8 la ki soti nan 7 la, epi istwa travèse lach la ak travèse Lanmè Wouj la se toude ilistrasyon “zèv mèvèy” Li yo.</w:t>
      </w:r>
    </w:p>
    <w:p>
      <w:pPr>
        <w:pStyle w:val="ArticleBody"/>
        <w:jc w:val="left"/>
      </w:pPr>
      <w:r>
        <w:rPr>
          <w:rFonts w:ascii="Times New Roman" w:hAnsi="Times New Roman" w:eastAsia="Times New Roman" w:cs="Times New Roman"/>
        </w:rPr>
        <w:t>Amasoul ao ke bao ba tsositšwego go phethagatša Kutollo 11:11. Ke batho ba kgwerano ya Modimo, ba emetšwego ke tatago bona Aborahama yo a bego a rwala leswao la kgwerano ka lebollo leo le bego le swanetše go dirwa ka letšatši la seswai.</w:t>
      </w:r>
    </w:p>
    <w:p>
      <w:pPr>
        <w:pStyle w:val="ArticleBody"/>
        <w:jc w:val="left"/>
      </w:pPr>
      <w:r>
        <w:rPr>
          <w:rFonts w:ascii="Myanmar Text" w:hAnsi="Myanmar Text" w:eastAsia="Myanmar Text" w:cs="Myanmar Text"/>
        </w:rPr>
        <w:t>ဤမျဉ်းကြောင်းအပေါင်းတို့သည်</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အချိန်ကာလတစ်ရပ်ကို</w:t>
      </w:r>
      <w:r>
        <w:rPr>
          <w:rFonts w:ascii="Times New Roman" w:hAnsi="Times New Roman" w:eastAsia="Times New Roman" w:cs="Times New Roman"/>
        </w:rPr>
        <w:t xml:space="preserve"> </w:t>
      </w:r>
      <w:r>
        <w:rPr>
          <w:rFonts w:ascii="Myanmar Text" w:hAnsi="Myanmar Text" w:eastAsia="Myanmar Text" w:cs="Myanmar Text"/>
        </w:rPr>
        <w:t>ကိုယ်စားပြုကြပြီး၊</w:t>
      </w:r>
      <w:r>
        <w:rPr>
          <w:rFonts w:ascii="Times New Roman" w:hAnsi="Times New Roman" w:eastAsia="Times New Roman" w:cs="Times New Roman"/>
        </w:rPr>
        <w:t xml:space="preserve"> </w:t>
      </w:r>
      <w:r>
        <w:rPr>
          <w:rFonts w:ascii="Myanmar Text" w:hAnsi="Myanmar Text" w:eastAsia="Myanmar Text" w:cs="Myanmar Text"/>
        </w:rPr>
        <w:t>ထိုအချိန်ကာလသည်</w:t>
      </w:r>
      <w:r>
        <w:rPr>
          <w:rFonts w:ascii="Times New Roman" w:hAnsi="Times New Roman" w:eastAsia="Times New Roman" w:cs="Times New Roman"/>
        </w:rPr>
        <w:t xml:space="preserve"> 9/11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အခြေခံအုတ်မြစ်များဖြင့်</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9/11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အခြေခံအုတ်မြစ်ကျောက်</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တနင်္ဂနွေနေ့ဥပဒေသည်</w:t>
      </w:r>
      <w:r>
        <w:rPr>
          <w:rFonts w:ascii="Times New Roman" w:hAnsi="Times New Roman" w:eastAsia="Times New Roman" w:cs="Times New Roman"/>
        </w:rPr>
        <w:t xml:space="preserve"> </w:t>
      </w:r>
      <w:r>
        <w:rPr>
          <w:rFonts w:ascii="Myanmar Text" w:hAnsi="Myanmar Text" w:eastAsia="Myanmar Text" w:cs="Myanmar Text"/>
        </w:rPr>
        <w:t>ထိပ်သီးကျောက်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နေဟမိနှင့်</w:t>
      </w:r>
      <w:r>
        <w:rPr>
          <w:rFonts w:ascii="Times New Roman" w:hAnsi="Times New Roman" w:eastAsia="Times New Roman" w:cs="Times New Roman"/>
        </w:rPr>
        <w:t xml:space="preserve"> </w:t>
      </w:r>
      <w:r>
        <w:rPr>
          <w:rFonts w:ascii="Myanmar Text" w:hAnsi="Myanmar Text" w:eastAsia="Myanmar Text" w:cs="Myanmar Text"/>
        </w:rPr>
        <w:t>ဧဇရတို့ခေတ်၌</w:t>
      </w:r>
      <w:r>
        <w:rPr>
          <w:rFonts w:ascii="Times New Roman" w:hAnsi="Times New Roman" w:eastAsia="Times New Roman" w:cs="Times New Roman"/>
        </w:rPr>
        <w:t xml:space="preserve"> </w:t>
      </w:r>
      <w:r>
        <w:rPr>
          <w:rFonts w:ascii="Myanmar Text" w:hAnsi="Myanmar Text" w:eastAsia="Myanmar Text" w:cs="Myanmar Text"/>
        </w:rPr>
        <w:t>ယေရုရှလင်မြို့ကို</w:t>
      </w:r>
      <w:r>
        <w:rPr>
          <w:rFonts w:ascii="Times New Roman" w:hAnsi="Times New Roman" w:eastAsia="Times New Roman" w:cs="Times New Roman"/>
        </w:rPr>
        <w:t xml:space="preserve"> </w:t>
      </w:r>
      <w:r>
        <w:rPr>
          <w:rFonts w:ascii="Myanmar Text" w:hAnsi="Myanmar Text" w:eastAsia="Myanmar Text" w:cs="Myanmar Text"/>
        </w:rPr>
        <w:t>ပြန်လည်တည်ဆောက်သော</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အခြေခံအုတ်မြစ်သည်</w:t>
      </w:r>
      <w:r>
        <w:rPr>
          <w:rFonts w:ascii="Times New Roman" w:hAnsi="Times New Roman" w:eastAsia="Times New Roman" w:cs="Times New Roman"/>
        </w:rPr>
        <w:t xml:space="preserve"> </w:t>
      </w:r>
      <w:r>
        <w:rPr>
          <w:rFonts w:ascii="Myanmar Text" w:hAnsi="Myanmar Text" w:eastAsia="Myanmar Text" w:cs="Myanmar Text"/>
        </w:rPr>
        <w:t>ပထမအမိန့်တော်၏</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ပြီးစီးခဲ့ပြီး၊</w:t>
      </w:r>
      <w:r>
        <w:rPr>
          <w:rFonts w:ascii="Times New Roman" w:hAnsi="Times New Roman" w:eastAsia="Times New Roman" w:cs="Times New Roman"/>
        </w:rPr>
        <w:t xml:space="preserve"> </w:t>
      </w:r>
      <w:r>
        <w:rPr>
          <w:rFonts w:ascii="Myanmar Text" w:hAnsi="Myanmar Text" w:eastAsia="Myanmar Text" w:cs="Myanmar Text"/>
        </w:rPr>
        <w:t>ဗိမာန်တော်ကိုယ်တိုင်မှာ</w:t>
      </w:r>
      <w:r>
        <w:rPr>
          <w:rFonts w:ascii="Times New Roman" w:hAnsi="Times New Roman" w:eastAsia="Times New Roman" w:cs="Times New Roman"/>
        </w:rPr>
        <w:t xml:space="preserve"> </w:t>
      </w:r>
      <w:r>
        <w:rPr>
          <w:rFonts w:ascii="Myanmar Text" w:hAnsi="Myanmar Text" w:eastAsia="Myanmar Text" w:cs="Myanmar Text"/>
        </w:rPr>
        <w:t>တတိယအမိန့်တော်မတိုင်မီ</w:t>
      </w:r>
      <w:r>
        <w:rPr>
          <w:rFonts w:ascii="Times New Roman" w:hAnsi="Times New Roman" w:eastAsia="Times New Roman" w:cs="Times New Roman"/>
        </w:rPr>
        <w:t xml:space="preserve"> </w:t>
      </w:r>
      <w:r>
        <w:rPr>
          <w:rFonts w:ascii="Myanmar Text" w:hAnsi="Myanmar Text" w:eastAsia="Myanmar Text" w:cs="Myanmar Text"/>
        </w:rPr>
        <w:t>ကောင်းစွာပြီးစီးနှင့်ခဲ့သည်။</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1843 </w:t>
      </w:r>
      <w:r>
        <w:rPr>
          <w:rFonts w:ascii="Myanmar Text" w:hAnsi="Myanmar Text" w:eastAsia="Myanmar Text" w:cs="Myanmar Text"/>
        </w:rPr>
        <w:t>ဇယားကို</w:t>
      </w:r>
      <w:r>
        <w:rPr>
          <w:rFonts w:ascii="Times New Roman" w:hAnsi="Times New Roman" w:eastAsia="Times New Roman" w:cs="Times New Roman"/>
        </w:rPr>
        <w:t xml:space="preserve"> </w:t>
      </w:r>
      <w:r>
        <w:rPr>
          <w:rFonts w:ascii="Myanmar Text" w:hAnsi="Myanmar Text" w:eastAsia="Myanmar Text" w:cs="Myanmar Text"/>
        </w:rPr>
        <w:t>ထုတ်ဝေခဲ့သော</w:t>
      </w:r>
      <w:r>
        <w:rPr>
          <w:rFonts w:ascii="Times New Roman" w:hAnsi="Times New Roman" w:eastAsia="Times New Roman" w:cs="Times New Roman"/>
        </w:rPr>
        <w:t xml:space="preserve"> 1842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မေလတွင်</w:t>
      </w:r>
      <w:r>
        <w:rPr>
          <w:rFonts w:ascii="Times New Roman" w:hAnsi="Times New Roman" w:eastAsia="Times New Roman" w:cs="Times New Roman"/>
        </w:rPr>
        <w:t xml:space="preserve"> </w:t>
      </w:r>
      <w:r>
        <w:rPr>
          <w:rFonts w:ascii="Myanmar Text" w:hAnsi="Myanmar Text" w:eastAsia="Myanmar Text" w:cs="Myanmar Text"/>
        </w:rPr>
        <w:t>အခြေခံအုတ်မြစ်များကို</w:t>
      </w:r>
      <w:r>
        <w:rPr>
          <w:rFonts w:ascii="Times New Roman" w:hAnsi="Times New Roman" w:eastAsia="Times New Roman" w:cs="Times New Roman"/>
        </w:rPr>
        <w:t xml:space="preserve"> </w:t>
      </w:r>
      <w:r>
        <w:rPr>
          <w:rFonts w:ascii="Myanmar Text" w:hAnsi="Myanmar Text" w:eastAsia="Myanmar Text" w:cs="Myanmar Text"/>
        </w:rPr>
        <w:t>တည်ထောင်ခဲ့သည်။</w:t>
      </w:r>
      <w:r>
        <w:rPr>
          <w:rFonts w:ascii="Times New Roman" w:hAnsi="Times New Roman" w:eastAsia="Times New Roman" w:cs="Times New Roman"/>
        </w:rPr>
        <w:t xml:space="preserve"> </w:t>
      </w:r>
      <w:r>
        <w:rPr>
          <w:rFonts w:ascii="Myanmar Text" w:hAnsi="Myanmar Text" w:eastAsia="Myanmar Text" w:cs="Myanmar Text"/>
        </w:rPr>
        <w:t>မီလာရိုက်ဗိမာန်တော်သည်</w:t>
      </w:r>
      <w:r>
        <w:rPr>
          <w:rFonts w:ascii="Times New Roman" w:hAnsi="Times New Roman" w:eastAsia="Times New Roman" w:cs="Times New Roman"/>
        </w:rPr>
        <w:t xml:space="preserve"> 1798 </w:t>
      </w:r>
      <w:r>
        <w:rPr>
          <w:rFonts w:ascii="Myanmar Text" w:hAnsi="Myanmar Text" w:eastAsia="Myanmar Text" w:cs="Myanmar Text"/>
        </w:rPr>
        <w:t>မှ</w:t>
      </w:r>
      <w:r>
        <w:rPr>
          <w:rFonts w:ascii="Times New Roman" w:hAnsi="Times New Roman" w:eastAsia="Times New Roman" w:cs="Times New Roman"/>
        </w:rPr>
        <w:t xml:space="preserve"> 1844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လေးဆယ့်ခြောက်နှစ်ကြာ</w:t>
      </w:r>
      <w:r>
        <w:rPr>
          <w:rFonts w:ascii="Times New Roman" w:hAnsi="Times New Roman" w:eastAsia="Times New Roman" w:cs="Times New Roman"/>
        </w:rPr>
        <w:t xml:space="preserve"> </w:t>
      </w:r>
      <w:r>
        <w:rPr>
          <w:rFonts w:ascii="Myanmar Text" w:hAnsi="Myanmar Text" w:eastAsia="Myanmar Text" w:cs="Myanmar Text"/>
        </w:rPr>
        <w:t>တည်ဆောက်ရမည်ဖြစ်သည်။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မီလာရိုက်ဗိမာန်တော်သည်</w:t>
      </w:r>
      <w:r>
        <w:rPr>
          <w:rFonts w:ascii="Times New Roman" w:hAnsi="Times New Roman" w:eastAsia="Times New Roman" w:cs="Times New Roman"/>
        </w:rPr>
        <w:t xml:space="preserve"> </w:t>
      </w:r>
      <w:r>
        <w:rPr>
          <w:rFonts w:ascii="Myanmar Text" w:hAnsi="Myanmar Text" w:eastAsia="Myanmar Text" w:cs="Myanmar Text"/>
        </w:rPr>
        <w:t>ပြီးစီးခဲ့ပြီး၊</w:t>
      </w:r>
      <w:r>
        <w:rPr>
          <w:rFonts w:ascii="Times New Roman" w:hAnsi="Times New Roman" w:eastAsia="Times New Roman" w:cs="Times New Roman"/>
        </w:rPr>
        <w:t xml:space="preserve"> </w:t>
      </w:r>
      <w:r>
        <w:rPr>
          <w:rFonts w:ascii="Myanmar Text" w:hAnsi="Myanmar Text" w:eastAsia="Myanmar Text" w:cs="Myanmar Text"/>
        </w:rPr>
        <w:t>ထိပ်သီးကျောက်မှာ</w:t>
      </w:r>
      <w:r>
        <w:rPr>
          <w:rFonts w:ascii="Times New Roman" w:hAnsi="Times New Roman" w:eastAsia="Times New Roman" w:cs="Times New Roman"/>
        </w:rPr>
        <w:t xml:space="preserve"> </w:t>
      </w:r>
      <w:r>
        <w:rPr>
          <w:rFonts w:ascii="Myanmar Text" w:hAnsi="Myanmar Text" w:eastAsia="Myanmar Text" w:cs="Myanmar Text"/>
        </w:rPr>
        <w:t>သန်းခေါင်ယံကြွေးကြော်ချက်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သန်းခေါင်ယံကြွေးကြော်ချက်သည်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အဆုံးသတ်သောအခါ၊</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457 </w:t>
      </w:r>
      <w:r>
        <w:rPr>
          <w:rFonts w:ascii="Myanmar Text" w:hAnsi="Myanmar Text" w:eastAsia="Myanmar Text" w:cs="Myanmar Text"/>
        </w:rPr>
        <w:t>ခုနှစ်၏</w:t>
      </w:r>
      <w:r>
        <w:rPr>
          <w:rFonts w:ascii="Times New Roman" w:hAnsi="Times New Roman" w:eastAsia="Times New Roman" w:cs="Times New Roman"/>
        </w:rPr>
        <w:t xml:space="preserve"> alpha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တတိယအမိန့်တော်သည်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omega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ဆန့်ကျင်ဘက်တူညီမှုနှင့်</w:t>
      </w:r>
      <w:r>
        <w:rPr>
          <w:rFonts w:ascii="Times New Roman" w:hAnsi="Times New Roman" w:eastAsia="Times New Roman" w:cs="Times New Roman"/>
        </w:rPr>
        <w:t xml:space="preserve"> </w:t>
      </w:r>
      <w:r>
        <w:rPr>
          <w:rFonts w:ascii="Myanmar Text" w:hAnsi="Myanmar Text" w:eastAsia="Myanmar Text" w:cs="Myanmar Text"/>
        </w:rPr>
        <w:t>တွေ့ဆုံခဲ့သည်။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457 </w:t>
      </w:r>
      <w:r>
        <w:rPr>
          <w:rFonts w:ascii="Myanmar Text" w:hAnsi="Myanmar Text" w:eastAsia="Myanmar Text" w:cs="Myanmar Text"/>
        </w:rPr>
        <w:t>သည်</w:t>
      </w:r>
      <w:r>
        <w:rPr>
          <w:rFonts w:ascii="Times New Roman" w:hAnsi="Times New Roman" w:eastAsia="Times New Roman" w:cs="Times New Roman"/>
        </w:rPr>
        <w:t xml:space="preserve"> 2300 </w:t>
      </w:r>
      <w:r>
        <w:rPr>
          <w:rFonts w:ascii="Myanmar Text" w:hAnsi="Myanmar Text" w:eastAsia="Myanmar Text" w:cs="Myanmar Text"/>
        </w:rPr>
        <w:t>နှစ်အတွက်</w:t>
      </w:r>
      <w:r>
        <w:rPr>
          <w:rFonts w:ascii="Times New Roman" w:hAnsi="Times New Roman" w:eastAsia="Times New Roman" w:cs="Times New Roman"/>
        </w:rPr>
        <w:t xml:space="preserve"> alpha </w:t>
      </w:r>
      <w:r>
        <w:rPr>
          <w:rFonts w:ascii="Myanmar Text" w:hAnsi="Myanmar Text" w:eastAsia="Myanmar Text" w:cs="Myanmar Text"/>
        </w:rPr>
        <w:t>ဖြစ်သကဲ့သို့၊</w:t>
      </w:r>
      <w:r>
        <w:rPr>
          <w:rFonts w:ascii="Times New Roman" w:hAnsi="Times New Roman" w:eastAsia="Times New Roman" w:cs="Times New Roman"/>
        </w:rPr>
        <w:t xml:space="preserve"> 1844 </w:t>
      </w:r>
      <w:r>
        <w:rPr>
          <w:rFonts w:ascii="Myanmar Text" w:hAnsi="Myanmar Text" w:eastAsia="Myanmar Text" w:cs="Myanmar Text"/>
        </w:rPr>
        <w:t>သည်</w:t>
      </w:r>
      <w:r>
        <w:rPr>
          <w:rFonts w:ascii="Times New Roman" w:hAnsi="Times New Roman" w:eastAsia="Times New Roman" w:cs="Times New Roman"/>
        </w:rPr>
        <w:t xml:space="preserve"> omega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အဆင့်တစ်ခု၌</w:t>
      </w:r>
      <w:r>
        <w:rPr>
          <w:rFonts w:ascii="Times New Roman" w:hAnsi="Times New Roman" w:eastAsia="Times New Roman" w:cs="Times New Roman"/>
        </w:rPr>
        <w:t xml:space="preserve"> </w:t>
      </w:r>
      <w:r>
        <w:rPr>
          <w:rFonts w:ascii="Myanmar Text" w:hAnsi="Myanmar Text" w:eastAsia="Myanmar Text" w:cs="Myanmar Text"/>
        </w:rPr>
        <w:t>နှစ်ရပ်စလုံးသည်</w:t>
      </w:r>
      <w:r>
        <w:rPr>
          <w:rFonts w:ascii="Times New Roman" w:hAnsi="Times New Roman" w:eastAsia="Times New Roman" w:cs="Times New Roman"/>
        </w:rPr>
        <w:t xml:space="preserve"> </w:t>
      </w:r>
      <w:r>
        <w:rPr>
          <w:rFonts w:ascii="Myanmar Text" w:hAnsi="Myanmar Text" w:eastAsia="Myanmar Text" w:cs="Myanmar Text"/>
        </w:rPr>
        <w:t>တူညီကြသည်၊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အမိန့်တော်ဖြစ်စေ၊</w:t>
      </w:r>
      <w:r>
        <w:rPr>
          <w:rFonts w:ascii="Times New Roman" w:hAnsi="Times New Roman" w:eastAsia="Times New Roman" w:cs="Times New Roman"/>
        </w:rPr>
        <w:t xml:space="preserve"> </w:t>
      </w:r>
      <w:r>
        <w:rPr>
          <w:rFonts w:ascii="Myanmar Text" w:hAnsi="Myanmar Text" w:eastAsia="Myanmar Text" w:cs="Myanmar Text"/>
        </w:rPr>
        <w:t>ကောင်းကင်တမန်ဖြစ်စေ၊</w:t>
      </w:r>
      <w:r>
        <w:rPr>
          <w:rFonts w:ascii="Times New Roman" w:hAnsi="Times New Roman" w:eastAsia="Times New Roman" w:cs="Times New Roman"/>
        </w:rPr>
        <w:t xml:space="preserve"> </w:t>
      </w:r>
      <w:r>
        <w:rPr>
          <w:rFonts w:ascii="Myanmar Text" w:hAnsi="Myanmar Text" w:eastAsia="Myanmar Text" w:cs="Myanmar Text"/>
        </w:rPr>
        <w:t>နှစ်ရပ်စလုံးသည်</w:t>
      </w:r>
      <w:r>
        <w:rPr>
          <w:rFonts w:ascii="Times New Roman" w:hAnsi="Times New Roman" w:eastAsia="Times New Roman" w:cs="Times New Roman"/>
        </w:rPr>
        <w:t xml:space="preserve"> </w:t>
      </w:r>
      <w:r>
        <w:rPr>
          <w:rFonts w:ascii="Myanmar Text" w:hAnsi="Myanmar Text" w:eastAsia="Myanmar Text" w:cs="Myanmar Text"/>
        </w:rPr>
        <w:t>သတင်းစကားများဖြစ်ပြီး၊</w:t>
      </w:r>
      <w:r>
        <w:rPr>
          <w:rFonts w:ascii="Times New Roman" w:hAnsi="Times New Roman" w:eastAsia="Times New Roman" w:cs="Times New Roman"/>
        </w:rPr>
        <w:t xml:space="preserve"> </w:t>
      </w:r>
      <w:r>
        <w:rPr>
          <w:rFonts w:ascii="Myanmar Text" w:hAnsi="Myanmar Text" w:eastAsia="Myanmar Text" w:cs="Myanmar Text"/>
        </w:rPr>
        <w:t>ထိုနှစ်ရပ်စလုံးသည်</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ရှေ့ပြုအရိပ်အယောင်ပြုကြသည်။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အမိန့်တော်တစ်ရပ်</w:t>
      </w:r>
      <w:r>
        <w:rPr>
          <w:rFonts w:ascii="Times New Roman" w:hAnsi="Times New Roman" w:eastAsia="Times New Roman" w:cs="Times New Roman"/>
        </w:rPr>
        <w:t xml:space="preserve"> </w:t>
      </w:r>
      <w:r>
        <w:rPr>
          <w:rFonts w:ascii="Myanmar Text" w:hAnsi="Myanmar Text" w:eastAsia="Myanmar Text" w:cs="Myanmar Text"/>
        </w:rPr>
        <w:t>ရှိမည်ဖြစ်သကဲ့သို့၊</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သတင်းစကားသည်လည်း</w:t>
      </w:r>
      <w:r>
        <w:rPr>
          <w:rFonts w:ascii="Times New Roman" w:hAnsi="Times New Roman" w:eastAsia="Times New Roman" w:cs="Times New Roman"/>
        </w:rPr>
        <w:t xml:space="preserve"> </w:t>
      </w:r>
      <w:r>
        <w:rPr>
          <w:rFonts w:ascii="Myanmar Text" w:hAnsi="Myanmar Text" w:eastAsia="Myanmar Text" w:cs="Myanmar Text"/>
        </w:rPr>
        <w:t>ကြီးသောကြွေးကြော်ချက်အဖြစ်</w:t>
      </w:r>
      <w:r>
        <w:rPr>
          <w:rFonts w:ascii="Times New Roman" w:hAnsi="Times New Roman" w:eastAsia="Times New Roman" w:cs="Times New Roman"/>
        </w:rPr>
        <w:t xml:space="preserve"> </w:t>
      </w:r>
      <w:r>
        <w:rPr>
          <w:rFonts w:ascii="Myanmar Text" w:hAnsi="Myanmar Text" w:eastAsia="Myanmar Text" w:cs="Myanmar Text"/>
        </w:rPr>
        <w:t>ဖောင်းထွားတက်ကြွလာမည်ဖြစ်သည်။</w:t>
      </w:r>
    </w:p>
    <w:p>
      <w:pPr>
        <w:pStyle w:val="ArticleBody"/>
        <w:jc w:val="left"/>
      </w:pPr>
      <w:r>
        <w:rPr>
          <w:rFonts w:ascii="Times New Roman" w:hAnsi="Times New Roman" w:eastAsia="Times New Roman" w:cs="Times New Roman"/>
        </w:rPr>
        <w:t>Horee bara 457 irraa jalqabee hamma bara 408tti, waggootni afurtamii sagal Daaniʼeliin akka yeroo Yihudoonni itti hojii ijaarsa xumuranitti adda baafaman; “daandiin deebiʼee ni ijaaramti, dallaanis, yeroo rakkisaa keessatti iyyuu.”</w:t>
      </w:r>
    </w:p>
    <w:p>
      <w:pPr>
        <w:pStyle w:val="ArticleScripture"/>
        <w:jc w:val="left"/>
      </w:pPr>
      <w:r>
        <w:rPr>
          <w:rFonts w:ascii="Times New Roman" w:hAnsi="Times New Roman" w:eastAsia="Times New Roman" w:cs="Times New Roman"/>
        </w:rPr>
        <w:t>تو بدين‌سان بدان و بفهم كه از صدور فرمان برای بازگردانیدن و بنا كردن اورشلیم تا مسیحِ رئیس، هفت هفته و شصت و دو هفته خواهد بود؛ كوچه‌ها بار دیگر بنا خواهند شد، و حصار نیز، هرچند در زمان‌های آشوب. دانیال ۹:۲۵</w:t>
      </w:r>
    </w:p>
    <w:p>
      <w:pPr>
        <w:pStyle w:val="ArticleBody"/>
        <w:jc w:val="left"/>
      </w:pPr>
      <w:r>
        <w:rPr>
          <w:rFonts w:ascii="Times New Roman" w:hAnsi="Times New Roman" w:eastAsia="Times New Roman" w:cs="Times New Roman"/>
        </w:rPr>
        <w:t>457 av. J.-C. et 1844 sont l’alpha et l’oméga de la prophétie des 2300 ans. Tous deux préfigurent la loi du dimanche, car, en tant qu’alpha et oméga, ils sont identiques, et la déception de 1844 est mise en parallèle par l’inspiration avec la déception de la croix. Si 1844 préfigure la croix, et c’est bien le cas, alors son pendant alpha (457 av. J.-C.) le fait également. La période de 1844 à 1863 illustre le processus d’épreuve du troisième ange. Ce processus d’épreuve est représenté par les 49 années comprises entre le troisième décret, le décret de la loi du dimanche, et l’achèvement de l’œuvre de la rue et de la muraille, qui a lieu en des temps de détresse.</w:t>
      </w:r>
    </w:p>
    <w:p>
      <w:pPr>
        <w:pStyle w:val="ArticleBody"/>
        <w:jc w:val="left"/>
      </w:pPr>
      <w:r>
        <w:rPr>
          <w:rFonts w:ascii="Nirmala UI" w:hAnsi="Nirmala UI" w:eastAsia="Nirmala UI" w:cs="Nirmala UI"/>
        </w:rPr>
        <w:t>४५७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पूर्वदेखि</w:t>
      </w:r>
      <w:r>
        <w:rPr>
          <w:rFonts w:ascii="Times New Roman" w:hAnsi="Times New Roman" w:eastAsia="Times New Roman" w:cs="Times New Roman"/>
        </w:rPr>
        <w:t xml:space="preserve"> </w:t>
      </w:r>
      <w:r>
        <w:rPr>
          <w:rFonts w:ascii="Nirmala UI" w:hAnsi="Nirmala UI" w:eastAsia="Nirmala UI" w:cs="Nirmala UI"/>
        </w:rPr>
        <w:t>४०८</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पूर्वसम्मको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२३००</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दृष्टान्तस्वरूप</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इतिहासहरूले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मानवको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नहुन्जेलसम्म</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लगाइएपछि</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स्त्रीहरूलाई</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मार्गहरू</w:t>
      </w:r>
      <w:r>
        <w:rPr>
          <w:rFonts w:ascii="Times New Roman" w:hAnsi="Times New Roman" w:eastAsia="Times New Roman" w:cs="Times New Roman"/>
        </w:rPr>
        <w:t xml:space="preserve">” </w:t>
      </w:r>
      <w:r>
        <w:rPr>
          <w:rFonts w:ascii="Nirmala UI" w:hAnsi="Nirmala UI" w:eastAsia="Nirmala UI" w:cs="Nirmala UI"/>
        </w:rPr>
        <w:t>तर्फ</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बोलाउनु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स्थानहरूको</w:t>
      </w:r>
      <w:r>
        <w:rPr>
          <w:rFonts w:ascii="Times New Roman" w:hAnsi="Times New Roman" w:eastAsia="Times New Roman" w:cs="Times New Roman"/>
        </w:rPr>
        <w:t xml:space="preserve"> </w:t>
      </w:r>
      <w:r>
        <w:rPr>
          <w:rFonts w:ascii="Nirmala UI" w:hAnsi="Nirmala UI" w:eastAsia="Nirmala UI" w:cs="Nirmala UI"/>
        </w:rPr>
        <w:t>पुनर्निर्माणको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यर्मियाले</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सन्देशतर्फ</w:t>
      </w:r>
      <w:r>
        <w:rPr>
          <w:rFonts w:ascii="Times New Roman" w:hAnsi="Times New Roman" w:eastAsia="Times New Roman" w:cs="Times New Roman"/>
        </w:rPr>
        <w:t xml:space="preserve"> </w:t>
      </w:r>
      <w:r>
        <w:rPr>
          <w:rFonts w:ascii="Nirmala UI" w:hAnsi="Nirmala UI" w:eastAsia="Nirmala UI" w:cs="Nirmala UI"/>
        </w:rPr>
        <w:t>लैजाने</w:t>
      </w:r>
      <w:r>
        <w:rPr>
          <w:rFonts w:ascii="Times New Roman" w:hAnsi="Times New Roman" w:eastAsia="Times New Roman" w:cs="Times New Roman"/>
        </w:rPr>
        <w:t xml:space="preserve"> </w:t>
      </w:r>
      <w:r>
        <w:rPr>
          <w:rFonts w:ascii="Nirmala UI" w:hAnsi="Nirmala UI" w:eastAsia="Nirmala UI" w:cs="Nirmala UI"/>
        </w:rPr>
        <w:t>मार्गको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पर्खाल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हजारले</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ध्वजचिन्हको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हायका</w:t>
      </w:r>
      <w:r>
        <w:rPr>
          <w:rFonts w:ascii="Times New Roman" w:hAnsi="Times New Roman" w:eastAsia="Times New Roman" w:cs="Times New Roman"/>
        </w:rPr>
        <w:t xml:space="preserve"> </w:t>
      </w:r>
      <w:r>
        <w:rPr>
          <w:rFonts w:ascii="Nirmala UI" w:hAnsi="Nirmala UI" w:eastAsia="Nirmala UI" w:cs="Nirmala UI"/>
        </w:rPr>
        <w:t>क्लेशपूर्ण</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जातिहरूलाई</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क्लेशपूर्ण</w:t>
      </w:r>
      <w:r>
        <w:rPr>
          <w:rFonts w:ascii="Times New Roman" w:hAnsi="Times New Roman" w:eastAsia="Times New Roman" w:cs="Times New Roman"/>
        </w:rPr>
        <w:t xml:space="preserve"> </w:t>
      </w:r>
      <w:r>
        <w:rPr>
          <w:rFonts w:ascii="Nirmala UI" w:hAnsi="Nirmala UI" w:eastAsia="Nirmala UI" w:cs="Nirmala UI"/>
        </w:rPr>
        <w:t>समयहरू</w:t>
      </w:r>
      <w:r>
        <w:rPr>
          <w:rFonts w:ascii="Times New Roman" w:hAnsi="Times New Roman" w:eastAsia="Times New Roman" w:cs="Times New Roman"/>
        </w:rPr>
        <w:t xml:space="preserve">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नहुन्जेलसम्म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रहनेछन्।</w:t>
      </w:r>
    </w:p>
    <w:p>
      <w:pPr>
        <w:pStyle w:val="ArticleBody"/>
        <w:jc w:val="left"/>
      </w:pPr>
      <w:r>
        <w:rPr>
          <w:rFonts w:ascii="Times New Roman" w:hAnsi="Times New Roman" w:eastAsia="Times New Roman" w:cs="Times New Roman"/>
        </w:rPr>
        <w:t>Gutenberg: 457 v. Chr. bis 408 v. Chr. ist eine prophetische Zeitspanne, die mit dem dritten Erlass begann und eine prophetische Zeitspanne vorbildlich darstellte, die 1844 mit dem Eintreffen des dritten Engels begann und 1863 endete, dann kannst du erkennen, dass ihre Verbindung mit der 2300-Jahr-Prophezeiung — sei es als Ausgangspunkt oder als Endpunkt — sie in ihrer Beziehung zueinander als Alpha und Omega kennzeichnet. Die trübseligen Zeiten Nehemias veranschaulichen die trübselige Zeit, die bis zum Bürgerkrieg hinführte und ihn einschloss. Die neunundvierzigjährige Zeitspanne in der Alpha-Geschichte stellt die neunzehnjährige Zeitspanne in der Omega-Geschichte dar. Diese neunzehnjährige Zeitspanne wurde auch durch die neunzehn Jahre am Anfang der 65-Jahr-Prophezeiung Jesajas dargestellt.</w:t>
      </w:r>
    </w:p>
    <w:p>
      <w:pPr>
        <w:pStyle w:val="ArticleScripture"/>
        <w:jc w:val="left"/>
      </w:pPr>
      <w:r>
        <w:rPr>
          <w:rFonts w:ascii="Times New Roman" w:hAnsi="Times New Roman" w:eastAsia="Times New Roman" w:cs="Times New Roman"/>
        </w:rPr>
        <w:t>Mu xeloo Siriya mooy Damaas, te mu xeloo Damaas mooy Resin; te ci biir juróom-benn-fukk ak juróom ñaari at, Efrayim dina daanu, ba du nit ñi ci seen bopp. Esayi 7:8.</w:t>
      </w:r>
    </w:p>
    <w:p>
      <w:pPr>
        <w:pStyle w:val="ArticleBody"/>
        <w:jc w:val="left"/>
      </w:pPr>
      <w:r>
        <w:rPr>
          <w:rFonts w:ascii="Times New Roman" w:hAnsi="Times New Roman" w:eastAsia="Times New Roman" w:cs="Times New Roman"/>
        </w:rPr>
        <w:t>Isaïe énonça cette prophétie en 742 av. J.-C., et 19 ans plus tard, en 723 av. J.-C., le royaume du Nord fut emmené en captivité pour 2520 ans, prenant fin en 1798. Les 19 années allant de 742 av. J.-C. à 723 av. J.-C. correspondent aux 19 années allant de 1844 à 1863, car les 19 premières années sont l’alpha de cette prophétie, et les 19 dernières en sont l’oméga. Dans cette période de 19 ans, le méchant roi Achaz fut confronté par Ésaïe au message de la pluie de l’arrière-saison, représenté au verset huit comme le message des « sept temps ». Achaz rejeta le message, de même que l’adventisme millérite laodicéen en 1863.</w:t>
      </w:r>
    </w:p>
    <w:p>
      <w:pPr>
        <w:pStyle w:val="ArticleBody"/>
        <w:jc w:val="left"/>
      </w:pPr>
      <w:r>
        <w:rPr>
          <w:rFonts w:ascii="Times New Roman" w:hAnsi="Times New Roman" w:eastAsia="Times New Roman" w:cs="Times New Roman"/>
        </w:rPr>
        <w:t>Pendant cette période, le grand prêtre d’Achaz se rendit en Assyrie, en rapporta le modèle de leur temple païen, et Achaz le fit construire dans le parvis du temple de Dieu. Cette ligne est parallèle au récit du prophète désobéissant qui ne devait pas retourner en Juda par le même chemin que celui par lequel il était venu, mais qui le fit néanmoins et fut séduit par un prophète faux et menteur, ce qui représente le retour à une méthodologie protestante apostate afin de se soustraire à la compréhension millérite des « sept temps », dans un accomplissement classique du chien retournant à son propre vomissement.</w:t>
      </w:r>
    </w:p>
    <w:p>
      <w:pPr>
        <w:pStyle w:val="ArticleBody"/>
        <w:jc w:val="left"/>
      </w:pPr>
      <w:r>
        <w:rPr>
          <w:rFonts w:ascii="Microsoft YaHei" w:hAnsi="Microsoft YaHei" w:eastAsia="Microsoft YaHei" w:cs="Microsoft YaHei"/>
        </w:rPr>
        <w:t>這件事發生之時</w:t>
      </w:r>
      <w:r>
        <w:rPr>
          <w:rFonts w:ascii="Times New Roman" w:hAnsi="Times New Roman" w:eastAsia="Times New Roman" w:cs="Times New Roman"/>
        </w:rPr>
        <w:t>,</w:t>
      </w:r>
      <w:r>
        <w:rPr>
          <w:rFonts w:ascii="Microsoft YaHei" w:hAnsi="Microsoft YaHei" w:eastAsia="Microsoft YaHei" w:cs="Microsoft YaHei"/>
        </w:rPr>
        <w:t>正值北國與南國之間的內戰開始展開</w:t>
      </w:r>
      <w:r>
        <w:rPr>
          <w:rFonts w:ascii="Times New Roman" w:hAnsi="Times New Roman" w:eastAsia="Times New Roman" w:cs="Times New Roman"/>
        </w:rPr>
        <w:t>,</w:t>
      </w:r>
      <w:r>
        <w:rPr>
          <w:rFonts w:ascii="Microsoft YaHei" w:hAnsi="Microsoft YaHei" w:eastAsia="Microsoft YaHei" w:cs="Microsoft YaHei"/>
        </w:rPr>
        <w:t>因此預表了美國在那十九年時期重演之際所經歷的南北戰爭</w:t>
      </w:r>
      <w:r>
        <w:rPr>
          <w:rFonts w:ascii="Times New Roman" w:hAnsi="Times New Roman" w:eastAsia="Times New Roman" w:cs="Times New Roman"/>
        </w:rPr>
        <w:t>.</w:t>
      </w:r>
      <w:r>
        <w:rPr>
          <w:rFonts w:ascii="Microsoft YaHei" w:hAnsi="Microsoft YaHei" w:eastAsia="Microsoft YaHei" w:cs="Microsoft YaHei"/>
        </w:rPr>
        <w:t>主前</w:t>
      </w:r>
      <w:r>
        <w:rPr>
          <w:rFonts w:ascii="Times New Roman" w:hAnsi="Times New Roman" w:eastAsia="Times New Roman" w:cs="Times New Roman"/>
        </w:rPr>
        <w:t>742</w:t>
      </w:r>
      <w:r>
        <w:rPr>
          <w:rFonts w:ascii="Microsoft YaHei" w:hAnsi="Microsoft YaHei" w:eastAsia="Microsoft YaHei" w:cs="Microsoft YaHei"/>
        </w:rPr>
        <w:t>年至主前</w:t>
      </w:r>
      <w:r>
        <w:rPr>
          <w:rFonts w:ascii="Times New Roman" w:hAnsi="Times New Roman" w:eastAsia="Times New Roman" w:cs="Times New Roman"/>
        </w:rPr>
        <w:t>723</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代表自</w:t>
      </w:r>
      <w:r>
        <w:rPr>
          <w:rFonts w:ascii="Times New Roman" w:hAnsi="Times New Roman" w:eastAsia="Times New Roman" w:cs="Times New Roman"/>
        </w:rPr>
        <w:t>1844</w:t>
      </w:r>
      <w:r>
        <w:rPr>
          <w:rFonts w:ascii="Microsoft YaHei" w:hAnsi="Microsoft YaHei" w:eastAsia="Microsoft YaHei" w:cs="Microsoft YaHei"/>
        </w:rPr>
        <w:t>年至</w:t>
      </w:r>
      <w:r>
        <w:rPr>
          <w:rFonts w:ascii="Times New Roman" w:hAnsi="Times New Roman" w:eastAsia="Times New Roman" w:cs="Times New Roman"/>
        </w:rPr>
        <w:t>1863</w:t>
      </w:r>
      <w:r>
        <w:rPr>
          <w:rFonts w:ascii="Microsoft YaHei" w:hAnsi="Microsoft YaHei" w:eastAsia="Microsoft YaHei" w:cs="Microsoft YaHei"/>
        </w:rPr>
        <w:t>年的十九年時期</w:t>
      </w:r>
      <w:r>
        <w:rPr>
          <w:rFonts w:ascii="Times New Roman" w:hAnsi="Times New Roman" w:eastAsia="Times New Roman" w:cs="Times New Roman"/>
        </w:rPr>
        <w:t>;</w:t>
      </w:r>
      <w:r>
        <w:rPr>
          <w:rFonts w:ascii="Microsoft YaHei" w:hAnsi="Microsoft YaHei" w:eastAsia="Microsoft YaHei" w:cs="Microsoft YaHei"/>
        </w:rPr>
        <w:t>這又代表自星期日法令直到恩門關閉的時期</w:t>
      </w:r>
      <w:r>
        <w:rPr>
          <w:rFonts w:ascii="Times New Roman" w:hAnsi="Times New Roman" w:eastAsia="Times New Roman" w:cs="Times New Roman"/>
        </w:rPr>
        <w:t>.</w:t>
      </w:r>
      <w:r>
        <w:rPr>
          <w:rFonts w:ascii="Microsoft YaHei" w:hAnsi="Microsoft YaHei" w:eastAsia="Microsoft YaHei" w:cs="Microsoft YaHei"/>
        </w:rPr>
        <w:t>從</w:t>
      </w:r>
      <w:r>
        <w:rPr>
          <w:rFonts w:ascii="Times New Roman" w:hAnsi="Times New Roman" w:eastAsia="Times New Roman" w:cs="Times New Roman"/>
        </w:rPr>
        <w:t>9/11</w:t>
      </w:r>
      <w:r>
        <w:rPr>
          <w:rFonts w:ascii="Microsoft YaHei" w:hAnsi="Microsoft YaHei" w:eastAsia="Microsoft YaHei" w:cs="Microsoft YaHei"/>
        </w:rPr>
        <w:t>直到星期日法令的歷史</w:t>
      </w:r>
      <w:r>
        <w:rPr>
          <w:rFonts w:ascii="Times New Roman" w:hAnsi="Times New Roman" w:eastAsia="Times New Roman" w:cs="Times New Roman"/>
        </w:rPr>
        <w:t>,</w:t>
      </w:r>
      <w:r>
        <w:rPr>
          <w:rFonts w:ascii="Microsoft YaHei" w:hAnsi="Microsoft YaHei" w:eastAsia="Microsoft YaHei" w:cs="Microsoft YaHei"/>
        </w:rPr>
        <w:t>乃是美國境內獸像試驗的歷史</w:t>
      </w:r>
      <w:r>
        <w:rPr>
          <w:rFonts w:ascii="Times New Roman" w:hAnsi="Times New Roman" w:eastAsia="Times New Roman" w:cs="Times New Roman"/>
        </w:rPr>
        <w:t>;</w:t>
      </w:r>
      <w:r>
        <w:rPr>
          <w:rFonts w:ascii="Microsoft YaHei" w:hAnsi="Microsoft YaHei" w:eastAsia="Microsoft YaHei" w:cs="Microsoft YaHei"/>
        </w:rPr>
        <w:t>而這一歷史在自星期日法令開始之世界性獸像試驗中被重複</w:t>
      </w:r>
      <w:r>
        <w:rPr>
          <w:rFonts w:ascii="Times New Roman" w:hAnsi="Times New Roman" w:eastAsia="Times New Roman" w:cs="Times New Roman"/>
        </w:rPr>
        <w:t>.</w:t>
      </w:r>
      <w:r>
        <w:rPr>
          <w:rFonts w:ascii="Microsoft YaHei" w:hAnsi="Microsoft YaHei" w:eastAsia="Microsoft YaHei" w:cs="Microsoft YaHei"/>
        </w:rPr>
        <w:t>為此</w:t>
      </w:r>
      <w:r>
        <w:rPr>
          <w:rFonts w:ascii="Times New Roman" w:hAnsi="Times New Roman" w:eastAsia="Times New Roman" w:cs="Times New Roman"/>
        </w:rPr>
        <w:t>,</w:t>
      </w:r>
      <w:r>
        <w:rPr>
          <w:rFonts w:ascii="Microsoft YaHei" w:hAnsi="Microsoft YaHei" w:eastAsia="Microsoft YaHei" w:cs="Microsoft YaHei"/>
        </w:rPr>
        <w:t>那些代表從星期日法令直到恩門關閉之十九年時期</w:t>
      </w:r>
      <w:r>
        <w:rPr>
          <w:rFonts w:ascii="Times New Roman" w:hAnsi="Times New Roman" w:eastAsia="Times New Roman" w:cs="Times New Roman"/>
        </w:rPr>
        <w:t>,</w:t>
      </w:r>
      <w:r>
        <w:rPr>
          <w:rFonts w:ascii="Microsoft YaHei" w:hAnsi="Microsoft YaHei" w:eastAsia="Microsoft YaHei" w:cs="Microsoft YaHei"/>
        </w:rPr>
        <w:t>也同樣代表從</w:t>
      </w:r>
      <w:r>
        <w:rPr>
          <w:rFonts w:ascii="Times New Roman" w:hAnsi="Times New Roman" w:eastAsia="Times New Roman" w:cs="Times New Roman"/>
        </w:rPr>
        <w:t>9/11</w:t>
      </w:r>
      <w:r>
        <w:rPr>
          <w:rFonts w:ascii="Microsoft YaHei" w:hAnsi="Microsoft YaHei" w:eastAsia="Microsoft YaHei" w:cs="Microsoft YaHei"/>
        </w:rPr>
        <w:t>直到星期日法令的歷史</w:t>
      </w:r>
      <w:r>
        <w:rPr>
          <w:rFonts w:ascii="Times New Roman" w:hAnsi="Times New Roman" w:eastAsia="Times New Roman" w:cs="Times New Roman"/>
        </w:rPr>
        <w:t>,</w:t>
      </w:r>
      <w:r>
        <w:rPr>
          <w:rFonts w:ascii="Microsoft YaHei" w:hAnsi="Microsoft YaHei" w:eastAsia="Microsoft YaHei" w:cs="Microsoft YaHei"/>
        </w:rPr>
        <w:t>這就是祂「奇妙作為」的歷史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On continuera dans le prochain article.</w:t>
      </w:r>
    </w:p>
    <w:p>
      <w:pPr>
        <w:pStyle w:val="ArticleScripture"/>
        <w:jc w:val="left"/>
      </w:pPr>
      <w:r>
        <w:rPr>
          <w:rFonts w:ascii="Times New Roman" w:hAnsi="Times New Roman" w:eastAsia="Times New Roman" w:cs="Times New Roman"/>
        </w:rPr>
        <w:t>ثم صار إليَّ كلامُ الربِّ قائلاً: يا ابنَ الإنسان، ما هذا المثلُ الذي لكم في أرضِ إسرائيل، القائل: قد تطاولتِ الأيامُ، وكلُّ رؤيا قد خابت؟ لذلك قُل لهم: هكذا قال السيدُ الرب: أُبطلُ هذا المثلَ، فلا يعودون يستعملونه مثلاً في إسرائيل؛ بل قُل لهم: قد اقتربتِ الأيامُ وتحقُّقُ كلِّ رؤيا. لأنه لا تكون بعدُ رؤيا باطلة ولا عِرافةٌ متملِّقة في بيتِ إسرائيل. لأني أنا الرب: أتكلم، والكلمةُ التي أتكلم بها تكون؛ لا تتأخر بعدُ. لأنه في أيامكم، يا بيتَ التمرُّد، أتكلم بالكلمة وأُجريها، يقول السيدُ الرب.</w:t>
      </w:r>
    </w:p>
    <w:p>
      <w:pPr>
        <w:pStyle w:val="ArticleScripture"/>
        <w:jc w:val="left"/>
      </w:pPr>
      <w:r>
        <w:rPr>
          <w:rFonts w:ascii="Times New Roman" w:hAnsi="Times New Roman" w:eastAsia="Times New Roman" w:cs="Times New Roman"/>
        </w:rPr>
        <w:t>И отново към мене дойде словото Господне и каза: Сине човешки, ето, Израилевият дом казва: Видението, което той вижда, се отнася за много дни напред, и той пророкува за далечни времена. Затова им кажи: Така казва Господ Бог: Нито едно от Моите слова вече няма да се отлага, а словото, което съм изговорил, ще се изпълни, казва Господ Бог. Езекиил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Nambari Saba</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