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huit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Numéro huit</w:t>
      </w:r>
    </w:p>
    <w:p>
      <w:pPr>
        <w:pStyle w:val="ArticleScripture"/>
        <w:jc w:val="left"/>
      </w:pPr>
      <w:r>
        <w:rPr>
          <w:rFonts w:ascii="Times New Roman" w:hAnsi="Times New Roman" w:eastAsia="Times New Roman" w:cs="Times New Roman"/>
        </w:rPr>
        <w:t>À qui enseignera-t-il la connaissance, et à qui fera-t-il comprendre la doctrine ? À ceux qui sont sevrés du lait, retirés des mamelles.</w:t>
      </w:r>
    </w:p>
    <w:p>
      <w:pPr>
        <w:pStyle w:val="ArticleScripture"/>
        <w:jc w:val="left"/>
      </w:pPr>
      <w:r>
        <w:rPr>
          <w:rFonts w:ascii="Times New Roman" w:hAnsi="Times New Roman" w:eastAsia="Times New Roman" w:cs="Times New Roman"/>
        </w:rPr>
        <w:t>Car il faut règle sur règle, règle sur règle, ligne sur ligne, ligne sur ligne, un peu ici, un peu là. Car c’est par des lèvres balbutiantes et par une autre langue qu’il parlera à ce peuple. Il leur avait dit: Voici le repos, laissez reposer celui qui est las; voici le rafraîchissement. Mais ils n’ont point voulu écouter.</w:t>
      </w:r>
    </w:p>
    <w:p>
      <w:pPr>
        <w:pStyle w:val="ArticleScripture"/>
        <w:jc w:val="left"/>
      </w:pPr>
      <w:r>
        <w:rPr>
          <w:rFonts w:ascii="Times New Roman" w:hAnsi="Times New Roman" w:eastAsia="Times New Roman" w:cs="Times New Roman"/>
        </w:rPr>
        <w:t>Neno la Bwana lilikuwa kwao amri juu ya amri, amri juu ya amri; mstari juu ya mstari, mstari juu ya mstari; hapa kidogo, na pale kidogo; ili waende, na kuanguka kifudifudi nyuma, na kuvunjika, na kunaswa, na kutekwa.</w:t>
      </w:r>
    </w:p>
    <w:p>
      <w:pPr>
        <w:pStyle w:val="ArticleScripture"/>
        <w:jc w:val="left"/>
      </w:pPr>
      <w:r>
        <w:rPr>
          <w:rFonts w:ascii="Times New Roman" w:hAnsi="Times New Roman" w:eastAsia="Times New Roman" w:cs="Times New Roman"/>
        </w:rPr>
        <w:t>لہٰذا اے ٹھٹھا کرنے والو، جو یروشلیم میں اس قوم پر حکومت کرتے ہو، خداوند کا کلام سنو۔ کیونکہ تم نے کہا ہے، ہم نے موت کے ساتھ عہد باندھا ہے، اور پاتال کے ساتھ ہم نے معاہدہ کر لیا ہے؛ جب طغیانی کی طرح آنے والی آفت گزرے گی تو وہ ہم تک نہ پہنچے گی؛ کیونکہ ہم نے جھوٹ کو اپنی پناہ گاہ بنایا ہے، اور باطل کے نیچے ہم نے اپنے آپ کو چھپا لیا ہے۔ اس لیے خداوند خدا یوں فرماتا ہے: دیکھو، میں صیون میں بنیاد کے لیے ایک پتھر رکھتا ہوں، آزمایا ہوا پتھر، بیش قیمت کونے کے سرے کا پتھر، پختہ بنیاد؛ جو ایمان لائے گا وہ ہرگز جلدی نہ کرے گا۔ اور میں انصاف کو پیمانہ، اور راستبازی کو ساہول ٹھہراؤں گا؛ اور اولے جھوٹ کی پناہ گاہ کو بہا لے جائیں گے، اور پانی اس پوشیدہ جگہ کو ڈبو دیں گے۔ اور موت کے ساتھ تمہارا عہد منسوخ کر دیا جائے گا، اور پاتال کے ساتھ تمہارا معاہدہ قائم نہ رہے گا؛ جب طغیانی کی طرح آنے والی آفت گزرے گی، تب تم اس سے پامال کیے جاؤ گے۔ یسعیاہ 28:9–18۔</w:t>
      </w:r>
    </w:p>
    <w:p>
      <w:pPr>
        <w:pStyle w:val="ArticleBody"/>
        <w:jc w:val="left"/>
      </w:pPr>
      <w:r>
        <w:rPr>
          <w:rFonts w:ascii="Times New Roman" w:hAnsi="Times New Roman" w:eastAsia="Times New Roman" w:cs="Times New Roman"/>
        </w:rPr>
        <w:t>Yerushalayim irratti mootummaa qaban namoonni qoosxamoon kun hoggantoota waldaa Adventistii Guyyaa Torbaffaa Laa’odiiqeyaa ti; isaan keessaa muraasa lakkoofsota dura keessatti Isaayyaas “machooftota Efreem” fi “gonfoo of tuulummaa” jedhee isaanii ibseera. Pheentekoostee irratti Pheexiros namoota ergaan sun namoota machaa’an irraa labsamaa jira jechuun dubbatanitti deebii kenne. Yeroon bokkaa boodaa waa’ee ergaa bokkaa boodaa dhugaa fi sobaa ti. Ergaan Gooftaa irraa dhufu yeroo hundumaa gosa waaqeffattootaa lama fida; gosti lamaanis lamaan isaanii wayinii dhugu. Ergaan qulqullaa’e, yookaan wayiniin qulqullaa’e, isa Yo’el keessatti afaan warra amanamoo hin taane irraa kutamee dha.</w:t>
      </w:r>
    </w:p>
    <w:p>
      <w:pPr>
        <w:pStyle w:val="ArticleScripture"/>
        <w:jc w:val="left"/>
      </w:pPr>
      <w:r>
        <w:rPr>
          <w:rFonts w:ascii="Times New Roman" w:hAnsi="Times New Roman" w:eastAsia="Times New Roman" w:cs="Times New Roman"/>
        </w:rPr>
        <w:t>E veghiate, o voi ubriaconi, e piangete; e urlate, voi tutti bevitori di vino, a motivo del mosto; poiché esso vi è tolto di bocca. Joel 1:5.</w:t>
      </w:r>
    </w:p>
    <w:p>
      <w:pPr>
        <w:pStyle w:val="ArticleBody"/>
        <w:jc w:val="left"/>
      </w:pPr>
      <w:r>
        <w:rPr>
          <w:rFonts w:ascii="Times New Roman" w:hAnsi="Times New Roman" w:eastAsia="Times New Roman" w:cs="Times New Roman"/>
        </w:rPr>
        <w:t>Хъилъуьнэ Иоиль цӀыкӀудалъэу цӀыфмэ зэхуаку хъыджэ хъыжъэу, Лаодикиейм и сэвенс-дэй адвентист къэлэм и лъэпкъым и къэралъфыгъэм щыщ, «цӀыфэу къытехьэ цӀыху» япэмыкӀэу абыхэм яжъуагъэ къызэралъагъуэмрэ къызэрахуэмрэ ибжьапэу хэтыр. Алыхьым ахъшэу псы зэригъэщӀэн, ахъшэу къэралъфыгъэм я зэхуаку хъыджэ хъыжъэхэм яIэ къытехьэу, «жьыхьэу ащыжьыфыжьыгъэ» щыIэм и къызэралъытыгъэм ибжьапэу, «жьыхьэу пщӀантӀэ» щыIэмрэ «жьыхьэу псыбжьэ» щыIэмрэ ящыщ Алыхьым къыпфигъэщӀащ е къыпхуигъэтэщ.</w:t>
      </w:r>
    </w:p>
    <w:p>
      <w:pPr>
        <w:pStyle w:val="ArticleScripture"/>
        <w:jc w:val="left"/>
      </w:pPr>
      <w:r>
        <w:rPr>
          <w:rFonts w:ascii="Times New Roman" w:hAnsi="Times New Roman" w:eastAsia="Times New Roman" w:cs="Times New Roman"/>
        </w:rPr>
        <w:t>L’offrande et la libation sont retranchées de la maison de l’Éternel; les sacrificateurs, ministres de l’Éternel, sont dans le deuil. La campagne est dévastée, la terre est en deuil; car le blé est détruit, le vin nouveau est tari, l’huile dépérit. Soyez dans la confusion, laboureurs; gémissez, vignerons, à cause du froment et de l’orge; car la moisson des champs est perdue. La vigne est desséchée, et le figuier dépérit; le grenadier, le palmier aussi, et le pommier, tous les arbres des champs sont flétris; car la joie a disparu d’entre les fils des hommes. Ceignez-vous, et lamentez-vous, sacrificateurs; gémissez, ministres de l’autel; venez, passez la nuit dans le sac, ministres de mon Dieu; car l’offrande et la libation sont ôtées de la maison de votre Dieu. Sanctifiez un jeûne, convoquez une assemblée solennelle, rassemblez les anciens et tous les habitants du pays dans la maison de l’Éternel, votre Dieu, et criez à l’Éternel, Hélas, quel jour! car le jour de l’Éternel est proche, et il vient comme une dévastation de la part du Tout-Puissant. La nourriture n’est-elle pas retranchée sous nos yeux, oui, la joie et l’allégresse de la maison de notre Dieu? Joël 1:9–16.</w:t>
      </w:r>
    </w:p>
    <w:p>
      <w:pPr>
        <w:pStyle w:val="ArticleBody"/>
        <w:jc w:val="left"/>
      </w:pPr>
      <w:r>
        <w:rPr>
          <w:rFonts w:ascii="Times New Roman" w:hAnsi="Times New Roman" w:eastAsia="Times New Roman" w:cs="Times New Roman"/>
        </w:rPr>
        <w:t>When Isaiah’s “drunkards of Ephraim” “awake” in Joel, the circumstances they awaken to is the latter rain message—represented as “new wine.” It has been withheld from God’s chosen covenant people. “Corn” in the passage is a general word for grain, and the Word of God is the Bread of Heaven and in the passage, it has been “wasted.”</w:t>
      </w:r>
    </w:p>
    <w:p>
      <w:pPr>
        <w:pStyle w:val="ArticleBody"/>
        <w:jc w:val="left"/>
      </w:pPr>
      <w:r>
        <w:rPr>
          <w:rFonts w:ascii="Times New Roman" w:hAnsi="Times New Roman" w:eastAsia="Times New Roman" w:cs="Times New Roman"/>
        </w:rPr>
        <w:t>Le « vin nouveau » est le message de la vérité présente qui est arrivé le 11 septembre. Le « vin nouveau est desséché » et « retranché », car le « vin nouveau » n’est reconnu que par ceux qui reviennent aux « anciens » sentiers de Jérémie, puisque un message « nouveau » est toujours en accord avec le message « ancien ». Le mot traduit par « desséché » signifie en hébreu « avoir honte ».</w:t>
      </w:r>
    </w:p>
    <w:p>
      <w:pPr>
        <w:pStyle w:val="ArticleBody"/>
        <w:jc w:val="left"/>
      </w:pPr>
      <w:r>
        <w:rPr>
          <w:rFonts w:ascii="Times New Roman" w:hAnsi="Times New Roman" w:eastAsia="Times New Roman" w:cs="Times New Roman"/>
        </w:rPr>
        <w:t>Les personnes qui ont « honte » constituent un sujet majeur chez Joël et les prophètes. Les ivrognes d’Éphraïm ont honte de leur message contrefait de la pluie de l’arrière-saison, souvent appelé un message de « paix et de sécurité ». Les trois symboles du blé, du vin nouveau et de l’huile représentent le message de la pluie de l’arrière-saison. La pluie de l’arrière-saison est aussi représentée comme l’effusion du Saint-Esprit.</w:t>
      </w:r>
    </w:p>
    <w:p>
      <w:pPr>
        <w:pStyle w:val="ArticleBody"/>
        <w:jc w:val="left"/>
      </w:pPr>
      <w:r>
        <w:rPr>
          <w:rFonts w:ascii="Nirmala UI" w:hAnsi="Nirmala UI" w:eastAsia="Nirmala UI" w:cs="Nirmala UI"/>
        </w:rPr>
        <w:t>कारज</w:t>
      </w:r>
      <w:r>
        <w:rPr>
          <w:rFonts w:ascii="Times New Roman" w:hAnsi="Times New Roman" w:eastAsia="Times New Roman" w:cs="Times New Roman"/>
        </w:rPr>
        <w:t xml:space="preserve"> </w:t>
      </w:r>
      <w:r>
        <w:rPr>
          <w:rFonts w:ascii="Nirmala UI" w:hAnsi="Nirmala UI" w:eastAsia="Nirmala UI" w:cs="Nirmala UI"/>
        </w:rPr>
        <w:t>पवित्तर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ऐह</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ठहरावे</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ऐह</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ठहरांदा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उस्दी</w:t>
      </w:r>
      <w:r>
        <w:rPr>
          <w:rFonts w:ascii="Times New Roman" w:hAnsi="Times New Roman" w:eastAsia="Times New Roman" w:cs="Times New Roman"/>
        </w:rPr>
        <w:t xml:space="preserve"> </w:t>
      </w:r>
      <w:r>
        <w:rPr>
          <w:rFonts w:ascii="Nirmala UI" w:hAnsi="Nirmala UI" w:eastAsia="Nirmala UI" w:cs="Nirmala UI"/>
        </w:rPr>
        <w:t>नुमाइंदगी</w:t>
      </w:r>
      <w:r>
        <w:rPr>
          <w:rFonts w:ascii="Times New Roman" w:hAnsi="Times New Roman" w:eastAsia="Times New Roman" w:cs="Times New Roman"/>
        </w:rPr>
        <w:t xml:space="preserve"> “</w:t>
      </w:r>
      <w:r>
        <w:rPr>
          <w:rFonts w:ascii="Nirmala UI" w:hAnsi="Nirmala UI" w:eastAsia="Nirmala UI" w:cs="Nirmala UI"/>
        </w:rPr>
        <w:t>अनाज</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दाखरस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होणा</w:t>
      </w:r>
      <w:r>
        <w:rPr>
          <w:rFonts w:ascii="Times New Roman" w:hAnsi="Times New Roman" w:eastAsia="Times New Roman" w:cs="Times New Roman"/>
        </w:rPr>
        <w:t xml:space="preserve"> </w:t>
      </w:r>
      <w:r>
        <w:rPr>
          <w:rFonts w:ascii="Nirmala UI" w:hAnsi="Nirmala UI" w:eastAsia="Nirmala UI" w:cs="Nirmala UI"/>
        </w:rPr>
        <w:t>उन੍ਹਾਂ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जिहड़ा</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दाखरस</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दाखरस</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उपदेश</w:t>
      </w:r>
      <w:r>
        <w:rPr>
          <w:rFonts w:ascii="Times New Roman" w:hAnsi="Times New Roman" w:eastAsia="Times New Roman" w:cs="Times New Roman"/>
        </w:rPr>
        <w:t xml:space="preserve"> </w:t>
      </w:r>
      <w:r>
        <w:rPr>
          <w:rFonts w:ascii="Nirmala UI" w:hAnsi="Nirmala UI" w:eastAsia="Nirmala UI" w:cs="Nirmala UI"/>
        </w:rPr>
        <w:t>वजों</w:t>
      </w:r>
      <w:r>
        <w:rPr>
          <w:rFonts w:ascii="Times New Roman" w:hAnsi="Times New Roman" w:eastAsia="Times New Roman" w:cs="Times New Roman"/>
        </w:rPr>
        <w:t xml:space="preserve"> </w:t>
      </w:r>
      <w:r>
        <w:rPr>
          <w:rFonts w:ascii="Nirmala UI" w:hAnsi="Nirmala UI" w:eastAsia="Nirmala UI" w:cs="Nirmala UI"/>
        </w:rPr>
        <w:t>सहज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सकदा</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Anian, sinasabi ko sa inyo ang katotohanan; nararapat para sa inyo na ako’y umalis: sapagkat kung ako’y hindi umalis, ang Mang-aaliw ay hindi paririto sa inyo; ngunit kung ako’y yumaon, siya’y aking susuguin sa inyo. At pagdating niya, kaniyang susumbatan ang sanlibutan tungkol sa kasalanan, at tungkol sa katuwiran, at tungkol sa paghatol: Tungkol sa kasalanan, sapagkat sila’y hindi nagsisisampalataya sa akin; Tungkol sa katuwiran, sapagkat ako’y paroroon sa aking Ama, at hindi na ninyo ako makikita pa; Tungkol sa paghatol, sapagkat ang prinsipe ng sanlibutang ito ay hinatulan na. Mayroon pa akong maraming bagay na sasabihin sa inyo, ngunit hindi ninyo kaya sa ngayo’y dalhin. Gayunma’y pagdating niya, ang Espiritu ng katotohanan, kayo’y kaniyang papatnubayan sa buong katotohanan: sapagkat hindi siya magsasalita mula sa kaniyang sarili; kundi anomang kaniyang marinig, iyon ang kaniyang sasalitain: at kaniyang ipahahayag sa inyo ang mga bagay na darating. Juan 16:7–13.</w:t>
      </w:r>
    </w:p>
    <w:p>
      <w:pPr>
        <w:pStyle w:val="ArticleBody"/>
        <w:jc w:val="left"/>
      </w:pPr>
      <w:r>
        <w:rPr>
          <w:rFonts w:ascii="Times New Roman" w:hAnsi="Times New Roman" w:eastAsia="Times New Roman" w:cs="Times New Roman"/>
        </w:rPr>
        <w:t>Yowelin “qamadi” in Xibbiin Waaqayyoot, tan “cubbuutti” amansiistu dha. “Qajeelummaan” immoo warra nama ta’uun isaanii waaqayyummaa wajjin ergaa dhugaa yeroo ammaa kan “haaraa” (dhugaa yeroo ammaa) “wayinii” (ergaa) jechuun fakkeeffameen wal qabsiisan keessatti mul’ata. “Zayitiin” mallattoo “murtii” ti; jechuunis “murtiin” kan hundaa’u warri murtaa’an “zayitii” qabaachuu isaanii irratti dha. Qamadiin, wayiniin haaraan fi zayitiin Yowel kan cubbuu, qajeelummaa fi murtiitti amansiisuu dha. Qaamoleen hojii Hafuura Qulqulluu hundinuu rooba boodaa dhangala’uun wal qabatee jiran dhugaawwan Adveentizimii Laa’oodiiqeyaa qoruuf ta’an ni ijaaru; kunis yeroo Yowel “Dammaqaa!” jedhee isaan ajaju, 9/11 irraa jalqabee dha.</w:t>
      </w:r>
    </w:p>
    <w:p>
      <w:pPr>
        <w:pStyle w:val="ArticleBody"/>
        <w:jc w:val="left"/>
      </w:pPr>
      <w:r>
        <w:rPr>
          <w:rFonts w:ascii="Nirmala UI" w:hAnsi="Nirmala UI" w:eastAsia="Nirmala UI" w:cs="Nirmala UI"/>
        </w:rPr>
        <w:t>മഴക്കാലാവസാനത്തിന്റെ</w:t>
      </w:r>
      <w:r>
        <w:rPr>
          <w:rFonts w:ascii="Times New Roman" w:hAnsi="Times New Roman" w:eastAsia="Times New Roman" w:cs="Times New Roman"/>
        </w:rPr>
        <w:t xml:space="preserve"> </w:t>
      </w:r>
      <w:r>
        <w:rPr>
          <w:rFonts w:ascii="Nirmala UI" w:hAnsi="Nirmala UI" w:eastAsia="Nirmala UI" w:cs="Nirmala UI"/>
        </w:rPr>
        <w:t>സന്ദേശത്തിലെ</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പ്രതീകങ്ങള്</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പതിനാലിലെ</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സന്ദേശങ്ങള്</w:t>
      </w:r>
      <w:r>
        <w:rPr>
          <w:rFonts w:ascii="Times New Roman" w:hAnsi="Times New Roman" w:eastAsia="Times New Roman" w:cs="Times New Roman"/>
        </w:rPr>
        <w:t>‍</w:t>
      </w:r>
      <w:r>
        <w:rPr>
          <w:rFonts w:ascii="Nirmala UI" w:hAnsi="Nirmala UI" w:eastAsia="Nirmala UI" w:cs="Nirmala UI"/>
        </w:rPr>
        <w:t>ക്കു</w:t>
      </w:r>
      <w:r>
        <w:rPr>
          <w:rFonts w:ascii="Times New Roman" w:hAnsi="Times New Roman" w:eastAsia="Times New Roman" w:cs="Times New Roman"/>
        </w:rPr>
        <w:t xml:space="preserve"> </w:t>
      </w:r>
      <w:r>
        <w:rPr>
          <w:rFonts w:ascii="Nirmala UI" w:hAnsi="Nirmala UI" w:eastAsia="Nirmala UI" w:cs="Nirmala UI"/>
        </w:rPr>
        <w:t>സമാന്തരമാണ്</w:t>
      </w:r>
      <w:r>
        <w:rPr>
          <w:rFonts w:ascii="Times New Roman" w:hAnsi="Times New Roman" w:eastAsia="Times New Roman" w:cs="Times New Roman"/>
        </w:rPr>
        <w:t>;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ഷകര്</w:t>
      </w:r>
      <w:r>
        <w:rPr>
          <w:rFonts w:ascii="Times New Roman" w:hAnsi="Times New Roman" w:eastAsia="Times New Roman" w:cs="Times New Roman"/>
        </w:rPr>
        <w:t>‍” “</w:t>
      </w:r>
      <w:r>
        <w:rPr>
          <w:rFonts w:ascii="Nirmala UI" w:hAnsi="Nirmala UI" w:eastAsia="Nirmala UI" w:cs="Nirmala UI"/>
        </w:rPr>
        <w:t>ലജ്ജിക്കേണ്ടതാകുന്നു</w:t>
      </w:r>
      <w:r>
        <w:rPr>
          <w:rFonts w:ascii="Times New Roman" w:hAnsi="Times New Roman" w:eastAsia="Times New Roman" w:cs="Times New Roman"/>
        </w:rPr>
        <w:t>,” “</w:t>
      </w:r>
      <w:r>
        <w:rPr>
          <w:rFonts w:ascii="Nirmala UI" w:hAnsi="Nirmala UI" w:eastAsia="Nirmala UI" w:cs="Nirmala UI"/>
        </w:rPr>
        <w:t>മുന്തിരിത്തോട്ടക്കാരോ</w:t>
      </w:r>
      <w:r>
        <w:rPr>
          <w:rFonts w:ascii="Times New Roman" w:hAnsi="Times New Roman" w:eastAsia="Times New Roman" w:cs="Times New Roman"/>
        </w:rPr>
        <w:t>” “</w:t>
      </w:r>
      <w:r>
        <w:rPr>
          <w:rFonts w:ascii="Nirmala UI" w:hAnsi="Nirmala UI" w:eastAsia="Nirmala UI" w:cs="Nirmala UI"/>
        </w:rPr>
        <w:t>വിളപിക്കേണ്ടതാകുന്നു</w:t>
      </w:r>
      <w:r>
        <w:rPr>
          <w:rFonts w:ascii="Times New Roman" w:hAnsi="Times New Roman" w:eastAsia="Times New Roman" w:cs="Times New Roman"/>
        </w:rPr>
        <w:t xml:space="preserve">.” </w:t>
      </w:r>
      <w:r>
        <w:rPr>
          <w:rFonts w:ascii="Nirmala UI" w:hAnsi="Nirmala UI" w:eastAsia="Nirmala UI" w:cs="Nirmala UI"/>
        </w:rPr>
        <w:t>യോവേലില്</w:t>
      </w:r>
      <w:r>
        <w:rPr>
          <w:rFonts w:ascii="Times New Roman" w:hAnsi="Times New Roman" w:eastAsia="Times New Roman" w:cs="Times New Roman"/>
        </w:rPr>
        <w:t xml:space="preserve">‍ </w:t>
      </w:r>
      <w:r>
        <w:rPr>
          <w:rFonts w:ascii="Nirmala UI" w:hAnsi="Nirmala UI" w:eastAsia="Nirmala UI" w:cs="Nirmala UI"/>
        </w:rPr>
        <w:t>ദൈവജനങ്ങള്</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ലജ്ജിക്കേണ്ടവര്</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vous saurez que je suis au milieu d’Israël, que je suis l’Éternel, votre Dieu, et qu’il n’y en a point d’autre; et mon peuple ne sera jamais confus. Joël 2:27.</w:t>
      </w:r>
    </w:p>
    <w:p>
      <w:pPr>
        <w:pStyle w:val="ArticleBody"/>
        <w:jc w:val="left"/>
      </w:pPr>
      <w:r>
        <w:rPr>
          <w:rFonts w:ascii="Leelawadee UI" w:hAnsi="Leelawadee UI" w:eastAsia="Leelawadee UI" w:cs="Leelawadee UI"/>
        </w:rPr>
        <w:t>ពួកកសិករ</w:t>
      </w:r>
      <w:r>
        <w:rPr>
          <w:rFonts w:ascii="Times New Roman" w:hAnsi="Times New Roman" w:eastAsia="Times New Roman" w:cs="Times New Roman"/>
        </w:rPr>
        <w:t xml:space="preserve"> </w:t>
      </w:r>
      <w:r>
        <w:rPr>
          <w:rFonts w:ascii="Leelawadee UI" w:hAnsi="Leelawadee UI" w:eastAsia="Leelawadee UI" w:cs="Leelawadee UI"/>
        </w:rPr>
        <w:t>និងពួកអ្នកថែចំការទំពាំងបាយជូរ</w:t>
      </w:r>
      <w:r>
        <w:rPr>
          <w:rFonts w:ascii="Times New Roman" w:hAnsi="Times New Roman" w:eastAsia="Times New Roman" w:cs="Times New Roman"/>
        </w:rPr>
        <w:t xml:space="preserve"> </w:t>
      </w:r>
      <w:r>
        <w:rPr>
          <w:rFonts w:ascii="Leelawadee UI" w:hAnsi="Leelawadee UI" w:eastAsia="Leelawadee UI" w:cs="Leelawadee UI"/>
        </w:rPr>
        <w:t>មានសេចក្ដីអាម៉ាស់</w:t>
      </w:r>
      <w:r>
        <w:rPr>
          <w:rFonts w:ascii="Times New Roman" w:hAnsi="Times New Roman" w:eastAsia="Times New Roman" w:cs="Times New Roman"/>
        </w:rPr>
        <w:t xml:space="preserve"> </w:t>
      </w:r>
      <w:r>
        <w:rPr>
          <w:rFonts w:ascii="Leelawadee UI" w:hAnsi="Leelawadee UI" w:eastAsia="Leelawadee UI" w:cs="Leelawadee UI"/>
        </w:rPr>
        <w:t>ហើយស្រែកយំ</w:t>
      </w:r>
      <w:r>
        <w:rPr>
          <w:rFonts w:ascii="Times New Roman" w:hAnsi="Times New Roman" w:eastAsia="Times New Roman" w:cs="Times New Roman"/>
        </w:rPr>
        <w:t xml:space="preserve"> </w:t>
      </w:r>
      <w:r>
        <w:rPr>
          <w:rFonts w:ascii="Leelawadee UI" w:hAnsi="Leelawadee UI" w:eastAsia="Leelawadee UI" w:cs="Leelawadee UI"/>
        </w:rPr>
        <w:t>ពីព្រោះសារភ្លៀងចុងក្រោយក្លែងក្លាយដែលពួកគេប្រកាស</w:t>
      </w:r>
      <w:r>
        <w:rPr>
          <w:rFonts w:ascii="Times New Roman" w:hAnsi="Times New Roman" w:eastAsia="Times New Roman" w:cs="Times New Roman"/>
        </w:rPr>
        <w:t xml:space="preserve"> </w:t>
      </w:r>
      <w:r>
        <w:rPr>
          <w:rFonts w:ascii="Leelawadee UI" w:hAnsi="Leelawadee UI" w:eastAsia="Leelawadee UI" w:cs="Leelawadee UI"/>
        </w:rPr>
        <w:t>គ្មានអំណាចបង្កើតជីវិតឡើយ</w:t>
      </w:r>
      <w:r>
        <w:rPr>
          <w:rFonts w:ascii="Times New Roman" w:hAnsi="Times New Roman" w:eastAsia="Times New Roman" w:cs="Times New Roman"/>
        </w:rPr>
        <w:t xml:space="preserve"> </w:t>
      </w:r>
      <w:r>
        <w:rPr>
          <w:rFonts w:ascii="Leelawadee UI" w:hAnsi="Leelawadee UI" w:eastAsia="Leelawadee UI" w:cs="Leelawadee UI"/>
        </w:rPr>
        <w:t>នៅក្នុងចំការទំពាំងបាយជូរ</w:t>
      </w:r>
      <w:r>
        <w:rPr>
          <w:rFonts w:ascii="Times New Roman" w:hAnsi="Times New Roman" w:eastAsia="Times New Roman" w:cs="Times New Roman"/>
        </w:rPr>
        <w:t xml:space="preserve"> </w:t>
      </w:r>
      <w:r>
        <w:rPr>
          <w:rFonts w:ascii="Leelawadee UI" w:hAnsi="Leelawadee UI" w:eastAsia="Leelawadee UI" w:cs="Leelawadee UI"/>
        </w:rPr>
        <w:t>ដែលបានប្រគល់ឲ្យពួកគេថែរក្សា។</w:t>
      </w:r>
      <w:r>
        <w:rPr>
          <w:rFonts w:ascii="Times New Roman" w:hAnsi="Times New Roman" w:eastAsia="Times New Roman" w:cs="Times New Roman"/>
        </w:rPr>
        <w:t xml:space="preserve"> </w:t>
      </w:r>
      <w:r>
        <w:rPr>
          <w:rFonts w:ascii="Leelawadee UI" w:hAnsi="Leelawadee UI" w:eastAsia="Leelawadee UI" w:cs="Leelawadee UI"/>
        </w:rPr>
        <w:t>សាសនាអាដ</w:t>
      </w:r>
      <w:r>
        <w:rPr>
          <w:rFonts w:ascii="Times New Roman" w:hAnsi="Times New Roman" w:eastAsia="Times New Roman" w:cs="Times New Roman"/>
        </w:rPr>
        <w:t>վեն</w:t>
      </w:r>
      <w:r>
        <w:rPr>
          <w:rFonts w:ascii="Leelawadee UI" w:hAnsi="Leelawadee UI" w:eastAsia="Leelawadee UI" w:cs="Leelawadee UI"/>
        </w:rPr>
        <w:t>ទីស្ទដឹងតាមរយៈនារីហោរារបស់ខ្លួនថា</w:t>
      </w:r>
      <w:r>
        <w:rPr>
          <w:rFonts w:ascii="Times New Roman" w:hAnsi="Times New Roman" w:eastAsia="Times New Roman" w:cs="Times New Roman"/>
        </w:rPr>
        <w:t xml:space="preserve"> </w:t>
      </w:r>
      <w:r>
        <w:rPr>
          <w:rFonts w:ascii="Leelawadee UI" w:hAnsi="Leelawadee UI" w:eastAsia="Leelawadee UI" w:cs="Leelawadee UI"/>
        </w:rPr>
        <w:t>ពួកគេត្រូវបានហៅឲ្យបំពេញបទពិសោធន៍នៃភ្លៀងចុងក្រោយ</w:t>
      </w:r>
      <w:r>
        <w:rPr>
          <w:rFonts w:ascii="Times New Roman" w:hAnsi="Times New Roman" w:eastAsia="Times New Roman" w:cs="Times New Roman"/>
        </w:rPr>
        <w:t xml:space="preserve"> </w:t>
      </w:r>
      <w:r>
        <w:rPr>
          <w:rFonts w:ascii="Leelawadee UI" w:hAnsi="Leelawadee UI" w:eastAsia="Leelawadee UI" w:cs="Leelawadee UI"/>
        </w:rPr>
        <w:t>ប៉ុន្តែផលនៃវាលស្រែបានស្វិតក្រៀម។</w:t>
      </w:r>
      <w:r>
        <w:rPr>
          <w:rFonts w:ascii="Times New Roman" w:hAnsi="Times New Roman" w:eastAsia="Times New Roman" w:cs="Times New Roman"/>
        </w:rPr>
        <w:t xml:space="preserve"> </w:t>
      </w:r>
      <w:r>
        <w:rPr>
          <w:rFonts w:ascii="Leelawadee UI" w:hAnsi="Leelawadee UI" w:eastAsia="Leelawadee UI" w:cs="Leelawadee UI"/>
        </w:rPr>
        <w:t>ពួកគេមានសេចក្ដីអាម៉ាស់</w:t>
      </w:r>
      <w:r>
        <w:rPr>
          <w:rFonts w:ascii="Times New Roman" w:hAnsi="Times New Roman" w:eastAsia="Times New Roman" w:cs="Times New Roman"/>
        </w:rPr>
        <w:t xml:space="preserve"> </w:t>
      </w:r>
      <w:r>
        <w:rPr>
          <w:rFonts w:ascii="Leelawadee UI" w:hAnsi="Leelawadee UI" w:eastAsia="Leelawadee UI" w:cs="Leelawadee UI"/>
        </w:rPr>
        <w:t>ហើយយំជាពិសេស</w:t>
      </w:r>
      <w:r>
        <w:rPr>
          <w:rFonts w:ascii="Times New Roman" w:hAnsi="Times New Roman" w:eastAsia="Times New Roman" w:cs="Times New Roman"/>
        </w:rPr>
        <w:t xml:space="preserve"> «</w:t>
      </w:r>
      <w:r>
        <w:rPr>
          <w:rFonts w:ascii="Leelawadee UI" w:hAnsi="Leelawadee UI" w:eastAsia="Leelawadee UI" w:cs="Leelawadee UI"/>
        </w:rPr>
        <w:t>ដោយព្រោះស្រូវសាលី</w:t>
      </w:r>
      <w:r>
        <w:rPr>
          <w:rFonts w:ascii="Times New Roman" w:hAnsi="Times New Roman" w:eastAsia="Times New Roman" w:cs="Times New Roman"/>
        </w:rPr>
        <w:t xml:space="preserve"> </w:t>
      </w:r>
      <w:r>
        <w:rPr>
          <w:rFonts w:ascii="Leelawadee UI" w:hAnsi="Leelawadee UI" w:eastAsia="Leelawadee UI" w:cs="Leelawadee UI"/>
        </w:rPr>
        <w:t>និងដោយព្រោះស្រូវបារឡេ</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ដង្វាយផលដំបូងនៃ</w:t>
      </w:r>
      <w:r>
        <w:rPr>
          <w:rFonts w:ascii="Times New Roman" w:hAnsi="Times New Roman" w:eastAsia="Times New Roman" w:cs="Times New Roman"/>
        </w:rPr>
        <w:t xml:space="preserve"> «</w:t>
      </w:r>
      <w:r>
        <w:rPr>
          <w:rFonts w:ascii="Leelawadee UI" w:hAnsi="Leelawadee UI" w:eastAsia="Leelawadee UI" w:cs="Leelawadee UI"/>
        </w:rPr>
        <w:t>ស្រូវបារឡេ</w:t>
      </w:r>
      <w:r>
        <w:rPr>
          <w:rFonts w:ascii="Times New Roman" w:hAnsi="Times New Roman" w:eastAsia="Times New Roman" w:cs="Times New Roman"/>
        </w:rPr>
        <w:t xml:space="preserve">» </w:t>
      </w:r>
      <w:r>
        <w:rPr>
          <w:rFonts w:ascii="Leelawadee UI" w:hAnsi="Leelawadee UI" w:eastAsia="Leelawadee UI" w:cs="Leelawadee UI"/>
        </w:rPr>
        <w:t>នៅថ្ងៃនៃការរស់ឡើងវិញរបស់ព្រះគ្រីស្ទ</w:t>
      </w:r>
      <w:r>
        <w:rPr>
          <w:rFonts w:ascii="Times New Roman" w:hAnsi="Times New Roman" w:eastAsia="Times New Roman" w:cs="Times New Roman"/>
        </w:rPr>
        <w:t xml:space="preserve"> </w:t>
      </w:r>
      <w:r>
        <w:rPr>
          <w:rFonts w:ascii="Leelawadee UI" w:hAnsi="Leelawadee UI" w:eastAsia="Leelawadee UI" w:cs="Leelawadee UI"/>
        </w:rPr>
        <w:t>បានចាប់ផ្ដើមរដូវប៉ង់ទីកុស្ត</w:t>
      </w:r>
      <w:r>
        <w:rPr>
          <w:rFonts w:ascii="Times New Roman" w:hAnsi="Times New Roman" w:eastAsia="Times New Roman" w:cs="Times New Roman"/>
        </w:rPr>
        <w:t xml:space="preserve"> </w:t>
      </w:r>
      <w:r>
        <w:rPr>
          <w:rFonts w:ascii="Leelawadee UI" w:hAnsi="Leelawadee UI" w:eastAsia="Leelawadee UI" w:cs="Leelawadee UI"/>
        </w:rPr>
        <w:t>ដែលបានបញ្ចប់នៅថ្ងៃប៉ង់ទីកុស្ត</w:t>
      </w:r>
      <w:r>
        <w:rPr>
          <w:rFonts w:ascii="Times New Roman" w:hAnsi="Times New Roman" w:eastAsia="Times New Roman" w:cs="Times New Roman"/>
        </w:rPr>
        <w:t xml:space="preserve"> </w:t>
      </w:r>
      <w:r>
        <w:rPr>
          <w:rFonts w:ascii="Leelawadee UI" w:hAnsi="Leelawadee UI" w:eastAsia="Leelawadee UI" w:cs="Leelawadee UI"/>
        </w:rPr>
        <w:t>ដោយដង្វាយផលដំបូងនៃ</w:t>
      </w:r>
      <w:r>
        <w:rPr>
          <w:rFonts w:ascii="Times New Roman" w:hAnsi="Times New Roman" w:eastAsia="Times New Roman" w:cs="Times New Roman"/>
        </w:rPr>
        <w:t xml:space="preserve"> «</w:t>
      </w:r>
      <w:r>
        <w:rPr>
          <w:rFonts w:ascii="Leelawadee UI" w:hAnsi="Leelawadee UI" w:eastAsia="Leelawadee UI" w:cs="Leelawadee UI"/>
        </w:rPr>
        <w:t>ស្រូវសាលី</w:t>
      </w:r>
      <w:r>
        <w:rPr>
          <w:rFonts w:ascii="Times New Roman" w:hAnsi="Times New Roman" w:eastAsia="Times New Roman" w:cs="Times New Roman"/>
        </w:rPr>
        <w:t xml:space="preserve">» </w:t>
      </w:r>
      <w:r>
        <w:rPr>
          <w:rFonts w:ascii="Leelawadee UI" w:hAnsi="Leelawadee UI" w:eastAsia="Leelawadee UI" w:cs="Leelawadee UI"/>
        </w:rPr>
        <w:t>នៃប៉ង់ទីកុស្ត។</w:t>
      </w:r>
      <w:r>
        <w:rPr>
          <w:rFonts w:ascii="Times New Roman" w:hAnsi="Times New Roman" w:eastAsia="Times New Roman" w:cs="Times New Roman"/>
        </w:rPr>
        <w:t xml:space="preserve"> </w:t>
      </w:r>
      <w:r>
        <w:rPr>
          <w:rFonts w:ascii="Leelawadee UI" w:hAnsi="Leelawadee UI" w:eastAsia="Leelawadee UI" w:cs="Leelawadee UI"/>
        </w:rPr>
        <w:t>ពួកអ្នកស្រវឹងរបស់អេប្រាអ៊ីមមានសេចក្ដីអាម៉ាស់</w:t>
      </w:r>
      <w:r>
        <w:rPr>
          <w:rFonts w:ascii="Times New Roman" w:hAnsi="Times New Roman" w:eastAsia="Times New Roman" w:cs="Times New Roman"/>
        </w:rPr>
        <w:t xml:space="preserve"> </w:t>
      </w:r>
      <w:r>
        <w:rPr>
          <w:rFonts w:ascii="Leelawadee UI" w:hAnsi="Leelawadee UI" w:eastAsia="Leelawadee UI" w:cs="Leelawadee UI"/>
        </w:rPr>
        <w:t>ពីព្រោះពួកគេស្ថិតនៅខាងខុសនៃរដូវប៉ង់ទីកុស្ត</w:t>
      </w:r>
      <w:r>
        <w:rPr>
          <w:rFonts w:ascii="Times New Roman" w:hAnsi="Times New Roman" w:eastAsia="Times New Roman" w:cs="Times New Roman"/>
        </w:rPr>
        <w:t xml:space="preserve"> </w:t>
      </w:r>
      <w:r>
        <w:rPr>
          <w:rFonts w:ascii="Leelawadee UI" w:hAnsi="Leelawadee UI" w:eastAsia="Leelawadee UI" w:cs="Leelawadee UI"/>
        </w:rPr>
        <w:t>ដែលត្រូវបានធ្វើឲ្យកើតឡើងម្តងទៀត</w:t>
      </w:r>
      <w:r>
        <w:rPr>
          <w:rFonts w:ascii="Times New Roman" w:hAnsi="Times New Roman" w:eastAsia="Times New Roman" w:cs="Times New Roman"/>
        </w:rPr>
        <w:t xml:space="preserve"> </w:t>
      </w:r>
      <w:r>
        <w:rPr>
          <w:rFonts w:ascii="Leelawadee UI" w:hAnsi="Leelawadee UI" w:eastAsia="Leelawadee UI" w:cs="Leelawadee UI"/>
        </w:rPr>
        <w:t>ចាប់ពី</w:t>
      </w:r>
      <w:r>
        <w:rPr>
          <w:rFonts w:ascii="Times New Roman" w:hAnsi="Times New Roman" w:eastAsia="Times New Roman" w:cs="Times New Roman"/>
        </w:rPr>
        <w:t xml:space="preserve"> 9/11 </w:t>
      </w:r>
      <w:r>
        <w:rPr>
          <w:rFonts w:ascii="Leelawadee UI" w:hAnsi="Leelawadee UI" w:eastAsia="Leelawadee UI" w:cs="Leelawadee UI"/>
        </w:rPr>
        <w:t>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នៅពេលដែលភ្លៀងចុងក្រោយកំពុងធ្លាក់។</w:t>
      </w:r>
    </w:p>
    <w:p>
      <w:pPr>
        <w:pStyle w:val="ArticleScripture"/>
        <w:jc w:val="left"/>
      </w:pPr>
      <w:r>
        <w:rPr>
          <w:rFonts w:ascii="Times New Roman" w:hAnsi="Times New Roman" w:eastAsia="Times New Roman" w:cs="Times New Roman"/>
        </w:rPr>
        <w:t>«</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অনেকখানি</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বৃষ্টি</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আশীর্বাদ</w:t>
      </w:r>
      <w:r>
        <w:rPr>
          <w:rFonts w:ascii="Times New Roman" w:hAnsi="Times New Roman" w:eastAsia="Times New Roman" w:cs="Times New Roman"/>
        </w:rPr>
        <w:t>-</w:t>
      </w:r>
      <w:r>
        <w:rPr>
          <w:rFonts w:ascii="Nirmala UI" w:hAnsi="Nirmala UI" w:eastAsia="Nirmala UI" w:cs="Nirmala UI"/>
        </w:rPr>
        <w:t>সুফল</w:t>
      </w:r>
      <w:r>
        <w:rPr>
          <w:rFonts w:ascii="Times New Roman" w:hAnsi="Times New Roman" w:eastAsia="Times New Roman" w:cs="Times New Roman"/>
        </w:rPr>
        <w:t xml:space="preserve"> </w:t>
      </w:r>
      <w:r>
        <w:rPr>
          <w:rFonts w:ascii="Nirmala UI" w:hAnsi="Nirmala UI" w:eastAsia="Nirmala UI" w:cs="Nirmala UI"/>
        </w:rPr>
        <w:t>বিধান</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সমস্তই</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অভাব</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সমৃদ্ধ</w:t>
      </w:r>
      <w:r>
        <w:rPr>
          <w:rFonts w:ascii="Times New Roman" w:hAnsi="Times New Roman" w:eastAsia="Times New Roman" w:cs="Times New Roman"/>
        </w:rPr>
        <w:t xml:space="preserve"> </w:t>
      </w:r>
      <w:r>
        <w:rPr>
          <w:rFonts w:ascii="Nirmala UI" w:hAnsi="Nirmala UI" w:eastAsia="Nirmala UI" w:cs="Nirmala UI"/>
        </w:rPr>
        <w:t>প্রাচুর্য</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অভিপ্রায়</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ভয়াবহ</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অবিরত</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ব্যক্তিকে</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প্রয়োজনীয়তা</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হৃদয়কে</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অপবিত্রতা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শূন্য</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অধিবাসের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শুচি</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পরিত্যাগের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আন্তরিক</w:t>
      </w:r>
      <w:r>
        <w:rPr>
          <w:rFonts w:ascii="Times New Roman" w:hAnsi="Times New Roman" w:eastAsia="Times New Roman" w:cs="Times New Roman"/>
        </w:rPr>
        <w:t xml:space="preserve"> </w:t>
      </w:r>
      <w:r>
        <w:rPr>
          <w:rFonts w:ascii="Nirmala UI" w:hAnsi="Nirmala UI" w:eastAsia="Nirmala UI" w:cs="Nirmala UI"/>
        </w:rPr>
        <w:t>প্রার্থনার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উৎসর্গ</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শিষ্যগণ</w:t>
      </w:r>
      <w:r>
        <w:rPr>
          <w:rFonts w:ascii="Times New Roman" w:hAnsi="Times New Roman" w:eastAsia="Times New Roman" w:cs="Times New Roman"/>
        </w:rPr>
        <w:t xml:space="preserve"> </w:t>
      </w:r>
      <w:r>
        <w:rPr>
          <w:rFonts w:ascii="Nirmala UI" w:hAnsi="Nirmala UI" w:eastAsia="Nirmala UI" w:cs="Nirmala UI"/>
        </w:rPr>
        <w:t>পেন্টেকস্ট</w:t>
      </w:r>
      <w:r>
        <w:rPr>
          <w:rFonts w:ascii="Times New Roman" w:hAnsi="Times New Roman" w:eastAsia="Times New Roman" w:cs="Times New Roman"/>
        </w:rPr>
        <w:t xml:space="preserve"> </w:t>
      </w:r>
      <w:r>
        <w:rPr>
          <w:rFonts w:ascii="Nirmala UI" w:hAnsi="Nirmala UI" w:eastAsia="Nirmala UI" w:cs="Nirmala UI"/>
        </w:rPr>
        <w:t>দিবসে</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মাত্রায়</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কর্মীর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আশীর্বাদের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অপেক্ষায়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ঈশ্বরই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মানুষকে</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তুলিবেন।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প্রতীকীকৃত</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অবহেলা</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তাহারাই</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অনুপাতে</w:t>
      </w:r>
      <w:r>
        <w:rPr>
          <w:rFonts w:ascii="Times New Roman" w:hAnsi="Times New Roman" w:eastAsia="Times New Roman" w:cs="Times New Roman"/>
        </w:rPr>
        <w:t xml:space="preserve"> </w:t>
      </w:r>
      <w:r>
        <w:rPr>
          <w:rFonts w:ascii="Nirmala UI" w:hAnsi="Nirmala UI" w:eastAsia="Nirmala UI" w:cs="Nirmala UI"/>
        </w:rPr>
        <w:t>জীবনযাপন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অধিকতর</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প্রতিদিন</w:t>
      </w:r>
      <w:r>
        <w:rPr>
          <w:rFonts w:ascii="Times New Roman" w:hAnsi="Times New Roman" w:eastAsia="Times New Roman" w:cs="Times New Roman"/>
        </w:rPr>
        <w:t xml:space="preserve"> </w:t>
      </w:r>
      <w:r>
        <w:rPr>
          <w:rFonts w:ascii="Nirmala UI" w:hAnsi="Nirmala UI" w:eastAsia="Nirmala UI" w:cs="Nirmala UI"/>
        </w:rPr>
        <w:t>সক্রিয়</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সদ্গুণসমূহের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হই</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প্রকাশসমূহ</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চারিদিকের</w:t>
      </w:r>
      <w:r>
        <w:rPr>
          <w:rFonts w:ascii="Times New Roman" w:hAnsi="Times New Roman" w:eastAsia="Times New Roman" w:cs="Times New Roman"/>
        </w:rPr>
        <w:t xml:space="preserve"> </w:t>
      </w:r>
      <w:r>
        <w:rPr>
          <w:rFonts w:ascii="Nirmala UI" w:hAnsi="Nirmala UI" w:eastAsia="Nirmala UI" w:cs="Nirmala UI"/>
        </w:rPr>
        <w:t>হৃদয়সমূহের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বর্ষিত</w:t>
      </w:r>
      <w:r>
        <w:rPr>
          <w:rFonts w:ascii="Times New Roman" w:hAnsi="Times New Roman" w:eastAsia="Times New Roman" w:cs="Times New Roman"/>
        </w:rPr>
        <w:t xml:space="preserve"> </w:t>
      </w:r>
      <w:r>
        <w:rPr>
          <w:rFonts w:ascii="Nirmala UI" w:hAnsi="Nirmala UI" w:eastAsia="Nirmala UI" w:cs="Nirmala UI"/>
        </w:rPr>
        <w:t>হইতেও</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Testimonies to Ministers, 506, 507.</w:t>
      </w:r>
    </w:p>
    <w:p>
      <w:pPr>
        <w:pStyle w:val="ArticleBody"/>
        <w:jc w:val="left"/>
      </w:pPr>
      <w:r>
        <w:rPr>
          <w:rFonts w:ascii="Ebrima" w:hAnsi="Ebrima" w:eastAsia="Ebrima" w:cs="Ebrima"/>
        </w:rPr>
        <w:t>ውንድማማች</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የጴንጤቆስጤ</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በምትጠራው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ዐውድ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የፊተኛው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ከተነሣ</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ከሰማያዊ</w:t>
      </w:r>
      <w:r>
        <w:rPr>
          <w:rFonts w:ascii="Times New Roman" w:hAnsi="Times New Roman" w:eastAsia="Times New Roman" w:cs="Times New Roman"/>
        </w:rPr>
        <w:t xml:space="preserve"> </w:t>
      </w:r>
      <w:r>
        <w:rPr>
          <w:rFonts w:ascii="Ebrima" w:hAnsi="Ebrima" w:eastAsia="Ebrima" w:cs="Ebrima"/>
        </w:rPr>
        <w:t>ስብሰባው</w:t>
      </w:r>
      <w:r>
        <w:rPr>
          <w:rFonts w:ascii="Times New Roman" w:hAnsi="Times New Roman" w:eastAsia="Times New Roman" w:cs="Times New Roman"/>
        </w:rPr>
        <w:t xml:space="preserve"> </w:t>
      </w:r>
      <w:r>
        <w:rPr>
          <w:rFonts w:ascii="Ebrima" w:hAnsi="Ebrima" w:eastAsia="Ebrima" w:cs="Ebrima"/>
        </w:rPr>
        <w:t>ወርዶ</w:t>
      </w:r>
      <w:r>
        <w:rPr>
          <w:rFonts w:ascii="Times New Roman" w:hAnsi="Times New Roman" w:eastAsia="Times New Roman" w:cs="Times New Roman"/>
        </w:rPr>
        <w:t xml:space="preserve"> </w:t>
      </w:r>
      <w:r>
        <w:rPr>
          <w:rFonts w:ascii="Ebrima" w:hAnsi="Ebrima" w:eastAsia="Ebrima" w:cs="Ebrima"/>
        </w:rPr>
        <w:t>በደቀ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መተንፈሱ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ዐውድ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ጴንጤቆስጤ</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በጴንጤቆስጤ</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አልፋ</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ጠብታዎች</w:t>
      </w:r>
      <w:r>
        <w:rPr>
          <w:rFonts w:ascii="Times New Roman" w:hAnsi="Times New Roman" w:eastAsia="Times New Roman" w:cs="Times New Roman"/>
        </w:rPr>
        <w:t xml:space="preserve"> </w:t>
      </w:r>
      <w:r>
        <w:rPr>
          <w:rFonts w:ascii="Ebrima" w:hAnsi="Ebrima" w:eastAsia="Ebrima" w:cs="Ebrima"/>
        </w:rPr>
        <w:t>በደቀ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ተነፈሱ፤</w:t>
      </w:r>
      <w:r>
        <w:rPr>
          <w:rFonts w:ascii="Times New Roman" w:hAnsi="Times New Roman" w:eastAsia="Times New Roman" w:cs="Times New Roman"/>
        </w:rPr>
        <w:t xml:space="preserve"> </w:t>
      </w:r>
      <w:r>
        <w:rPr>
          <w:rFonts w:ascii="Ebrima" w:hAnsi="Ebrima" w:eastAsia="Ebrima" w:cs="Ebrima"/>
        </w:rPr>
        <w:t>በኦሜጋውም</w:t>
      </w:r>
      <w:r>
        <w:rPr>
          <w:rFonts w:ascii="Times New Roman" w:hAnsi="Times New Roman" w:eastAsia="Times New Roman" w:cs="Times New Roman"/>
        </w:rPr>
        <w:t xml:space="preserve"> </w:t>
      </w:r>
      <w:r>
        <w:rPr>
          <w:rFonts w:ascii="Ebrima" w:hAnsi="Ebrima" w:eastAsia="Ebrima" w:cs="Ebrima"/>
        </w:rPr>
        <w:t>ተነፍሰው</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መዛሙርት</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በእሳት</w:t>
      </w:r>
      <w:r>
        <w:rPr>
          <w:rFonts w:ascii="Times New Roman" w:hAnsi="Times New Roman" w:eastAsia="Times New Roman" w:cs="Times New Roman"/>
        </w:rPr>
        <w:t xml:space="preserve"> </w:t>
      </w:r>
      <w:r>
        <w:rPr>
          <w:rFonts w:ascii="Ebrima" w:hAnsi="Ebrima" w:eastAsia="Ebrima" w:cs="Ebrima"/>
        </w:rPr>
        <w:t>ልሳናት</w:t>
      </w:r>
      <w:r>
        <w:rPr>
          <w:rFonts w:ascii="Times New Roman" w:hAnsi="Times New Roman" w:eastAsia="Times New Roman" w:cs="Times New Roman"/>
        </w:rPr>
        <w:t xml:space="preserve"> </w:t>
      </w:r>
      <w:r>
        <w:rPr>
          <w:rFonts w:ascii="Ebrima" w:hAnsi="Ebrima" w:eastAsia="Ebrima" w:cs="Ebrima"/>
        </w:rPr>
        <w:t>ይናገሩ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በመጀመሪያውም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የመንፈስ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መገለጥ</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ቅዱሱን</w:t>
      </w:r>
      <w:r>
        <w:rPr>
          <w:rFonts w:ascii="Times New Roman" w:hAnsi="Times New Roman" w:eastAsia="Times New Roman" w:cs="Times New Roman"/>
        </w:rPr>
        <w:t xml:space="preserve"> </w:t>
      </w:r>
      <w:r>
        <w:rPr>
          <w:rFonts w:ascii="Ebrima" w:hAnsi="Ebrima" w:eastAsia="Ebrima" w:cs="Ebrima"/>
        </w:rPr>
        <w:t>በመልእክት</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ለሰብአዊነት</w:t>
      </w:r>
      <w:r>
        <w:rPr>
          <w:rFonts w:ascii="Times New Roman" w:hAnsi="Times New Roman" w:eastAsia="Times New Roman" w:cs="Times New Roman"/>
        </w:rPr>
        <w:t xml:space="preserve"> </w:t>
      </w:r>
      <w:r>
        <w:rPr>
          <w:rFonts w:ascii="Ebrima" w:hAnsi="Ebrima" w:eastAsia="Ebrima" w:cs="Ebrima"/>
        </w:rPr>
        <w:t>ያስተላልፋል፤</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በልሳናት</w:t>
      </w:r>
      <w:r>
        <w:rPr>
          <w:rFonts w:ascii="Times New Roman" w:hAnsi="Times New Roman" w:eastAsia="Times New Roman" w:cs="Times New Roman"/>
        </w:rPr>
        <w:t xml:space="preserve"> (</w:t>
      </w:r>
      <w:r>
        <w:rPr>
          <w:rFonts w:ascii="Ebrima" w:hAnsi="Ebrima" w:eastAsia="Ebrima" w:cs="Ebrima"/>
        </w:rPr>
        <w:t>ሰብአዊነት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በእሳት</w:t>
      </w:r>
      <w:r>
        <w:rPr>
          <w:rFonts w:ascii="Times New Roman" w:hAnsi="Times New Roman" w:eastAsia="Times New Roman" w:cs="Times New Roman"/>
        </w:rPr>
        <w:t xml:space="preserve"> (</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እንደተወከለው</w:t>
      </w:r>
      <w:r>
        <w:rPr>
          <w:rFonts w:ascii="Times New Roman" w:hAnsi="Times New Roman" w:eastAsia="Times New Roman" w:cs="Times New Roman"/>
        </w:rPr>
        <w:t xml:space="preserve"> </w:t>
      </w:r>
      <w:r>
        <w:rPr>
          <w:rFonts w:ascii="Ebrima" w:hAnsi="Ebrima" w:eastAsia="Ebrima" w:cs="Ebrima"/>
        </w:rPr>
        <w:t>መለኮትና</w:t>
      </w:r>
      <w:r>
        <w:rPr>
          <w:rFonts w:ascii="Times New Roman" w:hAnsi="Times New Roman" w:eastAsia="Times New Roman" w:cs="Times New Roman"/>
        </w:rPr>
        <w:t xml:space="preserve"> </w:t>
      </w:r>
      <w:r>
        <w:rPr>
          <w:rFonts w:ascii="Ebrima" w:hAnsi="Ebrima" w:eastAsia="Ebrima" w:cs="Ebrima"/>
        </w:rPr>
        <w:t>ሰብአዊነት</w:t>
      </w:r>
      <w:r>
        <w:rPr>
          <w:rFonts w:ascii="Times New Roman" w:hAnsi="Times New Roman" w:eastAsia="Times New Roman" w:cs="Times New Roman"/>
        </w:rPr>
        <w:t xml:space="preserve"> </w:t>
      </w:r>
      <w:r>
        <w:rPr>
          <w:rFonts w:ascii="Ebrima" w:hAnsi="Ebrima" w:eastAsia="Ebrima" w:cs="Ebrima"/>
        </w:rPr>
        <w:t>ተቀላቅለው</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ቅዱሱን</w:t>
      </w:r>
      <w:r>
        <w:rPr>
          <w:rFonts w:ascii="Times New Roman" w:hAnsi="Times New Roman" w:eastAsia="Times New Roman" w:cs="Times New Roman"/>
        </w:rPr>
        <w:t xml:space="preserve"> </w:t>
      </w:r>
      <w:r>
        <w:rPr>
          <w:rFonts w:ascii="Ebrima" w:hAnsi="Ebrima" w:eastAsia="Ebrima" w:cs="Ebrima"/>
        </w:rPr>
        <w:t>በመልእክት</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ለሰብአዊነት</w:t>
      </w:r>
      <w:r>
        <w:rPr>
          <w:rFonts w:ascii="Times New Roman" w:hAnsi="Times New Roman" w:eastAsia="Times New Roman" w:cs="Times New Roman"/>
        </w:rPr>
        <w:t xml:space="preserve"> </w:t>
      </w:r>
      <w:r>
        <w:rPr>
          <w:rFonts w:ascii="Ebrima" w:hAnsi="Ebrima" w:eastAsia="Ebrima" w:cs="Ebrima"/>
        </w:rPr>
        <w:t>ያስተላልፋሉ።</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የገብስ</w:t>
      </w:r>
      <w:r>
        <w:rPr>
          <w:rFonts w:ascii="Times New Roman" w:hAnsi="Times New Roman" w:eastAsia="Times New Roman" w:cs="Times New Roman"/>
        </w:rPr>
        <w:t xml:space="preserve"> </w:t>
      </w:r>
      <w:r>
        <w:rPr>
          <w:rFonts w:ascii="Ebrima" w:hAnsi="Ebrima" w:eastAsia="Ebrima" w:cs="Ebrima"/>
        </w:rPr>
        <w:t>በኩራት</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መባ</w:t>
      </w:r>
      <w:r>
        <w:rPr>
          <w:rFonts w:ascii="Times New Roman" w:hAnsi="Times New Roman" w:eastAsia="Times New Roman" w:cs="Times New Roman"/>
        </w:rPr>
        <w:t xml:space="preserve"> </w:t>
      </w:r>
      <w:r>
        <w:rPr>
          <w:rFonts w:ascii="Ebrima" w:hAnsi="Ebrima" w:eastAsia="Ebrima" w:cs="Ebrima"/>
        </w:rPr>
        <w:t>ከክርስቶስ</w:t>
      </w:r>
      <w:r>
        <w:rPr>
          <w:rFonts w:ascii="Times New Roman" w:hAnsi="Times New Roman" w:eastAsia="Times New Roman" w:cs="Times New Roman"/>
        </w:rPr>
        <w:t xml:space="preserve"> </w:t>
      </w:r>
      <w:r>
        <w:rPr>
          <w:rFonts w:ascii="Ebrima" w:hAnsi="Ebrima" w:eastAsia="Ebrima" w:cs="Ebrima"/>
        </w:rPr>
        <w:t>ትንሣኤ</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ይጣጣማል፤</w:t>
      </w:r>
      <w:r>
        <w:rPr>
          <w:rFonts w:ascii="Times New Roman" w:hAnsi="Times New Roman" w:eastAsia="Times New Roman" w:cs="Times New Roman"/>
        </w:rPr>
        <w:t xml:space="preserve"> </w:t>
      </w:r>
      <w:r>
        <w:rPr>
          <w:rFonts w:ascii="Ebrima" w:hAnsi="Ebrima" w:eastAsia="Ebrima" w:cs="Ebrima"/>
        </w:rPr>
        <w:t>በጴንጤቆስጤ</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የስንዴ</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እንጀራዎች</w:t>
      </w:r>
      <w:r>
        <w:rPr>
          <w:rFonts w:ascii="Times New Roman" w:hAnsi="Times New Roman" w:eastAsia="Times New Roman" w:cs="Times New Roman"/>
        </w:rPr>
        <w:t xml:space="preserve"> </w:t>
      </w:r>
      <w:r>
        <w:rPr>
          <w:rFonts w:ascii="Ebrima" w:hAnsi="Ebrima" w:eastAsia="Ebrima" w:cs="Ebrima"/>
        </w:rPr>
        <w:t>የበኩራት</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መባ</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ከጴንጤቆስጤ</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ይጣጣማል።</w:t>
      </w:r>
    </w:p>
    <w:p>
      <w:pPr>
        <w:pStyle w:val="ArticleBody"/>
        <w:jc w:val="left"/>
      </w:pPr>
      <w:r>
        <w:rPr>
          <w:rFonts w:ascii="Times New Roman" w:hAnsi="Times New Roman" w:eastAsia="Times New Roman" w:cs="Times New Roman"/>
        </w:rPr>
        <w:t>Esas dos tortas son la única ofrenda que incluía levadura, símbolo del pecado. Las tortas eran cocidas al horno, representando así la eliminación del pecado, pero sosteniendo la verdad de que las dos tortas mecidas que representaban a los ciento cuarenta y cuatro mil eran hombres y mujeres que habían sido pecadores y que habían sido purificados de esos pecados por el Mensajero del Pacto en Malaquías capítulo tres. Así, el alfa de la estación pentecostal representó al Pan del Cielo enseñando a Sus discípulos, y la omega de esa estación tenía a esos mismos discípulos simbolizados como dos tortas de pan que fueron elevadas al cielo. Así, el símbolo de la divinidad y la humanidad en las lenguas de fuego, y la elevación de la ofrenda mecida, que tipificaba a los discípulos llevando el mensaje al mundo, se combinan para identificar que los ciento cuarenta y cuatro mil han de ser elevados como una ofrenda que representa perfectamente a Jesucristo, y Jesucristo representa que la Divinidad combinada con la humanidad no peca.</w:t>
      </w:r>
    </w:p>
    <w:p>
      <w:pPr>
        <w:pStyle w:val="ArticleBody"/>
        <w:jc w:val="left"/>
      </w:pPr>
      <w:r>
        <w:rPr>
          <w:rFonts w:ascii="Times New Roman" w:hAnsi="Times New Roman" w:eastAsia="Times New Roman" w:cs="Times New Roman"/>
        </w:rPr>
        <w:t>De „cum a primi ploaia timpurie”, în timp ce se aşteaptă ca „lipsa” „tuturor binecuvântărilor pe care Dumnezeu” le-a „oferit” odată cu „ploaia timpurie” „să fie suplinită de ploaia târzie”, este „o greşeală cumplită”. Ploaia timpurie este „cărările cele vechi” din Ieremia, care au fost identificate ca fiind calea pe care trebuie să umblăm la 9/11. Este „o greşeală cumplită” şi, totodată, o lucrare puternică de rătăcire care îi face pe oameni să creadă că au o solie a ploii târzii zidită pe o stâncă, doar pentru a descoperi, în cele din urmă, că solia lor fusese zidită pe nisip.</w:t>
      </w:r>
    </w:p>
    <w:p>
      <w:pPr>
        <w:pStyle w:val="ArticleBody"/>
        <w:jc w:val="left"/>
      </w:pPr>
      <w:r>
        <w:rPr>
          <w:rFonts w:ascii="Times New Roman" w:hAnsi="Times New Roman" w:eastAsia="Times New Roman" w:cs="Times New Roman"/>
        </w:rPr>
        <w:t>Pierre n’eut pas honte d’expliquer directement qui était ivre et qui ne l’était pas, dans sa représentation des cent quarante-quatre mille durant la période de la pluie de l’arrière-saison. Tous les prophètes parlent des derniers jours, et Joël identifie les « ivrognes d’Éphraïm » qui s’éveillent et sont confrontés à la preuve manifeste que le privilège d’être le peuple appelé à proclamer le grand cri du troisième ange sous la puissance de la pluie de l’arrière-saison leur a été ôté pour toujours. Les cent quarante-quatre mille sont formés et scellés durant la période de la pluie de l’arrière-saison, depuis le 11 septembre jusqu’à la loi du dimanche. Ce sont ceux qui suivent l’Agneau partout où Il va.</w:t>
      </w:r>
    </w:p>
    <w:p>
      <w:pPr>
        <w:pStyle w:val="ArticleBody"/>
        <w:jc w:val="left"/>
      </w:pPr>
      <w:r>
        <w:rPr>
          <w:rFonts w:ascii="Times New Roman" w:hAnsi="Times New Roman" w:eastAsia="Times New Roman" w:cs="Times New Roman"/>
        </w:rPr>
        <w:t>Peter di Pentecoste melambangkan orang-orang yang memberitakan pekabaran hujan akhir, yang ia dasarkan pada kitab Yoel. Orang-orang Yahudi, yang telah diberi tanggung jawab untuk memelihara Pentakosta sepanjang seluruh sejarah mereka, diberitahukan oleh Petrus bahwa Pentakosta yang kepada mana semua Pentakosta sebelumnya menunjuk ke depan kini sedang digenapi. Orang-orang Yahudi, sebagai pemabuk-pemabuk Efraim, telah demikian mabuk oleh anggur Babel sehingga mereka menuduh Petrus dan kesebelas rasul itu mabuk ketika mereka menyampaikan pekabaran hujan akhir dalam konteks kitab Yoel. Ketika para pemabuk Efraim “terjaga” dalam ayat lima dari pasal pertama kitab Yoel, mereka diperhadapkan dengan proses pengujian hujan akhir, di mana dua golongan dikembangkan. Dalam proses pengujian itu satu golongan mengenali pekabaran hujan akhir dan golongan yang lain tidak.</w:t>
      </w:r>
    </w:p>
    <w:p>
      <w:pPr>
        <w:pStyle w:val="ArticleScripture"/>
        <w:jc w:val="left"/>
      </w:pPr>
      <w:r>
        <w:rPr>
          <w:rFonts w:ascii="Times New Roman" w:hAnsi="Times New Roman" w:eastAsia="Times New Roman" w:cs="Times New Roman"/>
        </w:rPr>
        <w:t>«موږ باید د وروستي باران انتظار و نه باسو. هغه پر ټولو هغو راځي چې هغه شبنم او د فضل ورښتونه، چې پر موږ نازلېږي، وپېژني او خپل یې کړي. کله چې موږ د رڼا ټوټې راټولوو، کله چې د خدای پر هغو یقینو رحمتونو ارزښت ږدو، هغه خدای چې خوښوي موږ پر هغه باور ولرو، نو هره وعده به پوره شي. “ځکه لکه څنګه چې ځمکه خپله غوټۍ راوباسي، او لکه څنګه چې باغ هغه څه چې په کې کرل شوي وي راشنه کوي؛ همداسې به مالِک خدای صداقت او ستاینه د ټولو قومونو په وړاندې راشنه کړي.” اشعیا 61:11. ټوله ځمکه باید د خدای له جلاله ډکه شي.» The Seventh-day Adventist Bible Commentary, volume 7, 984.</w:t>
      </w:r>
    </w:p>
    <w:p>
      <w:pPr>
        <w:pStyle w:val="ArticleBody"/>
        <w:jc w:val="left"/>
      </w:pPr>
      <w:r>
        <w:rPr>
          <w:rFonts w:ascii="Times New Roman" w:hAnsi="Times New Roman" w:eastAsia="Times New Roman" w:cs="Times New Roman"/>
        </w:rPr>
        <w:t>«То“recognize”» означает «вспомнить или вновь обрести знание», ибо весть позднего дождя распознаётся посредством священных историй прошлого, которые служат иллюстрацией истории позднего дождя. История Петра в день Пятидесятницы была помещена в историческую структуру, изложенную Иоилем. Эта картина у Иоиля вместе с её исполнением у Петра дают двух свидетелей истории Полуночного крика 1844 года. Эти три свидетеля (и другие) должны быть «распознаны» как иллюстрации истории, обстановки и вести позднего дождя.</w:t>
      </w:r>
    </w:p>
    <w:p>
      <w:pPr>
        <w:pStyle w:val="ArticleBody"/>
        <w:jc w:val="left"/>
      </w:pPr>
      <w:r>
        <w:rPr>
          <w:rFonts w:ascii="Times New Roman" w:hAnsi="Times New Roman" w:eastAsia="Times New Roman" w:cs="Times New Roman"/>
        </w:rPr>
        <w:t>Lorsque le Christ souffla sur les disciples après être monté puis revenu, ce ne fut que « quelques gouttes » avant la grande effusion de la Pentecôte. Au commencement et à la fin, il y eut une manifestation de l’effusion du Saint-Esprit. Les quelques gouttes venant du Christ sur Ses disciples constituent l’alpha de la période pentecostale, laquelle s’achève avec l’oméga et l’effusion du message allant des disciples vers le monde. L’alpha est marquée par l’offrande des prémices de l’orge et s’achève avec l’offrande des prémices du blé. Le commencement de la pluie de l’arrière-saison fut marqué par l’abaissement des grands édifices de la ville de New York le 11 septembre. Cela marque le commencement de l’histoire qui conduit à la loi du dimanche. Le 11 septembre est représenté par l’offrande des prémices de l’orge, et la loi du dimanche est l’offrande des prémices du blé.</w:t>
      </w:r>
    </w:p>
    <w:p>
      <w:pPr>
        <w:pStyle w:val="ArticleBody"/>
        <w:jc w:val="left"/>
      </w:pPr>
      <w:r>
        <w:rPr>
          <w:rFonts w:ascii="Nirmala UI" w:hAnsi="Nirmala UI" w:eastAsia="Nirmala UI" w:cs="Nirmala UI"/>
        </w:rPr>
        <w:t>એફ્રાઈમના</w:t>
      </w:r>
      <w:r>
        <w:rPr>
          <w:rFonts w:ascii="Times New Roman" w:hAnsi="Times New Roman" w:eastAsia="Times New Roman" w:cs="Times New Roman"/>
        </w:rPr>
        <w:t xml:space="preserve"> </w:t>
      </w:r>
      <w:r>
        <w:rPr>
          <w:rFonts w:ascii="Nirmala UI" w:hAnsi="Nirmala UI" w:eastAsia="Nirmala UI" w:cs="Nirmala UI"/>
        </w:rPr>
        <w:t>મદ્યપાઓને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હકીકત</w:t>
      </w:r>
      <w:r>
        <w:rPr>
          <w:rFonts w:ascii="Times New Roman" w:hAnsi="Times New Roman" w:eastAsia="Times New Roman" w:cs="Times New Roman"/>
        </w:rPr>
        <w:t xml:space="preserve"> </w:t>
      </w:r>
      <w:r>
        <w:rPr>
          <w:rFonts w:ascii="Nirmala UI" w:hAnsi="Nirmala UI" w:eastAsia="Nirmala UI" w:cs="Nirmala UI"/>
        </w:rPr>
        <w:t>અંગે</w:t>
      </w:r>
      <w:r>
        <w:rPr>
          <w:rFonts w:ascii="Times New Roman" w:hAnsi="Times New Roman" w:eastAsia="Times New Roman" w:cs="Times New Roman"/>
        </w:rPr>
        <w:t xml:space="preserve"> </w:t>
      </w:r>
      <w:r>
        <w:rPr>
          <w:rFonts w:ascii="Nirmala UI" w:hAnsi="Nirmala UI" w:eastAsia="Nirmala UI" w:cs="Nirmala UI"/>
        </w:rPr>
        <w:t>જાગૃતિ</w:t>
      </w:r>
      <w:r>
        <w:rPr>
          <w:rFonts w:ascii="Times New Roman" w:hAnsi="Times New Roman" w:eastAsia="Times New Roman" w:cs="Times New Roman"/>
        </w:rPr>
        <w:t xml:space="preserve"> </w:t>
      </w:r>
      <w:r>
        <w:rPr>
          <w:rFonts w:ascii="Nirmala UI" w:hAnsi="Nirmala UI" w:eastAsia="Nirmala UI" w:cs="Nirmala UI"/>
        </w:rPr>
        <w:t>અપાય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પાસેથી</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લેવામાં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તેવા</w:t>
      </w:r>
      <w:r>
        <w:rPr>
          <w:rFonts w:ascii="Times New Roman" w:hAnsi="Times New Roman" w:eastAsia="Times New Roman" w:cs="Times New Roman"/>
        </w:rPr>
        <w:t xml:space="preserve"> </w:t>
      </w:r>
      <w:r>
        <w:rPr>
          <w:rFonts w:ascii="Nirmala UI" w:hAnsi="Nirmala UI" w:eastAsia="Nirmala UI" w:cs="Nirmala UI"/>
        </w:rPr>
        <w:t>લોકો</w:t>
      </w:r>
      <w:r>
        <w:rPr>
          <w:rFonts w:ascii="Malgun Gothic" w:hAnsi="Malgun Gothic" w:eastAsia="Malgun Gothic" w:cs="Malgun Gothic"/>
        </w:rPr>
        <w:t>에게</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ફળ</w:t>
      </w:r>
      <w:r>
        <w:rPr>
          <w:rFonts w:ascii="Times New Roman" w:hAnsi="Times New Roman" w:eastAsia="Times New Roman" w:cs="Times New Roman"/>
        </w:rPr>
        <w:t xml:space="preserve"> </w:t>
      </w:r>
      <w:r>
        <w:rPr>
          <w:rFonts w:ascii="Nirmala UI" w:hAnsi="Nirmala UI" w:eastAsia="Nirmala UI" w:cs="Nirmala UI"/>
        </w:rPr>
        <w:t>ઉપજાવે</w:t>
      </w:r>
      <w:r>
        <w:rPr>
          <w:rFonts w:ascii="Times New Roman" w:hAnsi="Times New Roman" w:eastAsia="Times New Roman" w:cs="Times New Roman"/>
        </w:rPr>
        <w:t xml:space="preserve">. </w:t>
      </w:r>
      <w:r>
        <w:rPr>
          <w:rFonts w:ascii="Nirmala UI" w:hAnsi="Nirmala UI" w:eastAsia="Nirmala UI" w:cs="Nirmala UI"/>
        </w:rPr>
        <w:t>જોયેલ</w:t>
      </w:r>
      <w:r>
        <w:rPr>
          <w:rFonts w:ascii="Times New Roman" w:hAnsi="Times New Roman" w:eastAsia="Times New Roman" w:cs="Times New Roman"/>
        </w:rPr>
        <w:t xml:space="preserve"> </w:t>
      </w:r>
      <w:r>
        <w:rPr>
          <w:rFonts w:ascii="Nirmala UI" w:hAnsi="Nirmala UI" w:eastAsia="Nirmala UI" w:cs="Nirmala UI"/>
        </w:rPr>
        <w:t>મદ્યપાઓની</w:t>
      </w:r>
      <w:r>
        <w:rPr>
          <w:rFonts w:ascii="Times New Roman" w:hAnsi="Times New Roman" w:eastAsia="Times New Roman" w:cs="Times New Roman"/>
        </w:rPr>
        <w:t xml:space="preserve"> </w:t>
      </w:r>
      <w:r>
        <w:rPr>
          <w:rFonts w:ascii="Nirmala UI" w:hAnsi="Nirmala UI" w:eastAsia="Nirmala UI" w:cs="Nirmala UI"/>
        </w:rPr>
        <w:t>આજ્ઞાભંગતા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અન્ન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પેય</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ભવનમાંથી</w:t>
      </w:r>
      <w:r>
        <w:rPr>
          <w:rFonts w:ascii="Times New Roman" w:hAnsi="Times New Roman" w:eastAsia="Times New Roman" w:cs="Times New Roman"/>
        </w:rPr>
        <w:t xml:space="preserve">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મુખમાંથી</w:t>
      </w:r>
      <w:r>
        <w:rPr>
          <w:rFonts w:ascii="Times New Roman" w:hAnsi="Times New Roman" w:eastAsia="Times New Roman" w:cs="Times New Roman"/>
        </w:rPr>
        <w:t xml:space="preserve">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હિબ્રુમાં</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તાજું</w:t>
      </w:r>
      <w:r>
        <w:rPr>
          <w:rFonts w:ascii="Times New Roman" w:hAnsi="Times New Roman" w:eastAsia="Times New Roman" w:cs="Times New Roman"/>
        </w:rPr>
        <w:t xml:space="preserve"> </w:t>
      </w:r>
      <w:r>
        <w:rPr>
          <w:rFonts w:ascii="Nirmala UI" w:hAnsi="Nirmala UI" w:eastAsia="Nirmala UI" w:cs="Nirmala UI"/>
        </w:rPr>
        <w:t>નિચોડેલું</w:t>
      </w:r>
      <w:r>
        <w:rPr>
          <w:rFonts w:ascii="Times New Roman" w:hAnsi="Times New Roman" w:eastAsia="Times New Roman" w:cs="Times New Roman"/>
        </w:rPr>
        <w:t xml:space="preserve"> </w:t>
      </w:r>
      <w:r>
        <w:rPr>
          <w:rFonts w:ascii="Nirmala UI" w:hAnsi="Nirmala UI" w:eastAsia="Nirmala UI" w:cs="Nirmala UI"/>
        </w:rPr>
        <w:t>રસ</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પાંચમી</w:t>
      </w:r>
      <w:r>
        <w:rPr>
          <w:rFonts w:ascii="Times New Roman" w:hAnsi="Times New Roman" w:eastAsia="Times New Roman" w:cs="Times New Roman"/>
        </w:rPr>
        <w:t xml:space="preserve"> </w:t>
      </w:r>
      <w:r>
        <w:rPr>
          <w:rFonts w:ascii="Nirmala UI" w:hAnsi="Nirmala UI" w:eastAsia="Nirmala UI" w:cs="Nirmala UI"/>
        </w:rPr>
        <w:t>કલમમાં</w:t>
      </w:r>
      <w:r>
        <w:rPr>
          <w:rFonts w:ascii="Times New Roman" w:hAnsi="Times New Roman" w:eastAsia="Times New Roman" w:cs="Times New Roman"/>
        </w:rPr>
        <w:t xml:space="preserve"> </w:t>
      </w:r>
      <w:r>
        <w:rPr>
          <w:rFonts w:ascii="Nirmala UI" w:hAnsi="Nirmala UI" w:eastAsia="Nirmala UI" w:cs="Nirmala UI"/>
        </w:rPr>
        <w:t>મદ્યપાઓ</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પીવે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ખમણાયેલો</w:t>
      </w:r>
      <w:r>
        <w:rPr>
          <w:rFonts w:ascii="Times New Roman" w:hAnsi="Times New Roman" w:eastAsia="Times New Roman" w:cs="Times New Roman"/>
        </w:rPr>
        <w:t xml:space="preserve"> </w:t>
      </w:r>
      <w:r>
        <w:rPr>
          <w:rFonts w:ascii="Nirmala UI" w:hAnsi="Nirmala UI" w:eastAsia="Nirmala UI" w:cs="Nirmala UI"/>
        </w:rPr>
        <w:t>રસ</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દ્રાક્ષારસના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પ્રકાર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સિદ્ધાંતનું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જોયેલના</w:t>
      </w:r>
      <w:r>
        <w:rPr>
          <w:rFonts w:ascii="Times New Roman" w:hAnsi="Times New Roman" w:eastAsia="Times New Roman" w:cs="Times New Roman"/>
        </w:rPr>
        <w:t xml:space="preserve"> </w:t>
      </w:r>
      <w:r>
        <w:rPr>
          <w:rFonts w:ascii="Nirmala UI" w:hAnsi="Nirmala UI" w:eastAsia="Nirmala UI" w:cs="Nirmala UI"/>
        </w:rPr>
        <w:t>સંદર્ભમાં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વરસાદનો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એફ્રાઈમના</w:t>
      </w:r>
      <w:r>
        <w:rPr>
          <w:rFonts w:ascii="Times New Roman" w:hAnsi="Times New Roman" w:eastAsia="Times New Roman" w:cs="Times New Roman"/>
        </w:rPr>
        <w:t xml:space="preserve"> </w:t>
      </w:r>
      <w:r>
        <w:rPr>
          <w:rFonts w:ascii="Nirmala UI" w:hAnsi="Nirmala UI" w:eastAsia="Nirmala UI" w:cs="Nirmala UI"/>
        </w:rPr>
        <w:t>મદ્યપાઓ</w:t>
      </w:r>
      <w:r>
        <w:rPr>
          <w:rFonts w:ascii="Times New Roman" w:hAnsi="Times New Roman" w:eastAsia="Times New Roman" w:cs="Times New Roman"/>
        </w:rPr>
        <w:t xml:space="preserve"> </w:t>
      </w:r>
      <w:r>
        <w:rPr>
          <w:rFonts w:ascii="Nirmala UI" w:hAnsi="Nirmala UI" w:eastAsia="Nirmala UI" w:cs="Nirmala UI"/>
        </w:rPr>
        <w:t>ખમણાયેલો</w:t>
      </w:r>
      <w:r>
        <w:rPr>
          <w:rFonts w:ascii="Times New Roman" w:hAnsi="Times New Roman" w:eastAsia="Times New Roman" w:cs="Times New Roman"/>
        </w:rPr>
        <w:t xml:space="preserve"> </w:t>
      </w:r>
      <w:r>
        <w:rPr>
          <w:rFonts w:ascii="Nirmala UI" w:hAnsi="Nirmala UI" w:eastAsia="Nirmala UI" w:cs="Nirmala UI"/>
        </w:rPr>
        <w:t>રસ</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તાજા</w:t>
      </w:r>
      <w:r>
        <w:rPr>
          <w:rFonts w:ascii="Times New Roman" w:hAnsi="Times New Roman" w:eastAsia="Times New Roman" w:cs="Times New Roman"/>
        </w:rPr>
        <w:t xml:space="preserve"> </w:t>
      </w:r>
      <w:r>
        <w:rPr>
          <w:rFonts w:ascii="Nirmala UI" w:hAnsi="Nirmala UI" w:eastAsia="Nirmala UI" w:cs="Nirmala UI"/>
        </w:rPr>
        <w:t>નિચોડેલા</w:t>
      </w:r>
      <w:r>
        <w:rPr>
          <w:rFonts w:ascii="Times New Roman" w:hAnsi="Times New Roman" w:eastAsia="Times New Roman" w:cs="Times New Roman"/>
        </w:rPr>
        <w:t xml:space="preserve"> </w:t>
      </w:r>
      <w:r>
        <w:rPr>
          <w:rFonts w:ascii="Nirmala UI" w:hAnsi="Nirmala UI" w:eastAsia="Nirmala UI" w:cs="Nirmala UI"/>
        </w:rPr>
        <w:t>રસથી</w:t>
      </w:r>
      <w:r>
        <w:rPr>
          <w:rFonts w:ascii="Times New Roman" w:hAnsi="Times New Roman" w:eastAsia="Times New Roman" w:cs="Times New Roman"/>
        </w:rPr>
        <w:t xml:space="preserve">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દ્રાક્ષારસના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પ્રકાર</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વરસાદના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સંદેશાઓનું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મદ્યપાઓ</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સંદેશથી</w:t>
      </w:r>
      <w:r>
        <w:rPr>
          <w:rFonts w:ascii="Times New Roman" w:hAnsi="Times New Roman" w:eastAsia="Times New Roman" w:cs="Times New Roman"/>
        </w:rPr>
        <w:t xml:space="preserve">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અનુવાદિત</w:t>
      </w:r>
      <w:r>
        <w:rPr>
          <w:rFonts w:ascii="Times New Roman" w:hAnsi="Times New Roman" w:eastAsia="Times New Roman" w:cs="Times New Roman"/>
        </w:rPr>
        <w:t xml:space="preserve"> </w:t>
      </w:r>
      <w:r>
        <w:rPr>
          <w:rFonts w:ascii="Nirmala UI" w:hAnsi="Nirmala UI" w:eastAsia="Nirmala UI" w:cs="Nirmala UI"/>
        </w:rPr>
        <w:t>હિબ્રુ</w:t>
      </w:r>
      <w:r>
        <w:rPr>
          <w:rFonts w:ascii="Times New Roman" w:hAnsi="Times New Roman" w:eastAsia="Times New Roman" w:cs="Times New Roman"/>
        </w:rPr>
        <w:t xml:space="preserve"> </w:t>
      </w:r>
      <w:r>
        <w:rPr>
          <w:rFonts w:ascii="Nirmala UI" w:hAnsi="Nirmala UI" w:eastAsia="Nirmala UI" w:cs="Nirmala UI"/>
        </w:rPr>
        <w:t>શબ્દનો</w:t>
      </w:r>
      <w:r>
        <w:rPr>
          <w:rFonts w:ascii="Times New Roman" w:hAnsi="Times New Roman" w:eastAsia="Times New Roman" w:cs="Times New Roman"/>
        </w:rPr>
        <w:t xml:space="preserve"> </w:t>
      </w:r>
      <w:r>
        <w:rPr>
          <w:rFonts w:ascii="Nirmala UI" w:hAnsi="Nirmala UI" w:eastAsia="Nirmala UI" w:cs="Nirmala UI"/>
        </w:rPr>
        <w:t>આધાર</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કરાર</w:t>
      </w:r>
      <w:r>
        <w:rPr>
          <w:rFonts w:ascii="Times New Roman" w:hAnsi="Times New Roman" w:eastAsia="Times New Roman" w:cs="Times New Roman"/>
        </w:rPr>
        <w:t>-</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પ્રાણીઓને</w:t>
      </w:r>
      <w:r>
        <w:rPr>
          <w:rFonts w:ascii="Times New Roman" w:hAnsi="Times New Roman" w:eastAsia="Times New Roman" w:cs="Times New Roman"/>
        </w:rPr>
        <w:t xml:space="preserve"> </w:t>
      </w:r>
      <w:r>
        <w:rPr>
          <w:rFonts w:ascii="Nirmala UI" w:hAnsi="Nirmala UI" w:eastAsia="Nirmala UI" w:cs="Nirmala UI"/>
        </w:rPr>
        <w:t>કાપીને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વચ્ચે</w:t>
      </w:r>
      <w:r>
        <w:rPr>
          <w:rFonts w:ascii="Times New Roman" w:hAnsi="Times New Roman" w:eastAsia="Times New Roman" w:cs="Times New Roman"/>
        </w:rPr>
        <w:t xml:space="preserve"> </w:t>
      </w:r>
      <w:r>
        <w:rPr>
          <w:rFonts w:ascii="Nirmala UI" w:hAnsi="Nirmala UI" w:eastAsia="Nirmala UI" w:cs="Nirmala UI"/>
        </w:rPr>
        <w:t>ચાલવામાં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આવવું</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કરારજન</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અસ્વીકારવામાં</w:t>
      </w:r>
      <w:r>
        <w:rPr>
          <w:rFonts w:ascii="Times New Roman" w:hAnsi="Times New Roman" w:eastAsia="Times New Roman" w:cs="Times New Roman"/>
        </w:rPr>
        <w:t xml:space="preserve"> </w:t>
      </w:r>
      <w:r>
        <w:rPr>
          <w:rFonts w:ascii="Nirmala UI" w:hAnsi="Nirmala UI" w:eastAsia="Nirmala UI" w:cs="Nirmala UI"/>
        </w:rPr>
        <w:t>આવવું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Buku yoel i kombisa vanhu va Xikwembu emasikwini yo hetelela, ku sungula hi Vamillerite lava humeleleke hikwalaho ka ku pfuriwa ka buku ya Danieli hi 1798, ku fika eka lava dzana na makume mune-mune wa magidi, lava humeleleke hikwalaho ka ku pfuriwa ka buku ya Danieli hi 1989. Eku sunguleni, ku chuluriwa ka Moya lowo Kwetsima ku yimeleriwe hi nkarhi lowu sukaka eka nhlengeletano ya mixaxa ya Exeter ku ya fika eka ku hela ka ku langutela ka October 22, 1844. Matimu wolawo ma hetisise xifaniso xa tintombi ta khume xa Matewu makume mambirhi na ntlhanu, lexi tlhelelaka hi rito ni rito ematimwini ya lava dzana na makume mune-mune wa magidi.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ពាក្យប្រៀបប្រដូចអំពីស្ត្រីព្រហ្មចារីទាំងដប់នៅក្នុង</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25 </w:t>
      </w:r>
      <w:r>
        <w:rPr>
          <w:rFonts w:ascii="Leelawadee UI" w:hAnsi="Leelawadee UI" w:eastAsia="Leelawadee UI" w:cs="Leelawadee UI"/>
        </w:rPr>
        <w:t>ក៏បង្ហាញអំពីបទពិសោធន៍របស់ប្រជាជនអាដ</w:t>
      </w:r>
      <w:r>
        <w:rPr>
          <w:rFonts w:ascii="Times New Roman" w:hAnsi="Times New Roman" w:eastAsia="Times New Roman" w:cs="Times New Roman"/>
        </w:rPr>
        <w:t>վեն</w:t>
      </w:r>
      <w:r>
        <w:rPr>
          <w:rFonts w:ascii="Leelawadee UI" w:hAnsi="Leelawadee UI" w:eastAsia="Leelawadee UI" w:cs="Leelawadee UI"/>
        </w:rPr>
        <w:t>ទីស្តផងដែរ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393.</w:t>
      </w:r>
    </w:p>
    <w:p>
      <w:pPr>
        <w:pStyle w:val="ArticleScripture"/>
        <w:jc w:val="left"/>
      </w:pPr>
      <w:r>
        <w:rPr>
          <w:rFonts w:ascii="Times New Roman" w:hAnsi="Times New Roman" w:eastAsia="Times New Roman" w:cs="Times New Roman"/>
        </w:rPr>
        <w:t>« On me renvoie souvent à la parabole des dix vierges, dont cinq étaient sages et cinq insensées. Cette parabole s’est accomplie et s’accomplira jusque dans ses moindres détails, car elle s’applique tout particulièrement à notre époque et, à l’instar du message du troisième ange, elle s’est accomplie et continuera d’être une vérité présente jusqu’à la fin des temps. » Review and Herald, 19 août 1890.</w:t>
      </w:r>
    </w:p>
    <w:p>
      <w:pPr>
        <w:pStyle w:val="ArticleScripture"/>
        <w:jc w:val="left"/>
      </w:pPr>
      <w:r>
        <w:rPr>
          <w:rFonts w:ascii="Times New Roman" w:hAnsi="Times New Roman" w:eastAsia="Times New Roman" w:cs="Times New Roman"/>
        </w:rPr>
        <w:t>„Dunia ini sedang terbaring dalam kefasikan, dalam penipuan, dan dalam kesesatan, di bawah bayang-bayang maut,—tertidur, tertidur. Siapakah yang merasakan pergumulan jiwa untuk membangunkan mereka? Suara apakah yang dapat menjangkau mereka? Pikiranku dibawa kepada masa depan ketika isyarat itu akan diberikan, ‘Lihatlah, Mempelai datang; keluarlah untuk menyongsong Dia.’ Tetapi sebagian orang akan telah menunda untuk memperoleh minyak guna mengisi kembali pelita mereka, dan terlambat mereka akan mendapati bahwa tabiat, yang dilambangkan oleh minyak itu, tidak dapat dipindahkan. Minyak itu adalah kebenaran Kristus. Itu melambangkan tabiat, dan tabiat tidak dapat dipindahkan. Tidak seorang pun dapat memperolehkannya bagi orang lain. Setiap orang harus memperoleh bagi dirinya sendiri suatu tabiat yang disucikan dari setiap noda dosa.” Bible Echo, 4 Mei 1896.</w:t>
      </w:r>
    </w:p>
    <w:p>
      <w:pPr>
        <w:pStyle w:val="ArticleBody"/>
        <w:jc w:val="left"/>
      </w:pPr>
      <w:r>
        <w:rPr>
          <w:rFonts w:ascii="Times New Roman" w:hAnsi="Times New Roman" w:eastAsia="Times New Roman" w:cs="Times New Roman"/>
        </w:rPr>
        <w:t>Nani “wanaougua uchungu wa nafsi kuamsha” “ulimwengu uliolala katika uovu?” Yoeli anajibu swali hilo:</w:t>
      </w:r>
    </w:p>
    <w:p>
      <w:pPr>
        <w:pStyle w:val="ArticleScripture"/>
        <w:jc w:val="left"/>
      </w:pP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ଘଟିବ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ନାମକୁ</w:t>
      </w:r>
      <w:r>
        <w:rPr>
          <w:rFonts w:ascii="Times New Roman" w:hAnsi="Times New Roman" w:eastAsia="Times New Roman" w:cs="Times New Roman"/>
        </w:rPr>
        <w:t xml:space="preserve"> </w:t>
      </w:r>
      <w:r>
        <w:rPr>
          <w:rFonts w:ascii="Nirmala UI" w:hAnsi="Nirmala UI" w:eastAsia="Nirmala UI" w:cs="Nirmala UI"/>
        </w:rPr>
        <w:t>ଡାକିବେ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ପାଇବେ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ସିଓନ</w:t>
      </w:r>
      <w:r>
        <w:rPr>
          <w:rFonts w:ascii="Times New Roman" w:hAnsi="Times New Roman" w:eastAsia="Times New Roman" w:cs="Times New Roman"/>
        </w:rPr>
        <w:t xml:space="preserve"> </w:t>
      </w:r>
      <w:r>
        <w:rPr>
          <w:rFonts w:ascii="Nirmala UI" w:hAnsi="Nirmala UI" w:eastAsia="Nirmala UI" w:cs="Nirmala UI"/>
        </w:rPr>
        <w:t>ପର୍ବତରେ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କହିଛନ୍ତି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ଅବଶିଷ୍ଟମାନଙ୍କ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ଯାହାଙ୍କୁ</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ଡାକିବେ।</w:t>
      </w:r>
      <w:r>
        <w:rPr>
          <w:rFonts w:ascii="Times New Roman" w:hAnsi="Times New Roman" w:eastAsia="Times New Roman" w:cs="Times New Roman"/>
        </w:rPr>
        <w:t xml:space="preserve"> </w:t>
      </w:r>
      <w:r>
        <w:rPr>
          <w:rFonts w:ascii="Nirmala UI" w:hAnsi="Nirmala UI" w:eastAsia="Nirmala UI" w:cs="Nirmala UI"/>
        </w:rPr>
        <w:t>ଯୋଏଲ</w:t>
      </w:r>
      <w:r>
        <w:rPr>
          <w:rFonts w:ascii="Times New Roman" w:hAnsi="Times New Roman" w:eastAsia="Times New Roman" w:cs="Times New Roman"/>
        </w:rPr>
        <w:t xml:space="preserve"> 2:32</w:t>
      </w:r>
      <w:r>
        <w:rPr>
          <w:rFonts w:ascii="Nirmala UI" w:hAnsi="Nirmala UI" w:eastAsia="Nirmala UI" w:cs="Nirmala UI"/>
        </w:rPr>
        <w:t>।</w:t>
      </w:r>
    </w:p>
    <w:p>
      <w:pPr>
        <w:pStyle w:val="ArticleBody"/>
        <w:jc w:val="left"/>
      </w:pPr>
      <w:r>
        <w:rPr>
          <w:rFonts w:ascii="Times New Roman" w:hAnsi="Times New Roman" w:eastAsia="Times New Roman" w:cs="Times New Roman"/>
        </w:rPr>
        <w:t>Ceux-ci feront l’objet de la suite dans l’article suivant.</w:t>
      </w:r>
    </w:p>
    <w:p>
      <w:pPr>
        <w:pStyle w:val="ArticleScripture"/>
        <w:jc w:val="left"/>
      </w:pPr>
      <w:r>
        <w:rPr>
          <w:rFonts w:ascii="Times New Roman" w:hAnsi="Times New Roman" w:eastAsia="Times New Roman" w:cs="Times New Roman"/>
        </w:rPr>
        <w:t>“</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ꯅꯨꯡꯇꯥꯡ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ꯅꯣꯡꯃꯥꯏꯒꯤ</w:t>
      </w:r>
      <w:r>
        <w:rPr>
          <w:rFonts w:ascii="Times New Roman" w:hAnsi="Times New Roman" w:eastAsia="Times New Roman" w:cs="Times New Roman"/>
        </w:rPr>
        <w:t xml:space="preserve"> </w:t>
      </w:r>
      <w:r>
        <w:rPr>
          <w:rFonts w:ascii="Nirmala UI" w:hAnsi="Nirmala UI" w:eastAsia="Nirmala UI" w:cs="Nirmala UI"/>
        </w:rPr>
        <w:t>ꯑꯣꯏꯅꯕ</w:t>
      </w:r>
      <w:r>
        <w:rPr>
          <w:rFonts w:ascii="Times New Roman" w:hAnsi="Times New Roman" w:eastAsia="Times New Roman" w:cs="Times New Roman"/>
        </w:rPr>
        <w:t xml:space="preserve"> </w:t>
      </w:r>
      <w:r>
        <w:rPr>
          <w:rFonts w:ascii="Nirmala UI" w:hAnsi="Nirmala UI" w:eastAsia="Nirmala UI" w:cs="Nirmala UI"/>
        </w:rPr>
        <w:t>ꯑꯦꯃꯃꯥꯎꯁ</w:t>
      </w:r>
      <w:r>
        <w:rPr>
          <w:rFonts w:ascii="Times New Roman" w:hAnsi="Times New Roman" w:eastAsia="Times New Roman" w:cs="Times New Roman"/>
        </w:rPr>
        <w:t xml:space="preserve">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ꯖꯦꯔꯨꯁꯂꯦꯝꯗꯒꯤ</w:t>
      </w:r>
      <w:r>
        <w:rPr>
          <w:rFonts w:ascii="Times New Roman" w:hAnsi="Times New Roman" w:eastAsia="Times New Roman" w:cs="Times New Roman"/>
        </w:rPr>
        <w:t xml:space="preserve"> </w:t>
      </w:r>
      <w:r>
        <w:rPr>
          <w:rFonts w:ascii="Nirmala UI" w:hAnsi="Nirmala UI" w:eastAsia="Nirmala UI" w:cs="Nirmala UI"/>
        </w:rPr>
        <w:t>ꯃꯥꯏꯂꯁ</w:t>
      </w:r>
      <w:r>
        <w:rPr>
          <w:rFonts w:ascii="Times New Roman" w:hAnsi="Times New Roman" w:eastAsia="Times New Roman" w:cs="Times New Roman"/>
        </w:rPr>
        <w:t xml:space="preserve"> </w:t>
      </w:r>
      <w:r>
        <w:rPr>
          <w:rFonts w:ascii="Nirmala UI" w:hAnsi="Nirmala UI" w:eastAsia="Nirmala UI" w:cs="Nirmala UI"/>
        </w:rPr>
        <w:t>ꯃꯥꯔꯀꯠ</w:t>
      </w:r>
      <w:r>
        <w:rPr>
          <w:rFonts w:ascii="Times New Roman" w:hAnsi="Times New Roman" w:eastAsia="Times New Roman" w:cs="Times New Roman"/>
        </w:rPr>
        <w:t xml:space="preserve"> </w:t>
      </w:r>
      <w:r>
        <w:rPr>
          <w:rFonts w:ascii="Nirmala UI" w:hAnsi="Nirmala UI" w:eastAsia="Nirmala UI" w:cs="Nirmala UI"/>
        </w:rPr>
        <w:t>ꯅꯤꯄꯥꯜ</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ꯂꯝꯗꯨꯅꯥ</w:t>
      </w:r>
      <w:r>
        <w:rPr>
          <w:rFonts w:ascii="Times New Roman" w:hAnsi="Times New Roman" w:eastAsia="Times New Roman" w:cs="Times New Roman"/>
        </w:rPr>
        <w:t xml:space="preserve"> </w:t>
      </w:r>
      <w:r>
        <w:rPr>
          <w:rFonts w:ascii="Nirmala UI" w:hAnsi="Nirmala UI" w:eastAsia="Nirmala UI" w:cs="Nirmala UI"/>
        </w:rPr>
        <w:t>ꯆꯠꯂꯝꯃꯤ꯫</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ꯅꯤꯅꯥ</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ꯐꯪꯂꯣꯏ</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ꯑꯣꯏꯅꯃꯛ</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ꯊꯥꯖꯕꯥꯁꯤꯡ</w:t>
      </w:r>
      <w:r>
        <w:rPr>
          <w:rFonts w:ascii="Times New Roman" w:hAnsi="Times New Roman" w:eastAsia="Times New Roman" w:cs="Times New Roman"/>
        </w:rPr>
        <w:t xml:space="preserve"> </w:t>
      </w:r>
      <w:r>
        <w:rPr>
          <w:rFonts w:ascii="Nirmala UI" w:hAnsi="Nirmala UI" w:eastAsia="Nirmala UI" w:cs="Nirmala UI"/>
        </w:rPr>
        <w:t>ꯑꯣꯏꯔꯝꯃꯤ꯫</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ꯄꯥꯁꯑꯣꯕꯔ</w:t>
      </w:r>
      <w:r>
        <w:rPr>
          <w:rFonts w:ascii="Times New Roman" w:hAnsi="Times New Roman" w:eastAsia="Times New Roman" w:cs="Times New Roman"/>
        </w:rPr>
        <w:t xml:space="preserve"> </w:t>
      </w:r>
      <w:r>
        <w:rPr>
          <w:rFonts w:ascii="Nirmala UI" w:hAnsi="Nirmala UI" w:eastAsia="Nirmala UI" w:cs="Nirmala UI"/>
        </w:rPr>
        <w:t>ꯇꯝꯕꯅꯕ</w:t>
      </w:r>
      <w:r>
        <w:rPr>
          <w:rFonts w:ascii="Times New Roman" w:hAnsi="Times New Roman" w:eastAsia="Times New Roman" w:cs="Times New Roman"/>
        </w:rPr>
        <w:t xml:space="preserve"> </w:t>
      </w:r>
      <w:r>
        <w:rPr>
          <w:rFonts w:ascii="Nirmala UI" w:hAnsi="Nirmala UI" w:eastAsia="Nirmala UI" w:cs="Nirmala UI"/>
        </w:rPr>
        <w:t>ꯂꯝꯅꯥ</w:t>
      </w:r>
      <w:r>
        <w:rPr>
          <w:rFonts w:ascii="Times New Roman" w:hAnsi="Times New Roman" w:eastAsia="Times New Roman" w:cs="Times New Roman"/>
        </w:rPr>
        <w:t xml:space="preserve"> </w:t>
      </w:r>
      <w:r>
        <w:rPr>
          <w:rFonts w:ascii="Nirmala UI" w:hAnsi="Nirmala UI" w:eastAsia="Nirmala UI" w:cs="Nirmala UI"/>
        </w:rPr>
        <w:t>ꯁꯍꯔꯗꯥ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ꯊꯣꯛꯂꯛꯄ</w:t>
      </w:r>
      <w:r>
        <w:rPr>
          <w:rFonts w:ascii="Times New Roman" w:hAnsi="Times New Roman" w:eastAsia="Times New Roman" w:cs="Times New Roman"/>
        </w:rPr>
        <w:t xml:space="preserve"> </w:t>
      </w:r>
      <w:r>
        <w:rPr>
          <w:rFonts w:ascii="Nirmala UI" w:hAnsi="Nirmala UI" w:eastAsia="Nirmala UI" w:cs="Nirmala UI"/>
        </w:rPr>
        <w:t>ꯊꯥꯎꯗꯣꯛꯁꯤꯡꯅꯥ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ꯂꯥꯡꯊꯣꯛꯍꯜꯂꯝꯃꯤ꯫</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ꯅꯪꯁꯤꯕꯒꯤ</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ꯃꯄꯥꯟꯗꯒꯤ</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ꯑꯦꯟꯖꯦꯜꯁꯤꯡꯕꯨ</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ꯌꯤꯁꯨꯕꯨ</w:t>
      </w:r>
      <w:r>
        <w:rPr>
          <w:rFonts w:ascii="Times New Roman" w:hAnsi="Times New Roman" w:eastAsia="Times New Roman" w:cs="Times New Roman"/>
        </w:rPr>
        <w:t xml:space="preserve"> </w:t>
      </w:r>
      <w:r>
        <w:rPr>
          <w:rFonts w:ascii="Nirmala UI" w:hAnsi="Nirmala UI" w:eastAsia="Nirmala UI" w:cs="Nirmala UI"/>
        </w:rPr>
        <w:t>ꯊꯦꯡꯅꯈꯤꯕ</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ꯋꯥꯔꯣꯜꯁꯨ</w:t>
      </w:r>
      <w:r>
        <w:rPr>
          <w:rFonts w:ascii="Times New Roman" w:hAnsi="Times New Roman" w:eastAsia="Times New Roman" w:cs="Times New Roman"/>
        </w:rPr>
        <w:t xml:space="preserve"> </w:t>
      </w:r>
      <w:r>
        <w:rPr>
          <w:rFonts w:ascii="Nirmala UI" w:hAnsi="Nirmala UI" w:eastAsia="Nirmala UI" w:cs="Nirmala UI"/>
        </w:rPr>
        <w:t>ꯇꯥꯔꯛꯈꯤ꯫</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ꯌꯨꯝꯁꯤꯡꯗꯥ</w:t>
      </w:r>
      <w:r>
        <w:rPr>
          <w:rFonts w:ascii="Times New Roman" w:hAnsi="Times New Roman" w:eastAsia="Times New Roman" w:cs="Times New Roman"/>
        </w:rPr>
        <w:t xml:space="preserve"> </w:t>
      </w:r>
      <w:r>
        <w:rPr>
          <w:rFonts w:ascii="Nirmala UI" w:hAnsi="Nirmala UI" w:eastAsia="Nirmala UI" w:cs="Nirmala UI"/>
        </w:rPr>
        <w:t>ꯍꯪꯗꯣꯛꯂꯀꯤ</w:t>
      </w:r>
      <w:r>
        <w:rPr>
          <w:rFonts w:ascii="Times New Roman" w:hAnsi="Times New Roman" w:eastAsia="Times New Roman" w:cs="Times New Roman"/>
        </w:rPr>
        <w:t xml:space="preserve">, </w:t>
      </w:r>
      <w:r>
        <w:rPr>
          <w:rFonts w:ascii="Nirmala UI" w:hAnsi="Nirmala UI" w:eastAsia="Nirmala UI" w:cs="Nirmala UI"/>
        </w:rPr>
        <w:t>ꯈꯟꯅꯕ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ꯄ꯭ꯔꯥꯔꯊꯅꯥ</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ꯆꯠꯂꯝꯃꯤ꯫</w:t>
      </w:r>
      <w:r>
        <w:rPr>
          <w:rFonts w:ascii="Times New Roman" w:hAnsi="Times New Roman" w:eastAsia="Times New Roman" w:cs="Times New Roman"/>
        </w:rPr>
        <w:t xml:space="preserve"> </w:t>
      </w:r>
      <w:r>
        <w:rPr>
          <w:rFonts w:ascii="Nirmala UI" w:hAnsi="Nirmala UI" w:eastAsia="Nirmala UI" w:cs="Nirmala UI"/>
        </w:rPr>
        <w:t>ꯋꯥꯍꯟꯅꯥ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ꯅꯨꯡꯉꯥꯏꯒꯤ</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ꯆꯠꯂꯝꯃꯤ</w:t>
      </w:r>
      <w:r>
        <w:rPr>
          <w:rFonts w:ascii="Times New Roman" w:hAnsi="Times New Roman" w:eastAsia="Times New Roman" w:cs="Times New Roman"/>
        </w:rPr>
        <w:t xml:space="preserve">, </w:t>
      </w:r>
      <w:r>
        <w:rPr>
          <w:rFonts w:ascii="Nirmala UI" w:hAnsi="Nirmala UI" w:eastAsia="Nirmala UI" w:cs="Nirmala UI"/>
        </w:rPr>
        <w:t>ꯋꯥꯔꯤꯒꯤ</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ꯀ꯭ꯔꯨꯁꯤꯐꯤꯛꯁꯟꯒꯤ</w:t>
      </w:r>
      <w:r>
        <w:rPr>
          <w:rFonts w:ascii="Times New Roman" w:hAnsi="Times New Roman" w:eastAsia="Times New Roman" w:cs="Times New Roman"/>
        </w:rPr>
        <w:t xml:space="preserve"> </w:t>
      </w:r>
      <w:r>
        <w:rPr>
          <w:rFonts w:ascii="Nirmala UI" w:hAnsi="Nirmala UI" w:eastAsia="Nirmala UI" w:cs="Nirmala UI"/>
        </w:rPr>
        <w:t>ꯃꯔꯝꯁꯤꯡ</w:t>
      </w:r>
      <w:r>
        <w:rPr>
          <w:rFonts w:ascii="Times New Roman" w:hAnsi="Times New Roman" w:eastAsia="Times New Roman" w:cs="Times New Roman"/>
        </w:rPr>
        <w:t xml:space="preserve"> </w:t>
      </w:r>
      <w:r>
        <w:rPr>
          <w:rFonts w:ascii="Nirmala UI" w:hAnsi="Nirmala UI" w:eastAsia="Nirmala UI" w:cs="Nirmala UI"/>
        </w:rPr>
        <w:t>ꯃꯇꯧꯅꯥ</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ꯍꯥꯏꯔꯒꯥ꯫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ꯅꯨꯡꯁꯤꯡꯊꯤꯕ</w:t>
      </w:r>
      <w:r>
        <w:rPr>
          <w:rFonts w:ascii="Times New Roman" w:hAnsi="Times New Roman" w:eastAsia="Times New Roman" w:cs="Times New Roman"/>
        </w:rPr>
        <w:t xml:space="preserve"> </w:t>
      </w:r>
      <w:r>
        <w:rPr>
          <w:rFonts w:ascii="Nirmala UI" w:hAnsi="Nirmala UI" w:eastAsia="Nirmala UI" w:cs="Nirmala UI"/>
        </w:rPr>
        <w:t>ꯑꯣꯏꯔꯥꯏꯗꯦ꯫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ꯀ꯭ꯔꯣꯁꯀꯤ</w:t>
      </w:r>
      <w:r>
        <w:rPr>
          <w:rFonts w:ascii="Times New Roman" w:hAnsi="Times New Roman" w:eastAsia="Times New Roman" w:cs="Times New Roman"/>
        </w:rPr>
        <w:t xml:space="preserve"> </w:t>
      </w:r>
      <w:r>
        <w:rPr>
          <w:rFonts w:ascii="Nirmala UI" w:hAnsi="Nirmala UI" w:eastAsia="Nirmala UI" w:cs="Nirmala UI"/>
        </w:rPr>
        <w:t>ꯎꯃꯥꯡꯗꯥ</w:t>
      </w:r>
      <w:r>
        <w:rPr>
          <w:rFonts w:ascii="Times New Roman" w:hAnsi="Times New Roman" w:eastAsia="Times New Roman" w:cs="Times New Roman"/>
        </w:rPr>
        <w:t xml:space="preserve"> </w:t>
      </w:r>
      <w:r>
        <w:rPr>
          <w:rFonts w:ascii="Nirmala UI" w:hAnsi="Nirmala UI" w:eastAsia="Nirmala UI" w:cs="Nirmala UI"/>
        </w:rPr>
        <w:t>ꯆꯠꯂꯝꯃꯤ꯫</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“Wọ́n kò tíì ti ìrìn àjò wọn lọ jìnà nígbà tí àjèjì kan darapọ̀ mọ́ wọn, ṣùgbọ́n wọ́n ti bọ́ sínú ìbànújẹ́ àti ìrẹ̀wẹ̀sì wọn tó bẹ́ẹ̀ gẹ́ẹ́ tí wọn kò fi kíyèsára wo òun dáadáa. Wọ́n tẹ̀síwájú nínú ìjíròrò wọn, wọ́n ń sọ èrò inú ọkàn wọn jáde. Wọ́n ń ronú lórí àwọn ẹ̀kọ́ tí Kristi ti fún wọn, èyí tí ó dà bí ẹni pé wọn kò lè lóye. Bí wọ́n ṣe ń sọ̀rọ̀ nípa àwọn ìṣẹ̀lẹ̀ tí ó ti ṣẹlẹ̀, Jésù ń fẹ́ gidigidi láti tù wọ́n nínú. Ó ti rí ìbànújẹ́ wọn; Ó lóye àwọn èrò tí ó ń ta ko ara wọn, tí ó sì ń dá wọn lórí, tí ó mú ìrònú yìí wá sí ọkàn wọn pé, Ṣé Ọkùnrin yìí, ẹni tí ó jẹ́ kí a rẹ̀ ara rẹ̀ sílẹ̀ dé ìtẹ́júkòkòrò bẹ́ẹ̀, lè jẹ́ Kristi náà? Ìbànújẹ́ wọn kò ṣeé dí mọ́, wọ́n sì sunkún. Jésù mọ̀ pé ọkàn wọn ti di mọ́ Ọ nínú ìfẹ́, ó sì ń fẹ́ gidigidi láti nu omijé wọn kúrò, kí ó sì kún wọn fún ayọ̀ àti inú dídùn. Ṣùgbọ́n ó gbọdọ̀ kọ́kọ́ fún wọn ní àwọn ẹ̀kọ́ tí wọn kì yóò gbàgbé láéláé.</w:t>
      </w:r>
    </w:p>
    <w:p>
      <w:pPr>
        <w:pStyle w:val="ArticleScripture"/>
        <w:jc w:val="left"/>
      </w:pPr>
      <w:r>
        <w:rPr>
          <w:rFonts w:ascii="Times New Roman" w:hAnsi="Times New Roman" w:eastAsia="Times New Roman" w:cs="Times New Roman"/>
        </w:rPr>
        <w:t>“‘Oo ne a re ho bona, Ke puisano efe ena eo le e buisanang, ge le sa sepela, gomme le nyamile? Gomme yo mongwe wa bona, yo leina la gagwe e bego e le Kleopa, ge a araba a re go Yena, Na ke Wena feela moeti Jerusalema, gomme ga se wa tseba dilo tše di diregilego gona mehleng ye?’ Ba Mo anegela ka go nyamišega ga bona mabapi le Mong wa bona, ‘yo e bego e le moporofeta yo matla medirong le mantšung pele ga Modimo le pele ga setšhaba ka moka;’ eupša, ba re, ‘baperisita ba bagolo le babuši ba rena ba Mo gafetše gore a ahlolelwe lehu, gomme ba Mo kokotetše sefapanong.’ Ka dipelo tše di opšwego ke go nyamišega, le ka melomo ye e thothomelago, ba oketša ka gore, ‘Re be re holofetše gore ke Yena yo a tlago go lopolla Isiraele; gomme ntle le tše ka moka, lehono ke letšatši la boraro ge e sa le dilo tše di dirilwe.’”</w:t>
      </w:r>
    </w:p>
    <w:p>
      <w:pPr>
        <w:pStyle w:val="ArticleScripture"/>
        <w:jc w:val="left"/>
      </w:pPr>
      <w:r>
        <w:rPr>
          <w:rFonts w:ascii="Times New Roman" w:hAnsi="Times New Roman" w:eastAsia="Times New Roman" w:cs="Times New Roman"/>
        </w:rPr>
        <w:t>«</w:t>
      </w:r>
      <w:r>
        <w:rPr>
          <w:rFonts w:ascii="Ebrima" w:hAnsi="Ebrima" w:eastAsia="Ebrima" w:cs="Ebrima"/>
        </w:rPr>
        <w:t>ተማሪዎቹ</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አላስታወሱምና፣</w:t>
      </w:r>
      <w:r>
        <w:rPr>
          <w:rFonts w:ascii="Times New Roman" w:hAnsi="Times New Roman" w:eastAsia="Times New Roman" w:cs="Times New Roman"/>
        </w:rPr>
        <w:t xml:space="preserve"> </w:t>
      </w:r>
      <w:r>
        <w:rPr>
          <w:rFonts w:ascii="Ebrima" w:hAnsi="Ebrima" w:eastAsia="Ebrima" w:cs="Ebrima"/>
        </w:rPr>
        <w:t>የተፈጸመውን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ተናገረ</w:t>
      </w:r>
      <w:r>
        <w:rPr>
          <w:rFonts w:ascii="Times New Roman" w:hAnsi="Times New Roman" w:eastAsia="Times New Roman" w:cs="Times New Roman"/>
        </w:rPr>
        <w:t xml:space="preserve"> </w:t>
      </w:r>
      <w:r>
        <w:rPr>
          <w:rFonts w:ascii="Ebrima" w:hAnsi="Ebrima" w:eastAsia="Ebrima" w:cs="Ebrima"/>
        </w:rPr>
        <w:t>አላስተዋሉም</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እንግዳ</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የመግለጫው</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መጀመሪያው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እንደሚፈጸም፣</w:t>
      </w:r>
      <w:r>
        <w:rPr>
          <w:rFonts w:ascii="Times New Roman" w:hAnsi="Times New Roman" w:eastAsia="Times New Roman" w:cs="Times New Roman"/>
        </w:rPr>
        <w:t xml:space="preserve"> </w:t>
      </w:r>
      <w:r>
        <w:rPr>
          <w:rFonts w:ascii="Ebrima" w:hAnsi="Ebrima" w:eastAsia="Ebrima" w:cs="Ebrima"/>
        </w:rPr>
        <w:t>በሦስተኛውም</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እንደሚነሣ</w:t>
      </w:r>
      <w:r>
        <w:rPr>
          <w:rFonts w:ascii="Times New Roman" w:hAnsi="Times New Roman" w:eastAsia="Times New Roman" w:cs="Times New Roman"/>
        </w:rPr>
        <w:t xml:space="preserve"> </w:t>
      </w:r>
      <w:r>
        <w:rPr>
          <w:rFonts w:ascii="Ebrima" w:hAnsi="Ebrima" w:eastAsia="Ebrima" w:cs="Ebrima"/>
        </w:rPr>
        <w:t>አላስተዋሉም።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ሊያስታውሱት</w:t>
      </w:r>
      <w:r>
        <w:rPr>
          <w:rFonts w:ascii="Times New Roman" w:hAnsi="Times New Roman" w:eastAsia="Times New Roman" w:cs="Times New Roman"/>
        </w:rPr>
        <w:t xml:space="preserve"> </w:t>
      </w:r>
      <w:r>
        <w:rPr>
          <w:rFonts w:ascii="Ebrima" w:hAnsi="Ebrima" w:eastAsia="Ebrima" w:cs="Ebrima"/>
        </w:rPr>
        <w:t>የሚገባቸው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ካህናቱና</w:t>
      </w:r>
      <w:r>
        <w:rPr>
          <w:rFonts w:ascii="Times New Roman" w:hAnsi="Times New Roman" w:eastAsia="Times New Roman" w:cs="Times New Roman"/>
        </w:rPr>
        <w:t xml:space="preserve"> </w:t>
      </w:r>
      <w:r>
        <w:rPr>
          <w:rFonts w:ascii="Ebrima" w:hAnsi="Ebrima" w:eastAsia="Ebrima" w:cs="Ebrima"/>
        </w:rPr>
        <w:t>አለቆቹ</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አልረሱም።</w:t>
      </w:r>
      <w:r>
        <w:rPr>
          <w:rFonts w:ascii="Times New Roman" w:hAnsi="Times New Roman" w:eastAsia="Times New Roman" w:cs="Times New Roman"/>
        </w:rPr>
        <w:t xml:space="preserve"> ‘</w:t>
      </w:r>
      <w:r>
        <w:rPr>
          <w:rFonts w:ascii="Ebrima" w:hAnsi="Ebrima" w:eastAsia="Ebrima" w:cs="Ebrima"/>
        </w:rPr>
        <w:t>ከስንብቱ</w:t>
      </w:r>
      <w:r>
        <w:rPr>
          <w:rFonts w:ascii="Times New Roman" w:hAnsi="Times New Roman" w:eastAsia="Times New Roman" w:cs="Times New Roman"/>
        </w:rPr>
        <w:t xml:space="preserve"> </w:t>
      </w:r>
      <w:r>
        <w:rPr>
          <w:rFonts w:ascii="Ebrima" w:hAnsi="Ebrima" w:eastAsia="Ebrima" w:cs="Ebrima"/>
        </w:rPr>
        <w:t>ቀጥሎ</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የካህናት</w:t>
      </w:r>
      <w:r>
        <w:rPr>
          <w:rFonts w:ascii="Times New Roman" w:hAnsi="Times New Roman" w:eastAsia="Times New Roman" w:cs="Times New Roman"/>
        </w:rPr>
        <w:t xml:space="preserve"> </w:t>
      </w:r>
      <w:r>
        <w:rPr>
          <w:rFonts w:ascii="Ebrima" w:hAnsi="Ebrima" w:eastAsia="Ebrima" w:cs="Ebrima"/>
        </w:rPr>
        <w:t>አለቆችና</w:t>
      </w:r>
      <w:r>
        <w:rPr>
          <w:rFonts w:ascii="Times New Roman" w:hAnsi="Times New Roman" w:eastAsia="Times New Roman" w:cs="Times New Roman"/>
        </w:rPr>
        <w:t xml:space="preserve"> </w:t>
      </w:r>
      <w:r>
        <w:rPr>
          <w:rFonts w:ascii="Ebrima" w:hAnsi="Ebrima" w:eastAsia="Ebrima" w:cs="Ebrima"/>
        </w:rPr>
        <w:t>ፈሪሳውያን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ጲላጦስ</w:t>
      </w:r>
      <w:r>
        <w:rPr>
          <w:rFonts w:ascii="Times New Roman" w:hAnsi="Times New Roman" w:eastAsia="Times New Roman" w:cs="Times New Roman"/>
        </w:rPr>
        <w:t xml:space="preserve"> </w:t>
      </w:r>
      <w:r>
        <w:rPr>
          <w:rFonts w:ascii="Ebrima" w:hAnsi="Ebrima" w:eastAsia="Ebrima" w:cs="Ebrima"/>
        </w:rPr>
        <w:t>ተሰብስበው፣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አታላይ</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በሕይወት</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ከሦስት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እነሣለሁ</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ተናገረ</w:t>
      </w:r>
      <w:r>
        <w:rPr>
          <w:rFonts w:ascii="Times New Roman" w:hAnsi="Times New Roman" w:eastAsia="Times New Roman" w:cs="Times New Roman"/>
        </w:rPr>
        <w:t xml:space="preserve"> </w:t>
      </w:r>
      <w:r>
        <w:rPr>
          <w:rFonts w:ascii="Ebrima" w:hAnsi="Ebrima" w:eastAsia="Ebrima" w:cs="Ebrima"/>
        </w:rPr>
        <w:t>እናስታውሳለን</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ማቴዎስ</w:t>
      </w:r>
      <w:r>
        <w:rPr>
          <w:rFonts w:ascii="Times New Roman" w:hAnsi="Times New Roman" w:eastAsia="Times New Roman" w:cs="Times New Roman"/>
        </w:rPr>
        <w:t xml:space="preserve"> 27:62, 63</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ተማሪዎቹ</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አላስታወሱም።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“‘Apoi El le-a zis: O, nepricepuților și zăbavnici cu inima să credeți tot ce au spus prorocii! Nu trebuia oare Hristos să sufere aceste lucruri și să intre în slava Sa?’ Ucenicii se întrebau cine putea fi acest străin, de le pătrundea până în adâncul sufletului și vorbea cu atâta stăruință, duioșie și compătimire, și cu atâta plinătate de nădejde. Pentru întâia oară de la trădarea lui Hristos, au început să simtă nădejde. Adesea își aținteau privirea asupra Însoțitorului lor și gândeau că cuvintele Lui erau întocmai cuvintele pe care le-ar fi rostit Hristos. Erau cuprinși de uimire, iar inimile lor au început să bată de așteptare plină de bucurie.”</w:t>
      </w:r>
    </w:p>
    <w:p>
      <w:pPr>
        <w:pStyle w:val="ArticleScripture"/>
        <w:jc w:val="left"/>
      </w:pPr>
      <w:r>
        <w:rPr>
          <w:rFonts w:ascii="Times New Roman" w:hAnsi="Times New Roman" w:eastAsia="Times New Roman" w:cs="Times New Roman"/>
        </w:rPr>
        <w:t>“Laga soo bilaabo Muuse, oo ah Alfa-da qudheeda ee taariikhda Kitaabka Quduuska ah, Masiixu wuxuu ku fasiray Qorniinka oo dhan waxyaalihii isaga qudhiisa ku saabsanaa. Haddii uu markii hore isagu isu muujin lahaa iyaga, qalbigoodu wuu qanci lahaa. Buuxnaanta farxaddooda dhexdeeda wax kale uma ay gaajoon lahaayeen. Laakiin waxaa lagama maarmaan u ahayd inay fahmaan markhaatifurka ay noocyada iyo waxsii sheegyada Axdiga Hore isaga u sideen. Kuwaas ayay ahayd in rumaysadkoodu ku dhisnaado. Masiixu mucjiso ma samayn si uu iyaga uga dhaadhiciyo, laakiin hawshiisii ugu horraysay waxay ahayd inuu Qorniinka u fasiro. Waxay dhimashadiisii u arkeen burburka rajadoodii oo dhan. Haddaba wuxuu nebiyada ka tusay in taasu ay ahayd caddaynta ugu xoogga badan ee rumaysadkooda.”</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在教导这些门徒时</w:t>
      </w:r>
      <w:r>
        <w:rPr>
          <w:rFonts w:ascii="Times New Roman" w:hAnsi="Times New Roman" w:eastAsia="Times New Roman" w:cs="Times New Roman"/>
        </w:rPr>
        <w:t>,</w:t>
      </w:r>
      <w:r>
        <w:rPr>
          <w:rFonts w:ascii="Microsoft YaHei" w:hAnsi="Microsoft YaHei" w:eastAsia="Microsoft YaHei" w:cs="Microsoft YaHei"/>
        </w:rPr>
        <w:t>耶稣显明了旧约作为祂使命之见证的重要性</w:t>
      </w:r>
      <w:r>
        <w:rPr>
          <w:rFonts w:ascii="Times New Roman" w:hAnsi="Times New Roman" w:eastAsia="Times New Roman" w:cs="Times New Roman"/>
        </w:rPr>
        <w:t>.</w:t>
      </w:r>
      <w:r>
        <w:rPr>
          <w:rFonts w:ascii="Microsoft YaHei" w:hAnsi="Microsoft YaHei" w:eastAsia="Microsoft YaHei" w:cs="Microsoft YaHei"/>
        </w:rPr>
        <w:t>现今许多自称为基督徒的人弃绝旧约</w:t>
      </w:r>
      <w:r>
        <w:rPr>
          <w:rFonts w:ascii="Times New Roman" w:hAnsi="Times New Roman" w:eastAsia="Times New Roman" w:cs="Times New Roman"/>
        </w:rPr>
        <w:t>,</w:t>
      </w:r>
      <w:r>
        <w:rPr>
          <w:rFonts w:ascii="Microsoft YaHei" w:hAnsi="Microsoft YaHei" w:eastAsia="Microsoft YaHei" w:cs="Microsoft YaHei"/>
        </w:rPr>
        <w:t>声称它已毫无用处</w:t>
      </w:r>
      <w:r>
        <w:rPr>
          <w:rFonts w:ascii="Times New Roman" w:hAnsi="Times New Roman" w:eastAsia="Times New Roman" w:cs="Times New Roman"/>
        </w:rPr>
        <w:t>.</w:t>
      </w:r>
      <w:r>
        <w:rPr>
          <w:rFonts w:ascii="Microsoft YaHei" w:hAnsi="Microsoft YaHei" w:eastAsia="Microsoft YaHei" w:cs="Microsoft YaHei"/>
        </w:rPr>
        <w:t>但这并不是基督的教训</w:t>
      </w:r>
      <w:r>
        <w:rPr>
          <w:rFonts w:ascii="Times New Roman" w:hAnsi="Times New Roman" w:eastAsia="Times New Roman" w:cs="Times New Roman"/>
        </w:rPr>
        <w:t>.</w:t>
      </w:r>
      <w:r>
        <w:rPr>
          <w:rFonts w:ascii="Microsoft YaHei" w:hAnsi="Microsoft YaHei" w:eastAsia="Microsoft YaHei" w:cs="Microsoft YaHei"/>
        </w:rPr>
        <w:t>祂对旧约极其重视</w:t>
      </w:r>
      <w:r>
        <w:rPr>
          <w:rFonts w:ascii="Times New Roman" w:hAnsi="Times New Roman" w:eastAsia="Times New Roman" w:cs="Times New Roman"/>
        </w:rPr>
        <w:t>,</w:t>
      </w:r>
      <w:r>
        <w:rPr>
          <w:rFonts w:ascii="Microsoft YaHei" w:hAnsi="Microsoft YaHei" w:eastAsia="Microsoft YaHei" w:cs="Microsoft YaHei"/>
        </w:rPr>
        <w:t>甚至曾说：</w:t>
      </w:r>
      <w:r>
        <w:rPr>
          <w:rFonts w:ascii="Times New Roman" w:hAnsi="Times New Roman" w:eastAsia="Times New Roman" w:cs="Times New Roman"/>
        </w:rPr>
        <w:t>‘</w:t>
      </w:r>
      <w:r>
        <w:rPr>
          <w:rFonts w:ascii="Microsoft YaHei" w:hAnsi="Microsoft YaHei" w:eastAsia="Microsoft YaHei" w:cs="Microsoft YaHei"/>
        </w:rPr>
        <w:t>若不听从摩西和先知的话</w:t>
      </w:r>
      <w:r>
        <w:rPr>
          <w:rFonts w:ascii="Times New Roman" w:hAnsi="Times New Roman" w:eastAsia="Times New Roman" w:cs="Times New Roman"/>
        </w:rPr>
        <w:t>,</w:t>
      </w:r>
      <w:r>
        <w:rPr>
          <w:rFonts w:ascii="Microsoft YaHei" w:hAnsi="Microsoft YaHei" w:eastAsia="Microsoft YaHei" w:cs="Microsoft YaHei"/>
        </w:rPr>
        <w:t>就是有一个从死里复活的</w:t>
      </w:r>
      <w:r>
        <w:rPr>
          <w:rFonts w:ascii="Times New Roman" w:hAnsi="Times New Roman" w:eastAsia="Times New Roman" w:cs="Times New Roman"/>
        </w:rPr>
        <w:t>,</w:t>
      </w:r>
      <w:r>
        <w:rPr>
          <w:rFonts w:ascii="Microsoft YaHei" w:hAnsi="Microsoft YaHei" w:eastAsia="Microsoft YaHei" w:cs="Microsoft YaHei"/>
        </w:rPr>
        <w:t>他们也是不听劝</w:t>
      </w:r>
      <w:r>
        <w:rPr>
          <w:rFonts w:ascii="Times New Roman" w:hAnsi="Times New Roman" w:eastAsia="Times New Roman" w:cs="Times New Roman"/>
        </w:rPr>
        <w:t>.’</w:t>
      </w:r>
      <w:r>
        <w:rPr>
          <w:rFonts w:ascii="Microsoft YaHei" w:hAnsi="Microsoft YaHei" w:eastAsia="Microsoft YaHei" w:cs="Microsoft YaHei"/>
        </w:rPr>
        <w:t>路加福音</w:t>
      </w:r>
      <w:r>
        <w:rPr>
          <w:rFonts w:ascii="Times New Roman" w:hAnsi="Times New Roman" w:eastAsia="Times New Roman" w:cs="Times New Roman"/>
        </w:rPr>
        <w:t xml:space="preserve"> 16:31.”</w:t>
      </w:r>
    </w:p>
    <w:p>
      <w:pPr>
        <w:pStyle w:val="ArticleScripture"/>
        <w:jc w:val="left"/>
      </w:pPr>
      <w:r>
        <w:rPr>
          <w:rFonts w:ascii="Times New Roman" w:hAnsi="Times New Roman" w:eastAsia="Times New Roman" w:cs="Times New Roman"/>
        </w:rPr>
        <w:t>« C’est la voix du Christ qui parle par l’intermédiaire des patriarches et des prophètes, depuis les jours d’Adam jusqu’aux scènes finales du temps. Le Sauveur est révélé dans l’Ancien Testament avec autant de clarté que dans le Nouveau. C’est la lumière du passé prophétique qui fait ressortir, avec clarté et beauté, la vie du Christ et les enseignements du Nouveau Testament. Les miracles du Christ sont une preuve de sa divinité ; mais une preuve plus forte encore qu’il est le Rédempteur du monde se trouve dans la comparaison des prophéties de l’Ancien Testament avec l’histoire du Nouveau. »</w:t>
      </w:r>
    </w:p>
    <w:p>
      <w:pPr>
        <w:pStyle w:val="ArticleScripture"/>
        <w:jc w:val="left"/>
      </w:pPr>
      <w:r>
        <w:rPr>
          <w:rFonts w:ascii="Microsoft YaHei" w:hAnsi="Microsoft YaHei" w:eastAsia="Microsoft YaHei" w:cs="Microsoft YaHei"/>
        </w:rPr>
        <w:t>「預言</w:t>
      </w:r>
      <w:r>
        <w:rPr>
          <w:rFonts w:ascii="MS Gothic" w:hAnsi="MS Gothic" w:eastAsia="MS Gothic" w:cs="MS Gothic"/>
        </w:rPr>
        <w:t>に</w:t>
      </w:r>
      <w:r>
        <w:rPr>
          <w:rFonts w:ascii="Microsoft YaHei" w:hAnsi="Microsoft YaHei" w:eastAsia="Microsoft YaHei" w:cs="Microsoft YaHei"/>
        </w:rPr>
        <w:t>基</w:t>
      </w:r>
      <w:r>
        <w:rPr>
          <w:rFonts w:ascii="MS Gothic" w:hAnsi="MS Gothic" w:eastAsia="MS Gothic" w:cs="MS Gothic"/>
        </w:rPr>
        <w:t>づいて</w:t>
      </w:r>
      <w:r>
        <w:rPr>
          <w:rFonts w:ascii="Microsoft YaHei" w:hAnsi="Microsoft YaHei" w:eastAsia="Microsoft YaHei" w:cs="Microsoft YaHei"/>
        </w:rPr>
        <w:t>論</w:t>
      </w:r>
      <w:r>
        <w:rPr>
          <w:rFonts w:ascii="MS Gothic" w:hAnsi="MS Gothic" w:eastAsia="MS Gothic" w:cs="MS Gothic"/>
        </w:rPr>
        <w:t>じながら</w:t>
      </w:r>
      <w:r>
        <w:rPr>
          <w:rFonts w:ascii="Microsoft YaHei" w:hAnsi="Microsoft YaHei" w:eastAsia="Microsoft YaHei" w:cs="Microsoft YaHei"/>
        </w:rPr>
        <w:t>、</w:t>
      </w:r>
      <w:r>
        <w:rPr>
          <w:rFonts w:ascii="MS Gothic" w:hAnsi="MS Gothic" w:eastAsia="MS Gothic" w:cs="MS Gothic"/>
        </w:rPr>
        <w:t>キリストは</w:t>
      </w:r>
      <w:r>
        <w:rPr>
          <w:rFonts w:ascii="Microsoft YaHei" w:hAnsi="Microsoft YaHei" w:eastAsia="Microsoft YaHei" w:cs="Microsoft YaHei"/>
        </w:rPr>
        <w:t>御自分</w:t>
      </w:r>
      <w:r>
        <w:rPr>
          <w:rFonts w:ascii="MS Gothic" w:hAnsi="MS Gothic" w:eastAsia="MS Gothic" w:cs="MS Gothic"/>
        </w:rPr>
        <w:t>が</w:t>
      </w:r>
      <w:r>
        <w:rPr>
          <w:rFonts w:ascii="Microsoft YaHei" w:hAnsi="Microsoft YaHei" w:eastAsia="Microsoft YaHei" w:cs="Microsoft YaHei"/>
        </w:rPr>
        <w:t>人性</w:t>
      </w:r>
      <w:r>
        <w:rPr>
          <w:rFonts w:ascii="MS Gothic" w:hAnsi="MS Gothic" w:eastAsia="MS Gothic" w:cs="MS Gothic"/>
        </w:rPr>
        <w:t>においていかなるお</w:t>
      </w:r>
      <w:r>
        <w:rPr>
          <w:rFonts w:ascii="Microsoft YaHei" w:hAnsi="Microsoft YaHei" w:eastAsia="Microsoft YaHei" w:cs="Microsoft YaHei"/>
        </w:rPr>
        <w:t>方</w:t>
      </w:r>
      <w:r>
        <w:rPr>
          <w:rFonts w:ascii="MS Gothic" w:hAnsi="MS Gothic" w:eastAsia="MS Gothic" w:cs="MS Gothic"/>
        </w:rPr>
        <w:t>であるべきかについて</w:t>
      </w:r>
      <w:r>
        <w:rPr>
          <w:rFonts w:ascii="Microsoft YaHei" w:hAnsi="Microsoft YaHei" w:eastAsia="Microsoft YaHei" w:cs="Microsoft YaHei"/>
        </w:rPr>
        <w:t>、弟子</w:t>
      </w:r>
      <w:r>
        <w:rPr>
          <w:rFonts w:ascii="MS Gothic" w:hAnsi="MS Gothic" w:eastAsia="MS Gothic" w:cs="MS Gothic"/>
        </w:rPr>
        <w:t>たちに</w:t>
      </w:r>
      <w:r>
        <w:rPr>
          <w:rFonts w:ascii="Microsoft YaHei" w:hAnsi="Microsoft YaHei" w:eastAsia="Microsoft YaHei" w:cs="Microsoft YaHei"/>
        </w:rPr>
        <w:t>正</w:t>
      </w:r>
      <w:r>
        <w:rPr>
          <w:rFonts w:ascii="MS Gothic" w:hAnsi="MS Gothic" w:eastAsia="MS Gothic" w:cs="MS Gothic"/>
        </w:rPr>
        <w:t>しい</w:t>
      </w:r>
      <w:r>
        <w:rPr>
          <w:rFonts w:ascii="Microsoft YaHei" w:hAnsi="Microsoft YaHei" w:eastAsia="Microsoft YaHei" w:cs="Microsoft YaHei"/>
        </w:rPr>
        <w:t>理解</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えられた</w:t>
      </w:r>
      <w:r>
        <w:rPr>
          <w:rFonts w:ascii="Times New Roman" w:hAnsi="Times New Roman" w:eastAsia="Times New Roman" w:cs="Times New Roman"/>
        </w:rPr>
        <w:t>.</w:t>
      </w:r>
      <w:r>
        <w:rPr>
          <w:rFonts w:ascii="Microsoft YaHei" w:hAnsi="Microsoft YaHei" w:eastAsia="Microsoft YaHei" w:cs="Microsoft YaHei"/>
        </w:rPr>
        <w:t>人々</w:t>
      </w:r>
      <w:r>
        <w:rPr>
          <w:rFonts w:ascii="MS Gothic" w:hAnsi="MS Gothic" w:eastAsia="MS Gothic" w:cs="MS Gothic"/>
        </w:rPr>
        <w:t>の</w:t>
      </w:r>
      <w:r>
        <w:rPr>
          <w:rFonts w:ascii="Microsoft YaHei" w:hAnsi="Microsoft YaHei" w:eastAsia="Microsoft YaHei" w:cs="Microsoft YaHei"/>
        </w:rPr>
        <w:t>願望</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ってその</w:t>
      </w:r>
      <w:r>
        <w:rPr>
          <w:rFonts w:ascii="Microsoft YaHei" w:hAnsi="Microsoft YaHei" w:eastAsia="Microsoft YaHei" w:cs="Microsoft YaHei"/>
        </w:rPr>
        <w:t>御座</w:t>
      </w:r>
      <w:r>
        <w:rPr>
          <w:rFonts w:ascii="MS Gothic" w:hAnsi="MS Gothic" w:eastAsia="MS Gothic" w:cs="MS Gothic"/>
        </w:rPr>
        <w:t>と</w:t>
      </w:r>
      <w:r>
        <w:rPr>
          <w:rFonts w:ascii="Microsoft YaHei" w:hAnsi="Microsoft YaHei" w:eastAsia="Microsoft YaHei" w:cs="Microsoft YaHei"/>
        </w:rPr>
        <w:t>王権</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るメシヤに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期待</w:t>
      </w:r>
      <w:r>
        <w:rPr>
          <w:rFonts w:ascii="MS Gothic" w:hAnsi="MS Gothic" w:eastAsia="MS Gothic" w:cs="MS Gothic"/>
        </w:rPr>
        <w:t>は</w:t>
      </w:r>
      <w:r>
        <w:rPr>
          <w:rFonts w:ascii="Microsoft YaHei" w:hAnsi="Microsoft YaHei" w:eastAsia="Microsoft YaHei" w:cs="Microsoft YaHei"/>
        </w:rPr>
        <w:t>、誤</w:t>
      </w:r>
      <w:r>
        <w:rPr>
          <w:rFonts w:ascii="MS Gothic" w:hAnsi="MS Gothic" w:eastAsia="MS Gothic" w:cs="MS Gothic"/>
        </w:rPr>
        <w:t>った</w:t>
      </w:r>
      <w:r>
        <w:rPr>
          <w:rFonts w:ascii="Microsoft YaHei" w:hAnsi="Microsoft YaHei" w:eastAsia="Microsoft YaHei" w:cs="Microsoft YaHei"/>
        </w:rPr>
        <w:t>導</w:t>
      </w:r>
      <w:r>
        <w:rPr>
          <w:rFonts w:ascii="MS Gothic" w:hAnsi="MS Gothic" w:eastAsia="MS Gothic" w:cs="MS Gothic"/>
        </w:rPr>
        <w:t>きとなっていた</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占</w:t>
      </w:r>
      <w:r>
        <w:rPr>
          <w:rFonts w:ascii="MS Gothic" w:hAnsi="MS Gothic" w:eastAsia="MS Gothic" w:cs="MS Gothic"/>
        </w:rPr>
        <w:t>め</w:t>
      </w:r>
      <w:r>
        <w:rPr>
          <w:rFonts w:ascii="Microsoft YaHei" w:hAnsi="Microsoft YaHei" w:eastAsia="Microsoft YaHei" w:cs="Microsoft YaHei"/>
        </w:rPr>
        <w:t>得</w:t>
      </w:r>
      <w:r>
        <w:rPr>
          <w:rFonts w:ascii="MS Gothic" w:hAnsi="MS Gothic" w:eastAsia="MS Gothic" w:cs="MS Gothic"/>
        </w:rPr>
        <w:t>る</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高</w:t>
      </w:r>
      <w:r>
        <w:rPr>
          <w:rFonts w:ascii="MS Gothic" w:hAnsi="MS Gothic" w:eastAsia="MS Gothic" w:cs="MS Gothic"/>
        </w:rPr>
        <w:t>い</w:t>
      </w:r>
      <w:r>
        <w:rPr>
          <w:rFonts w:ascii="Microsoft YaHei" w:hAnsi="Microsoft YaHei" w:eastAsia="Microsoft YaHei" w:cs="Microsoft YaHei"/>
        </w:rPr>
        <w:t>地位</w:t>
      </w:r>
      <w:r>
        <w:rPr>
          <w:rFonts w:ascii="MS Gothic" w:hAnsi="MS Gothic" w:eastAsia="MS Gothic" w:cs="MS Gothic"/>
        </w:rPr>
        <w:t>から</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低</w:t>
      </w:r>
      <w:r>
        <w:rPr>
          <w:rFonts w:ascii="MS Gothic" w:hAnsi="MS Gothic" w:eastAsia="MS Gothic" w:cs="MS Gothic"/>
        </w:rPr>
        <w:t>い</w:t>
      </w:r>
      <w:r>
        <w:rPr>
          <w:rFonts w:ascii="Microsoft YaHei" w:hAnsi="Microsoft YaHei" w:eastAsia="Microsoft YaHei" w:cs="Microsoft YaHei"/>
        </w:rPr>
        <w:t>地位</w:t>
      </w:r>
      <w:r>
        <w:rPr>
          <w:rFonts w:ascii="MS Gothic" w:hAnsi="MS Gothic" w:eastAsia="MS Gothic" w:cs="MS Gothic"/>
        </w:rPr>
        <w:t>へと</w:t>
      </w:r>
      <w:r>
        <w:rPr>
          <w:rFonts w:ascii="Microsoft YaHei" w:hAnsi="Microsoft YaHei" w:eastAsia="Microsoft YaHei" w:cs="Microsoft YaHei"/>
        </w:rPr>
        <w:t>降</w:t>
      </w:r>
      <w:r>
        <w:rPr>
          <w:rFonts w:ascii="MS Gothic" w:hAnsi="MS Gothic" w:eastAsia="MS Gothic" w:cs="MS Gothic"/>
        </w:rPr>
        <w:t>られたことを</w:t>
      </w:r>
      <w:r>
        <w:rPr>
          <w:rFonts w:ascii="Microsoft YaHei" w:hAnsi="Microsoft YaHei" w:eastAsia="Microsoft YaHei" w:cs="Microsoft YaHei"/>
        </w:rPr>
        <w:t>、正</w:t>
      </w:r>
      <w:r>
        <w:rPr>
          <w:rFonts w:ascii="MS Gothic" w:hAnsi="MS Gothic" w:eastAsia="MS Gothic" w:cs="MS Gothic"/>
        </w:rPr>
        <w:t>しく</w:t>
      </w:r>
      <w:r>
        <w:rPr>
          <w:rFonts w:ascii="Microsoft YaHei" w:hAnsi="Microsoft YaHei" w:eastAsia="Microsoft YaHei" w:cs="Microsoft YaHei"/>
        </w:rPr>
        <w:t>把握</w:t>
      </w:r>
      <w:r>
        <w:rPr>
          <w:rFonts w:ascii="MS Gothic" w:hAnsi="MS Gothic" w:eastAsia="MS Gothic" w:cs="MS Gothic"/>
        </w:rPr>
        <w:t>する</w:t>
      </w:r>
      <w:r>
        <w:rPr>
          <w:rFonts w:ascii="Microsoft YaHei" w:hAnsi="Microsoft YaHei" w:eastAsia="Microsoft YaHei" w:cs="Microsoft YaHei"/>
        </w:rPr>
        <w:t>妨</w:t>
      </w:r>
      <w:r>
        <w:rPr>
          <w:rFonts w:ascii="MS Gothic" w:hAnsi="MS Gothic" w:eastAsia="MS Gothic" w:cs="MS Gothic"/>
        </w:rPr>
        <w:t>げとなるのであった</w:t>
      </w:r>
      <w:r>
        <w:rPr>
          <w:rFonts w:ascii="Times New Roman" w:hAnsi="Times New Roman" w:eastAsia="Times New Roman" w:cs="Times New Roman"/>
        </w:rPr>
        <w:t>.</w:t>
      </w:r>
      <w:r>
        <w:rPr>
          <w:rFonts w:ascii="MS Gothic" w:hAnsi="MS Gothic" w:eastAsia="MS Gothic" w:cs="MS Gothic"/>
        </w:rPr>
        <w:t>キリストは</w:t>
      </w:r>
      <w:r>
        <w:rPr>
          <w:rFonts w:ascii="Microsoft YaHei" w:hAnsi="Microsoft YaHei" w:eastAsia="Microsoft YaHei" w:cs="Microsoft YaHei"/>
        </w:rPr>
        <w:t>、弟子</w:t>
      </w:r>
      <w:r>
        <w:rPr>
          <w:rFonts w:ascii="MS Gothic" w:hAnsi="MS Gothic" w:eastAsia="MS Gothic" w:cs="MS Gothic"/>
        </w:rPr>
        <w:t>たちの</w:t>
      </w:r>
      <w:r>
        <w:rPr>
          <w:rFonts w:ascii="Microsoft YaHei" w:hAnsi="Microsoft YaHei" w:eastAsia="Microsoft YaHei" w:cs="Microsoft YaHei"/>
        </w:rPr>
        <w:t>観念</w:t>
      </w:r>
      <w:r>
        <w:rPr>
          <w:rFonts w:ascii="MS Gothic" w:hAnsi="MS Gothic" w:eastAsia="MS Gothic" w:cs="MS Gothic"/>
        </w:rPr>
        <w:t>があらゆる</w:t>
      </w:r>
      <w:r>
        <w:rPr>
          <w:rFonts w:ascii="Microsoft YaHei" w:hAnsi="Microsoft YaHei" w:eastAsia="Microsoft YaHei" w:cs="Microsoft YaHei"/>
        </w:rPr>
        <w:t>点</w:t>
      </w:r>
      <w:r>
        <w:rPr>
          <w:rFonts w:ascii="MS Gothic" w:hAnsi="MS Gothic" w:eastAsia="MS Gothic" w:cs="MS Gothic"/>
        </w:rPr>
        <w:t>において</w:t>
      </w:r>
      <w:r>
        <w:rPr>
          <w:rFonts w:ascii="Microsoft YaHei" w:hAnsi="Microsoft YaHei" w:eastAsia="Microsoft YaHei" w:cs="Microsoft YaHei"/>
        </w:rPr>
        <w:t>純粋</w:t>
      </w:r>
      <w:r>
        <w:rPr>
          <w:rFonts w:ascii="MS Gothic" w:hAnsi="MS Gothic" w:eastAsia="MS Gothic" w:cs="MS Gothic"/>
        </w:rPr>
        <w:t>で</w:t>
      </w:r>
      <w:r>
        <w:rPr>
          <w:rFonts w:ascii="Microsoft YaHei" w:hAnsi="Microsoft YaHei" w:eastAsia="Microsoft YaHei" w:cs="Microsoft YaHei"/>
        </w:rPr>
        <w:t>真実</w:t>
      </w:r>
      <w:r>
        <w:rPr>
          <w:rFonts w:ascii="MS Gothic" w:hAnsi="MS Gothic" w:eastAsia="MS Gothic" w:cs="MS Gothic"/>
        </w:rPr>
        <w:t>であることを</w:t>
      </w:r>
      <w:r>
        <w:rPr>
          <w:rFonts w:ascii="Microsoft YaHei" w:hAnsi="Microsoft YaHei" w:eastAsia="Microsoft YaHei" w:cs="Microsoft YaHei"/>
        </w:rPr>
        <w:t>望</w:t>
      </w:r>
      <w:r>
        <w:rPr>
          <w:rFonts w:ascii="MS Gothic" w:hAnsi="MS Gothic" w:eastAsia="MS Gothic" w:cs="MS Gothic"/>
        </w:rPr>
        <w:t>まれた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、御自分</w:t>
      </w:r>
      <w:r>
        <w:rPr>
          <w:rFonts w:ascii="MS Gothic" w:hAnsi="MS Gothic" w:eastAsia="MS Gothic" w:cs="MS Gothic"/>
        </w:rPr>
        <w:t>に</w:t>
      </w:r>
      <w:r>
        <w:rPr>
          <w:rFonts w:ascii="Microsoft YaHei" w:hAnsi="Microsoft YaHei" w:eastAsia="Microsoft YaHei" w:cs="Microsoft YaHei"/>
        </w:rPr>
        <w:t>割</w:t>
      </w:r>
      <w:r>
        <w:rPr>
          <w:rFonts w:ascii="MS Gothic" w:hAnsi="MS Gothic" w:eastAsia="MS Gothic" w:cs="MS Gothic"/>
        </w:rPr>
        <w:t>り</w:t>
      </w:r>
      <w:r>
        <w:rPr>
          <w:rFonts w:ascii="Microsoft YaHei" w:hAnsi="Microsoft YaHei" w:eastAsia="Microsoft YaHei" w:cs="Microsoft YaHei"/>
        </w:rPr>
        <w:t>当</w:t>
      </w:r>
      <w:r>
        <w:rPr>
          <w:rFonts w:ascii="MS Gothic" w:hAnsi="MS Gothic" w:eastAsia="MS Gothic" w:cs="MS Gothic"/>
        </w:rPr>
        <w:t>てられた</w:t>
      </w:r>
      <w:r>
        <w:rPr>
          <w:rFonts w:ascii="Microsoft YaHei" w:hAnsi="Microsoft YaHei" w:eastAsia="Microsoft YaHei" w:cs="Microsoft YaHei"/>
        </w:rPr>
        <w:t>苦難</w:t>
      </w:r>
      <w:r>
        <w:rPr>
          <w:rFonts w:ascii="MS Gothic" w:hAnsi="MS Gothic" w:eastAsia="MS Gothic" w:cs="MS Gothic"/>
        </w:rPr>
        <w:t>の</w:t>
      </w:r>
      <w:r>
        <w:rPr>
          <w:rFonts w:ascii="Microsoft YaHei" w:hAnsi="Microsoft YaHei" w:eastAsia="Microsoft YaHei" w:cs="Microsoft YaHei"/>
        </w:rPr>
        <w:t>杯</w:t>
      </w:r>
      <w:r>
        <w:rPr>
          <w:rFonts w:ascii="MS Gothic" w:hAnsi="MS Gothic" w:eastAsia="MS Gothic" w:cs="MS Gothic"/>
        </w:rPr>
        <w:t>について</w:t>
      </w:r>
      <w:r>
        <w:rPr>
          <w:rFonts w:ascii="Microsoft YaHei" w:hAnsi="Microsoft YaHei" w:eastAsia="Microsoft YaHei" w:cs="Microsoft YaHei"/>
        </w:rPr>
        <w:t>、</w:t>
      </w:r>
      <w:r>
        <w:rPr>
          <w:rFonts w:ascii="MS Gothic" w:hAnsi="MS Gothic" w:eastAsia="MS Gothic" w:cs="MS Gothic"/>
        </w:rPr>
        <w:t>できる</w:t>
      </w:r>
      <w:r>
        <w:rPr>
          <w:rFonts w:ascii="Microsoft YaHei" w:hAnsi="Microsoft YaHei" w:eastAsia="Microsoft YaHei" w:cs="Microsoft YaHei"/>
        </w:rPr>
        <w:t>限</w:t>
      </w:r>
      <w:r>
        <w:rPr>
          <w:rFonts w:ascii="MS Gothic" w:hAnsi="MS Gothic" w:eastAsia="MS Gothic" w:cs="MS Gothic"/>
        </w:rPr>
        <w:t>り</w:t>
      </w:r>
      <w:r>
        <w:rPr>
          <w:rFonts w:ascii="Microsoft YaHei" w:hAnsi="Microsoft YaHei" w:eastAsia="Microsoft YaHei" w:cs="Microsoft YaHei"/>
        </w:rPr>
        <w:t>理解</w:t>
      </w:r>
      <w:r>
        <w:rPr>
          <w:rFonts w:ascii="MS Gothic" w:hAnsi="MS Gothic" w:eastAsia="MS Gothic" w:cs="MS Gothic"/>
        </w:rPr>
        <w:t>しなければならなかった</w:t>
      </w:r>
      <w:r>
        <w:rPr>
          <w:rFonts w:ascii="Times New Roman" w:hAnsi="Times New Roman" w:eastAsia="Times New Roman" w:cs="Times New Roman"/>
        </w:rPr>
        <w:t>.</w:t>
      </w:r>
      <w:r>
        <w:rPr>
          <w:rFonts w:ascii="MS Gothic" w:hAnsi="MS Gothic" w:eastAsia="MS Gothic" w:cs="MS Gothic"/>
        </w:rPr>
        <w:t>キリストは</w:t>
      </w:r>
      <w:r>
        <w:rPr>
          <w:rFonts w:ascii="Microsoft YaHei" w:hAnsi="Microsoft YaHei" w:eastAsia="Microsoft YaHei" w:cs="Microsoft YaHei"/>
        </w:rPr>
        <w:t>、彼</w:t>
      </w:r>
      <w:r>
        <w:rPr>
          <w:rFonts w:ascii="MS Gothic" w:hAnsi="MS Gothic" w:eastAsia="MS Gothic" w:cs="MS Gothic"/>
        </w:rPr>
        <w:t>らにはなお</w:t>
      </w:r>
      <w:r>
        <w:rPr>
          <w:rFonts w:ascii="Microsoft YaHei" w:hAnsi="Microsoft YaHei" w:eastAsia="Microsoft YaHei" w:cs="Microsoft YaHei"/>
        </w:rPr>
        <w:t>理解</w:t>
      </w:r>
      <w:r>
        <w:rPr>
          <w:rFonts w:ascii="MS Gothic" w:hAnsi="MS Gothic" w:eastAsia="MS Gothic" w:cs="MS Gothic"/>
        </w:rPr>
        <w:t>し</w:t>
      </w:r>
      <w:r>
        <w:rPr>
          <w:rFonts w:ascii="Microsoft YaHei" w:hAnsi="Microsoft YaHei" w:eastAsia="Microsoft YaHei" w:cs="Microsoft YaHei"/>
        </w:rPr>
        <w:t>得</w:t>
      </w:r>
      <w:r>
        <w:rPr>
          <w:rFonts w:ascii="MS Gothic" w:hAnsi="MS Gothic" w:eastAsia="MS Gothic" w:cs="MS Gothic"/>
        </w:rPr>
        <w:t>ないその</w:t>
      </w:r>
      <w:r>
        <w:rPr>
          <w:rFonts w:ascii="Microsoft YaHei" w:hAnsi="Microsoft YaHei" w:eastAsia="Microsoft YaHei" w:cs="Microsoft YaHei"/>
        </w:rPr>
        <w:t>恐</w:t>
      </w:r>
      <w:r>
        <w:rPr>
          <w:rFonts w:ascii="MS Gothic" w:hAnsi="MS Gothic" w:eastAsia="MS Gothic" w:cs="MS Gothic"/>
        </w:rPr>
        <w:t>るべき</w:t>
      </w:r>
      <w:r>
        <w:rPr>
          <w:rFonts w:ascii="Microsoft YaHei" w:hAnsi="Microsoft YaHei" w:eastAsia="Microsoft YaHei" w:cs="Microsoft YaHei"/>
        </w:rPr>
        <w:t>闘争</w:t>
      </w:r>
      <w:r>
        <w:rPr>
          <w:rFonts w:ascii="MS Gothic" w:hAnsi="MS Gothic" w:eastAsia="MS Gothic" w:cs="MS Gothic"/>
        </w:rPr>
        <w:t>が</w:t>
      </w:r>
      <w:r>
        <w:rPr>
          <w:rFonts w:ascii="Microsoft YaHei" w:hAnsi="Microsoft YaHei" w:eastAsia="Microsoft YaHei" w:cs="Microsoft YaHei"/>
        </w:rPr>
        <w:t>、世界</w:t>
      </w:r>
      <w:r>
        <w:rPr>
          <w:rFonts w:ascii="MS Gothic" w:hAnsi="MS Gothic" w:eastAsia="MS Gothic" w:cs="MS Gothic"/>
        </w:rPr>
        <w:t>の</w:t>
      </w:r>
      <w:r>
        <w:rPr>
          <w:rFonts w:ascii="Microsoft YaHei" w:hAnsi="Microsoft YaHei" w:eastAsia="Microsoft YaHei" w:cs="Microsoft YaHei"/>
        </w:rPr>
        <w:t>基</w:t>
      </w:r>
      <w:r>
        <w:rPr>
          <w:rFonts w:ascii="MS Gothic" w:hAnsi="MS Gothic" w:eastAsia="MS Gothic" w:cs="MS Gothic"/>
        </w:rPr>
        <w:t>が</w:t>
      </w:r>
      <w:r>
        <w:rPr>
          <w:rFonts w:ascii="Microsoft YaHei" w:hAnsi="Microsoft YaHei" w:eastAsia="Microsoft YaHei" w:cs="Microsoft YaHei"/>
        </w:rPr>
        <w:t>据</w:t>
      </w:r>
      <w:r>
        <w:rPr>
          <w:rFonts w:ascii="MS Gothic" w:hAnsi="MS Gothic" w:eastAsia="MS Gothic" w:cs="MS Gothic"/>
        </w:rPr>
        <w:t>えられる</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結</w:t>
      </w:r>
      <w:r>
        <w:rPr>
          <w:rFonts w:ascii="MS Gothic" w:hAnsi="MS Gothic" w:eastAsia="MS Gothic" w:cs="MS Gothic"/>
        </w:rPr>
        <w:t>ばれた</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であることを</w:t>
      </w:r>
      <w:r>
        <w:rPr>
          <w:rFonts w:ascii="Microsoft YaHei" w:hAnsi="Microsoft YaHei" w:eastAsia="Microsoft YaHei" w:cs="Microsoft YaHei"/>
        </w:rPr>
        <w:t>示</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キリストは</w:t>
      </w:r>
      <w:r>
        <w:rPr>
          <w:rFonts w:ascii="Microsoft YaHei" w:hAnsi="Microsoft YaHei" w:eastAsia="Microsoft YaHei" w:cs="Microsoft YaHei"/>
        </w:rPr>
        <w:t>死</w:t>
      </w:r>
      <w:r>
        <w:rPr>
          <w:rFonts w:ascii="MS Gothic" w:hAnsi="MS Gothic" w:eastAsia="MS Gothic" w:cs="MS Gothic"/>
        </w:rPr>
        <w:t>なねばならなかった</w:t>
      </w:r>
      <w:r>
        <w:rPr>
          <w:rFonts w:ascii="Times New Roman" w:hAnsi="Times New Roman" w:eastAsia="Times New Roman" w:cs="Times New Roman"/>
        </w:rPr>
        <w:t>.</w:t>
      </w:r>
      <w:r>
        <w:rPr>
          <w:rFonts w:ascii="Microsoft YaHei" w:hAnsi="Microsoft YaHei" w:eastAsia="Microsoft YaHei" w:cs="Microsoft YaHei"/>
        </w:rPr>
        <w:t>律法</w:t>
      </w:r>
      <w:r>
        <w:rPr>
          <w:rFonts w:ascii="MS Gothic" w:hAnsi="MS Gothic" w:eastAsia="MS Gothic" w:cs="MS Gothic"/>
        </w:rPr>
        <w:t>のすべての</w:t>
      </w:r>
      <w:r>
        <w:rPr>
          <w:rFonts w:ascii="Microsoft YaHei" w:hAnsi="Microsoft YaHei" w:eastAsia="Microsoft YaHei" w:cs="Microsoft YaHei"/>
        </w:rPr>
        <w:t>違反者</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もし</w:t>
      </w:r>
      <w:r>
        <w:rPr>
          <w:rFonts w:ascii="Microsoft YaHei" w:hAnsi="Microsoft YaHei" w:eastAsia="Microsoft YaHei" w:cs="Microsoft YaHei"/>
        </w:rPr>
        <w:t>罪</w:t>
      </w:r>
      <w:r>
        <w:rPr>
          <w:rFonts w:ascii="MS Gothic" w:hAnsi="MS Gothic" w:eastAsia="MS Gothic" w:cs="MS Gothic"/>
        </w:rPr>
        <w:t>のうちにとどまり</w:t>
      </w:r>
      <w:r>
        <w:rPr>
          <w:rFonts w:ascii="Microsoft YaHei" w:hAnsi="Microsoft YaHei" w:eastAsia="Microsoft YaHei" w:cs="Microsoft YaHei"/>
        </w:rPr>
        <w:t>続</w:t>
      </w:r>
      <w:r>
        <w:rPr>
          <w:rFonts w:ascii="MS Gothic" w:hAnsi="MS Gothic" w:eastAsia="MS Gothic" w:cs="MS Gothic"/>
        </w:rPr>
        <w:t>けるなら</w:t>
      </w:r>
      <w:r>
        <w:rPr>
          <w:rFonts w:ascii="Microsoft YaHei" w:hAnsi="Microsoft YaHei" w:eastAsia="Microsoft YaHei" w:cs="Microsoft YaHei"/>
        </w:rPr>
        <w:t>死</w:t>
      </w:r>
      <w:r>
        <w:rPr>
          <w:rFonts w:ascii="MS Gothic" w:hAnsi="MS Gothic" w:eastAsia="MS Gothic" w:cs="MS Gothic"/>
        </w:rPr>
        <w:t>ななければならないのと</w:t>
      </w:r>
      <w:r>
        <w:rPr>
          <w:rFonts w:ascii="Microsoft YaHei" w:hAnsi="Microsoft YaHei" w:eastAsia="Microsoft YaHei" w:cs="Microsoft YaHei"/>
        </w:rPr>
        <w:t>同様</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これらすべては</w:t>
      </w:r>
      <w:r>
        <w:rPr>
          <w:rFonts w:ascii="Microsoft YaHei" w:hAnsi="Microsoft YaHei" w:eastAsia="Microsoft YaHei" w:cs="Microsoft YaHei"/>
        </w:rPr>
        <w:t>起</w:t>
      </w:r>
      <w:r>
        <w:rPr>
          <w:rFonts w:ascii="MS Gothic" w:hAnsi="MS Gothic" w:eastAsia="MS Gothic" w:cs="MS Gothic"/>
        </w:rPr>
        <w:t>こるべきことであった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敗北</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わるのではなく</w:t>
      </w:r>
      <w:r>
        <w:rPr>
          <w:rFonts w:ascii="Microsoft YaHei" w:hAnsi="Microsoft YaHei" w:eastAsia="Microsoft YaHei" w:cs="Microsoft YaHei"/>
        </w:rPr>
        <w:t>、栄光</w:t>
      </w:r>
      <w:r>
        <w:rPr>
          <w:rFonts w:ascii="MS Gothic" w:hAnsi="MS Gothic" w:eastAsia="MS Gothic" w:cs="MS Gothic"/>
        </w:rPr>
        <w:t>ある</w:t>
      </w:r>
      <w:r>
        <w:rPr>
          <w:rFonts w:ascii="Microsoft YaHei" w:hAnsi="Microsoft YaHei" w:eastAsia="Microsoft YaHei" w:cs="Microsoft YaHei"/>
        </w:rPr>
        <w:t>永遠</w:t>
      </w:r>
      <w:r>
        <w:rPr>
          <w:rFonts w:ascii="MS Gothic" w:hAnsi="MS Gothic" w:eastAsia="MS Gothic" w:cs="MS Gothic"/>
        </w:rPr>
        <w:t>の</w:t>
      </w:r>
      <w:r>
        <w:rPr>
          <w:rFonts w:ascii="Microsoft YaHei" w:hAnsi="Microsoft YaHei" w:eastAsia="Microsoft YaHei" w:cs="Microsoft YaHei"/>
        </w:rPr>
        <w:t>勝利</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わるのであった</w:t>
      </w:r>
      <w:r>
        <w:rPr>
          <w:rFonts w:ascii="Times New Roman" w:hAnsi="Times New Roman" w:eastAsia="Times New Roman" w:cs="Times New Roman"/>
        </w:rPr>
        <w:t>.</w:t>
      </w:r>
      <w:r>
        <w:rPr>
          <w:rFonts w:ascii="MS Gothic" w:hAnsi="MS Gothic" w:eastAsia="MS Gothic" w:cs="MS Gothic"/>
        </w:rPr>
        <w:t>イエスは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、世</w:t>
      </w:r>
      <w:r>
        <w:rPr>
          <w:rFonts w:ascii="MS Gothic" w:hAnsi="MS Gothic" w:eastAsia="MS Gothic" w:cs="MS Gothic"/>
        </w:rPr>
        <w:t>を</w:t>
      </w:r>
      <w:r>
        <w:rPr>
          <w:rFonts w:ascii="Microsoft YaHei" w:hAnsi="Microsoft YaHei" w:eastAsia="Microsoft YaHei" w:cs="Microsoft YaHei"/>
        </w:rPr>
        <w:t>罪</w:t>
      </w:r>
      <w:r>
        <w:rPr>
          <w:rFonts w:ascii="MS Gothic" w:hAnsi="MS Gothic" w:eastAsia="MS Gothic" w:cs="MS Gothic"/>
        </w:rPr>
        <w:t>から</w:t>
      </w:r>
      <w:r>
        <w:rPr>
          <w:rFonts w:ascii="Microsoft YaHei" w:hAnsi="Microsoft YaHei" w:eastAsia="Microsoft YaHei" w:cs="Microsoft YaHei"/>
        </w:rPr>
        <w:t>救</w:t>
      </w:r>
      <w:r>
        <w:rPr>
          <w:rFonts w:ascii="MS Gothic" w:hAnsi="MS Gothic" w:eastAsia="MS Gothic" w:cs="MS Gothic"/>
        </w:rPr>
        <w:t>うために</w:t>
      </w:r>
      <w:r>
        <w:rPr>
          <w:rFonts w:ascii="Microsoft YaHei" w:hAnsi="Microsoft YaHei" w:eastAsia="Microsoft YaHei" w:cs="Microsoft YaHei"/>
        </w:rPr>
        <w:t>、</w:t>
      </w:r>
      <w:r>
        <w:rPr>
          <w:rFonts w:ascii="MS Gothic" w:hAnsi="MS Gothic" w:eastAsia="MS Gothic" w:cs="MS Gothic"/>
        </w:rPr>
        <w:t>あらゆる</w:t>
      </w:r>
      <w:r>
        <w:rPr>
          <w:rFonts w:ascii="Microsoft YaHei" w:hAnsi="Microsoft YaHei" w:eastAsia="Microsoft YaHei" w:cs="Microsoft YaHei"/>
        </w:rPr>
        <w:t>努力</w:t>
      </w:r>
      <w:r>
        <w:rPr>
          <w:rFonts w:ascii="MS Gothic" w:hAnsi="MS Gothic" w:eastAsia="MS Gothic" w:cs="MS Gothic"/>
        </w:rPr>
        <w:t>が</w:t>
      </w:r>
      <w:r>
        <w:rPr>
          <w:rFonts w:ascii="Microsoft YaHei" w:hAnsi="Microsoft YaHei" w:eastAsia="Microsoft YaHei" w:cs="Microsoft YaHei"/>
        </w:rPr>
        <w:t>払</w:t>
      </w:r>
      <w:r>
        <w:rPr>
          <w:rFonts w:ascii="MS Gothic" w:hAnsi="MS Gothic" w:eastAsia="MS Gothic" w:cs="MS Gothic"/>
        </w:rPr>
        <w:t>われなければならないと</w:t>
      </w:r>
      <w:r>
        <w:rPr>
          <w:rFonts w:ascii="Microsoft YaHei" w:hAnsi="Microsoft YaHei" w:eastAsia="Microsoft YaHei" w:cs="Microsoft YaHei"/>
        </w:rPr>
        <w:t>告</w:t>
      </w:r>
      <w:r>
        <w:rPr>
          <w:rFonts w:ascii="MS Gothic" w:hAnsi="MS Gothic" w:eastAsia="MS Gothic" w:cs="MS Gothic"/>
        </w:rPr>
        <w:t>げられた</w:t>
      </w:r>
      <w:r>
        <w:rPr>
          <w:rFonts w:ascii="Times New Roman" w:hAnsi="Times New Roman" w:eastAsia="Times New Roman" w:cs="Times New Roman"/>
        </w:rPr>
        <w:t>.</w:t>
      </w:r>
      <w:r>
        <w:rPr>
          <w:rFonts w:ascii="MS Gothic" w:hAnsi="MS Gothic" w:eastAsia="MS Gothic" w:cs="MS Gothic"/>
        </w:rPr>
        <w:t>イエスに</w:t>
      </w:r>
      <w:r>
        <w:rPr>
          <w:rFonts w:ascii="Microsoft YaHei" w:hAnsi="Microsoft YaHei" w:eastAsia="Microsoft YaHei" w:cs="Microsoft YaHei"/>
        </w:rPr>
        <w:t>従</w:t>
      </w:r>
      <w:r>
        <w:rPr>
          <w:rFonts w:ascii="MS Gothic" w:hAnsi="MS Gothic" w:eastAsia="MS Gothic" w:cs="MS Gothic"/>
        </w:rPr>
        <w:t>う</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生</w:t>
      </w:r>
      <w:r>
        <w:rPr>
          <w:rFonts w:ascii="MS Gothic" w:hAnsi="MS Gothic" w:eastAsia="MS Gothic" w:cs="MS Gothic"/>
        </w:rPr>
        <w:t>きられたように</w:t>
      </w:r>
      <w:r>
        <w:rPr>
          <w:rFonts w:ascii="Microsoft YaHei" w:hAnsi="Microsoft YaHei" w:eastAsia="Microsoft YaHei" w:cs="Microsoft YaHei"/>
        </w:rPr>
        <w:t>生</w:t>
      </w:r>
      <w:r>
        <w:rPr>
          <w:rFonts w:ascii="MS Gothic" w:hAnsi="MS Gothic" w:eastAsia="MS Gothic" w:cs="MS Gothic"/>
        </w:rPr>
        <w:t>き</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働</w:t>
      </w:r>
      <w:r>
        <w:rPr>
          <w:rFonts w:ascii="MS Gothic" w:hAnsi="MS Gothic" w:eastAsia="MS Gothic" w:cs="MS Gothic"/>
        </w:rPr>
        <w:t>かれたように</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、熱烈</w:t>
      </w:r>
      <w:r>
        <w:rPr>
          <w:rFonts w:ascii="MS Gothic" w:hAnsi="MS Gothic" w:eastAsia="MS Gothic" w:cs="MS Gothic"/>
        </w:rPr>
        <w:t>で</w:t>
      </w:r>
      <w:r>
        <w:rPr>
          <w:rFonts w:ascii="Microsoft YaHei" w:hAnsi="Microsoft YaHei" w:eastAsia="Microsoft YaHei" w:cs="Microsoft YaHei"/>
        </w:rPr>
        <w:t>忍耐強</w:t>
      </w:r>
      <w:r>
        <w:rPr>
          <w:rFonts w:ascii="MS Gothic" w:hAnsi="MS Gothic" w:eastAsia="MS Gothic" w:cs="MS Gothic"/>
        </w:rPr>
        <w:t>い</w:t>
      </w:r>
      <w:r>
        <w:rPr>
          <w:rFonts w:ascii="Microsoft YaHei" w:hAnsi="Microsoft YaHei" w:eastAsia="Microsoft YaHei" w:cs="Microsoft YaHei"/>
        </w:rPr>
        <w:t>努力</w:t>
      </w:r>
      <w:r>
        <w:rPr>
          <w:rFonts w:ascii="MS Gothic" w:hAnsi="MS Gothic" w:eastAsia="MS Gothic" w:cs="MS Gothic"/>
        </w:rPr>
        <w:t>をもって</w:t>
      </w:r>
      <w:r>
        <w:rPr>
          <w:rFonts w:ascii="Microsoft YaHei" w:hAnsi="Microsoft YaHei" w:eastAsia="Microsoft YaHei" w:cs="Microsoft YaHei"/>
        </w:rPr>
        <w:t>進</w:t>
      </w:r>
      <w:r>
        <w:rPr>
          <w:rFonts w:ascii="MS Gothic" w:hAnsi="MS Gothic" w:eastAsia="MS Gothic" w:cs="MS Gothic"/>
        </w:rPr>
        <w:t>まなければならない</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“Na ci gaban Almasihu ya yi wa almajiransa magana, yana buɗe hankalinsu domin su fahimci Nassosi. Almajiran sun gaji, amma tattaunawar ba ta lafa ba. Kalmomin rai da tabbaci suka riƙa fitowa daga bakin Mai Ceto. Amma duk da haka idanunsu suna kange. Yayin da Ya ba su labarin hallakar Urushalima, suka dubi birnin da aka ƙaddara ga halaka da hawaye. Amma har yanzu kaɗan ne suka yi zaton ko wanene abokin tafiyarsu. Ba su yi tunanin cewa batun tattaunawarsu ne yake tafiya a gefensu ba; gama Almasihu ya yi magana game da Kansa kamar dai wani dabam ne. Suka ɗauka cewa Yana ɗaya daga cikin waɗanda suka halarci babban idi, kuma yanzu yana komawa gidansa. Ya yi tafiya da taka-tsantsan kamar su a kan duwatsu masu kaifi, yana ɗan tsayawa tare da su lokaci-lokaci domin su ɗan huta. Haka suka ci gaba da tafiya a kan hanyar tsaunuka, yayinda Wanda ba da daɗewa ba zai ɗauki matsayinsa a hannun dama na Allah, kuma Wanda zai iya cewa, ‘An ba Ni dukan iko cikin sama da cikin ƙasa,’ yake tafiya a gefensu. Matthew 28:18.”</w:t>
      </w:r>
    </w:p>
    <w:p>
      <w:pPr>
        <w:pStyle w:val="ArticleScripture"/>
        <w:jc w:val="left"/>
      </w:pPr>
      <w:r>
        <w:rPr>
          <w:rFonts w:ascii="Times New Roman" w:hAnsi="Times New Roman" w:eastAsia="Times New Roman" w:cs="Times New Roman"/>
        </w:rPr>
        <w:t>“Leeto lohle letsatsi le ne le se le liketse, ’me pele baeti ba fihla moo ba tla phomola teng, basebetsi ba masimong ba ne ba se ba tlohetse mosebetsi oa bona. Ha barutuoa ba le haufi le ho kena lehaeng la bona, osele eo a bonahala eka o tla tsoela pele ka leeto la Hae. Empa barutuoa ba ile ba ikutloa ba huleloa ho Eena. Meea ea bona e ne e lapetse ho utloa tse ling hape ho Eena. ‘Lula le rona,’ ba rialo. O ne a bonahala eka ha a amohele memo eo, empa ba e mo phehella, ba mo kopa ka tieo, ba re, ‘Mantsiboea a se a atametse, ’me letsatsi le se le phirimile haholo.’ Kreste a inehela kopong eo, ’me ‘a kena ho lula le bona.’”</w:t>
      </w:r>
    </w:p>
    <w:p>
      <w:pPr>
        <w:pStyle w:val="ArticleScripture"/>
        <w:jc w:val="left"/>
      </w:pPr>
      <w:r>
        <w:rPr>
          <w:rFonts w:ascii="Times New Roman" w:hAnsi="Times New Roman" w:eastAsia="Times New Roman" w:cs="Times New Roman"/>
        </w:rPr>
        <w:t>“Banafunzi wangelikosa kusisitiza mwaliko wao, wasingalijua kwamba mwenzao wa safari alikuwa Bwana aliyefufuka. Kristo kamwe hajilazimishi kwa yeyote. Hujishughulisha na wale wanaomhitaji. Kwa furaha ataingia katika nyumba iliyo ya unyenyekevu mkuu, na kuutia moyo moyo wa hali ya chini kabisa. Lakini watu wakiwa wasiojali mno hata wasimfikirie Mgeni wa mbinguni, au wasimwombe akae pamoja nao, hupita zake. Hivyo wengi hupata hasara kubwa. Hawamjui Kristo zaidi kuliko walivyomjua wanafunzi alipokuwa akitembea pamoja nao njiani.</w:t>
      </w:r>
    </w:p>
    <w:p>
      <w:pPr>
        <w:pStyle w:val="ArticleScripture"/>
        <w:jc w:val="left"/>
      </w:pPr>
      <w:r>
        <w:rPr>
          <w:rFonts w:ascii="Times New Roman" w:hAnsi="Times New Roman" w:eastAsia="Times New Roman" w:cs="Times New Roman"/>
        </w:rPr>
        <w:t>«Սովորական երեկոյան հացի սեղանը շուտով պատրաստվում է։ Այն դրվում է հյուրի առջև, Ով նստել է սեղանի գլխին։ Այժմ Նա մեկնում է Իր ձեռքերը՝ ուտելիքը օրհնելու համար։ Աշակերտները զարմանքով ետ են քաշվում։ Նրանց ուղեկիցը մեկնում է Իր ձեռքերը ճիշտ նույն կերպ, ինչպես նրանց Վարդապետն էր սովորաբար անում։ Նրանք նորից նայում են, և ահա Նրա ձեռքերի վրա տեսնում են մեխերի հետքերը։ Երկուսն էլ միաժամանակ բացականչում են. Տե՛ր Հիսուսն է։ Նա հարություն է առել մեռելներից»։</w:t>
      </w:r>
    </w:p>
    <w:p>
      <w:pPr>
        <w:pStyle w:val="ArticleScripture"/>
        <w:jc w:val="left"/>
      </w:pPr>
      <w:r>
        <w:rPr>
          <w:rFonts w:ascii="Times New Roman" w:hAnsi="Times New Roman" w:eastAsia="Times New Roman" w:cs="Times New Roman"/>
        </w:rPr>
        <w:t>‘Tôi đứng dậy để gieo mình dưới chân Ngài và thờ phượng Ngài, nhưng Ngài đã khuất khỏi mắt họ. Họ nhìn nơi mà Đấng có thân thể vừa mới nằm trong mồ đã đứng, và nói với nhau rằng: “Lòng chúng ta há chẳng bừng cháy trong chúng ta sao, khi Ngài phán với chúng ta dọc đường, và khi Ngài mở Kinh Thánh cho chúng ta?”’</w:t>
      </w:r>
    </w:p>
    <w:p>
      <w:pPr>
        <w:pStyle w:val="ArticleScripture"/>
        <w:jc w:val="left"/>
      </w:pPr>
      <w:r>
        <w:rPr>
          <w:rFonts w:ascii="Times New Roman" w:hAnsi="Times New Roman" w:eastAsia="Times New Roman" w:cs="Times New Roman"/>
        </w:rPr>
        <w:t>“Lekin is mahaan susamachar ko sunane ke liye ve baithkar baat nahin kar sakte. Unki thakaan aur bhookh door ho gayi hai. Ve apna bhojan bina chakhe chhod dete hain, aur anand se paripurn hokar turant usi maarg par phir nikal padte hain jisse ve aaye the, nagar mein chelon ko yah samachar dene ke liye sheeghrata karte hue. Maarg ke kuchh bhaag surakshit nahin hain, parantu ve khadi jagahon par chadhte hain, chikni chattaanon par phisalte hue. Ve na dekhte hain, na jaante hain, ki unhen Uski raksha prapt hai jisne unke saath us maarg par yatra ki hai. Apne yatra-dand ko haath mein liye hue, ve aage badhte chalte hain, is ichchha ke saath ki jitni tezi se ve sahas kar saken usse bhi adhik tezi se jaayen. Ve apna raasta kho dete hain, par use phir paa lete hain. Kabhi daudte hue, kabhi ladkhadate hue, ve nirantar aage badhte hain, aur unka adrishya Saathi poore maarg mein nikat hi unke paas rehta hai.”</w:t>
      </w:r>
    </w:p>
    <w:p>
      <w:pPr>
        <w:pStyle w:val="ArticleScripture"/>
        <w:jc w:val="left"/>
      </w:pPr>
      <w:r>
        <w:rPr>
          <w:rFonts w:ascii="Times New Roman" w:hAnsi="Times New Roman" w:eastAsia="Times New Roman" w:cs="Times New Roman"/>
        </w:rPr>
        <w:t>“Alẹ ṣú, ṣùgbọ́n Oòrùn Òdodo ń tàn sórí wọn. Ọkàn wọn ń fò fún ayọ̀. Wọ́n dàbí ẹni pé wọ́n wà nínú ayé tuntun kan. Kristi jẹ́ Olùgbàlà alààyè. Wọ́n kò tún ṣọ̀fọ̀ Rẹ̀ gẹ́gẹ́ bí ẹni tí ó ti kú mọ́. Kristi ti jí dìde—léraléra ni wọ́n ń tún un sọ. Èyí ni ìhìnrere tí wọ́n ń gbé lọ sọ́dọ̀ àwọn tí ń ṣọ̀fọ̀. Wọ́n gbọ́dọ̀ sọ ìtàn àgbàyanu ìrìn-àjò lọ sí Emau fún wọn. Wọ́n gbọ́dọ̀ sọ ẹni tí ó darapọ̀ mọ́ wọn lójú ọ̀nà. Wọ́n ru ìhìnrere tí ó tóbi jùlọ tí a ti fi fún ayé rí, ìhìnrere ayọ̀ lórí èyí tí ìrètí ẹbí ènìyàn fún àkókò yìí àti fún ayérayé gbé lé.”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huit</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