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Neuf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Numéro neuf</w:t>
      </w:r>
    </w:p>
    <w:p>
      <w:pPr>
        <w:pStyle w:val="ArticleBody"/>
        <w:jc w:val="left"/>
      </w:pPr>
      <w:r>
        <w:rPr>
          <w:rFonts w:ascii="Times New Roman" w:hAnsi="Times New Roman" w:eastAsia="Times New Roman" w:cs="Times New Roman"/>
        </w:rPr>
        <w:t>J’ai atteint, dans cette introduction au livre de Joël, le moment de résumer brièvement certains points des huit premiers articles et d’indiquer ce que nous devons attendre du livre de Joël maintenant que nous l’abordons plus directement, et puis, bien sûr, quel rapport cela a-t-il avec les batailles de Raphia et de Panium de Daniel 11:11–16 ?</w:t>
      </w:r>
    </w:p>
    <w:p>
      <w:pPr>
        <w:pStyle w:val="ArticleBody"/>
        <w:jc w:val="left"/>
      </w:pPr>
      <w:r>
        <w:rPr>
          <w:rFonts w:ascii="Times New Roman" w:hAnsi="Times New Roman" w:eastAsia="Times New Roman" w:cs="Times New Roman"/>
        </w:rPr>
        <w:t>Waxaan xoogga saarnay gabayga beerta canabka, waayo “waayo-aragnimo” si nebinnimo ah waxaa loogu metelaa “gabay.” Mid ka mid ah astaamaha boqol iyo afar iyo afartan kun marka ay ku heesayaan gabaygii Muuse iyo Wanka, kaas oo si fudud u ah habkii Yooxanaa ugu meteli lahaa gabayga beerta canabka ee Ishacyaah. Nebi kasta oo waaweyn wuxuu buuggiisa ku bilaabaa cambaarayn ka dhan ah Israa’iil caasinnimadooda aawadeed, ama waxaad odhan kartaa nebi kasta oo weyn marka hore wuxuu qaadaa gabayga beerta canabka. Waxaan ku doodayaa in gabayga beerta canabka ee Yoo’eel ee cutubka koowaad uu yahay mid ka mid ah muujinnada ugu muhiimsan ee ku saabsan gabayga beerta canabka. Ma odhan karo inaan sax ahay iyo in kale, laakiin sababta aan rumaysadkan u qabo ayaa ah in xidhiidhada nebinnimo ee si calaamadeysan loogu metelay kitaabka Yoo’eel ay u muuqdaan inay yihiin fure, ama malaha udub-dhexaad ay ku xiran yihiin dhowr fallaadhood. Markhaatiga Yoo’eel kaliya kuma xidhmo khadadka kale ee isbarbar socda, balse wuxuu u muuqdaa inuu dejinayo meel tixraac ah, gaar ahaan iyada oo loo marayo astaanta beerta canabka ee la baabbi’iyey ee cutubka koowaad, iyo labada cutub ee xiga oo tilmaamaya labadaba wakhtiga tijaabada sawirka bahalka ee Maraykanka iyo sidoo kale wakhtiga tijaabada sawirka bahalka ee dunida. Oo waxaas oo dhammu waxay ku qotomaan macnaha guud ee beerta canabka, beerta canabkuna ma aha beer nool—haddii aanay roob helin.</w:t>
      </w:r>
    </w:p>
    <w:p>
      <w:pPr>
        <w:pStyle w:val="ArticleBody"/>
        <w:jc w:val="left"/>
      </w:pPr>
      <w:r>
        <w:rPr>
          <w:rFonts w:ascii="Times New Roman" w:hAnsi="Times New Roman" w:eastAsia="Times New Roman" w:cs="Times New Roman"/>
        </w:rPr>
        <w:t>Nous avons également mis l’accent sur la période prophétique représentée par le symbole de « combien de temps ? » J’ai ressenti la nécessité de nous rappeler ce principe antérieurement établi concernant « combien de temps ? », afin de mettre l’accent sur la « pierre faîtière », qui était, et qui est aussi, le fondement et la pierre angulaire. Le plein développement final du message du Cri de Minuit, maintenant en cours, est la « pierre faîtière ». Édifiée sur les fondements, cette pierre faîtière est constituée des joyaux de Miller, brillant dix fois plus qu’au commencement.</w:t>
      </w:r>
    </w:p>
    <w:p>
      <w:pPr>
        <w:pStyle w:val="ArticleBody"/>
        <w:jc w:val="left"/>
      </w:pPr>
      <w:r>
        <w:rPr>
          <w:rFonts w:ascii="Times New Roman" w:hAnsi="Times New Roman" w:eastAsia="Times New Roman" w:cs="Times New Roman"/>
        </w:rPr>
        <w:t>Sur la base des « œuvres merveilleuses » de Dieu, la pierre maîtresse survient lorsque son peuple passe d’une expérience laodicéenne à une expérience philadelphienne; c’est alors que ce peuple devient le huitième, qui est issu des sept, et qu’il passe aussi de l’Église militante à l’Église triomphante. Cette transition est la pierre maîtresse. La transition s’accomplit lorsque le peuple de Dieu entend et voit le message de la « pierre maîtresse », et qu’il est merveilleux à ses yeux. Le message de la pierre maîtresse est le point culminant, car il rassemble toutes les vérités symboliques relatives à la « pierre maîtresse ». Le message des « sept temps » fut la pierre de fondation de Miller, et il devait être la pierre maîtresse millérite. La Pentecôte fut la pierre maîtresse de la période pentecôtiste, tout comme le Cri de Minuit fut la pierre maîtresse du mouvement millérite des premier et deuxième anges.</w:t>
      </w:r>
    </w:p>
    <w:p>
      <w:pPr>
        <w:pStyle w:val="ArticleBody"/>
        <w:jc w:val="left"/>
      </w:pPr>
      <w:r>
        <w:rPr>
          <w:rFonts w:ascii="Ebrima" w:hAnsi="Ebrima" w:eastAsia="Ebrima" w:cs="Ebrima"/>
        </w:rPr>
        <w:t>ፋጻሜው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አክሊል</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የመጀመሪያውንና</w:t>
      </w:r>
      <w:r>
        <w:rPr>
          <w:rFonts w:ascii="Times New Roman" w:hAnsi="Times New Roman" w:eastAsia="Times New Roman" w:cs="Times New Roman"/>
        </w:rPr>
        <w:t xml:space="preserve"> </w:t>
      </w:r>
      <w:r>
        <w:rPr>
          <w:rFonts w:ascii="Ebrima" w:hAnsi="Ebrima" w:eastAsia="Ebrima" w:cs="Ebrima"/>
        </w:rPr>
        <w:t>የሁለተኛውን</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የሚለራይት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በሠራበት</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46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አክሊል</w:t>
      </w:r>
      <w:r>
        <w:rPr>
          <w:rFonts w:ascii="Times New Roman" w:hAnsi="Times New Roman" w:eastAsia="Times New Roman" w:cs="Times New Roman"/>
        </w:rPr>
        <w:t xml:space="preserve"> </w:t>
      </w:r>
      <w:r>
        <w:rPr>
          <w:rFonts w:ascii="Ebrima" w:hAnsi="Ebrima" w:eastAsia="Ebrima" w:cs="Ebrima"/>
        </w:rPr>
        <w:t>ለክርስቶስ</w:t>
      </w:r>
      <w:r>
        <w:rPr>
          <w:rFonts w:ascii="Times New Roman" w:hAnsi="Times New Roman" w:eastAsia="Times New Roman" w:cs="Times New Roman"/>
        </w:rPr>
        <w:t xml:space="preserve"> </w:t>
      </w:r>
      <w:r>
        <w:rPr>
          <w:rFonts w:ascii="Ebrima" w:hAnsi="Ebrima" w:eastAsia="Ebrima" w:cs="Ebrima"/>
        </w:rPr>
        <w:t>የአንድ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የመገንባት</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የመሠረት</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ሊሆን</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የመሠረት</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መንገዱን</w:t>
      </w:r>
      <w:r>
        <w:rPr>
          <w:rFonts w:ascii="Times New Roman" w:hAnsi="Times New Roman" w:eastAsia="Times New Roman" w:cs="Times New Roman"/>
        </w:rPr>
        <w:t xml:space="preserve"> </w:t>
      </w:r>
      <w:r>
        <w:rPr>
          <w:rFonts w:ascii="Ebrima" w:hAnsi="Ebrima" w:eastAsia="Ebrima" w:cs="Ebrima"/>
        </w:rPr>
        <w:t>የሚያበራ</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ተተከለ፤</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በዓለም</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ዕረፍትን</w:t>
      </w:r>
      <w:r>
        <w:rPr>
          <w:rFonts w:ascii="Times New Roman" w:hAnsi="Times New Roman" w:eastAsia="Times New Roman" w:cs="Times New Roman"/>
        </w:rPr>
        <w:t xml:space="preserve"> </w:t>
      </w:r>
      <w:r>
        <w:rPr>
          <w:rFonts w:ascii="Ebrima" w:hAnsi="Ebrima" w:eastAsia="Ebrima" w:cs="Ebrima"/>
        </w:rPr>
        <w:t>እንዲያገኙ</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አሮጌ</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ሊመለሱ</w:t>
      </w:r>
      <w:r>
        <w:rPr>
          <w:rFonts w:ascii="Times New Roman" w:hAnsi="Times New Roman" w:eastAsia="Times New Roman" w:cs="Times New Roman"/>
        </w:rPr>
        <w:t xml:space="preserve"> </w:t>
      </w:r>
      <w:r>
        <w:rPr>
          <w:rFonts w:ascii="Ebrima" w:hAnsi="Ebrima" w:eastAsia="Ebrima" w:cs="Ebrima"/>
        </w:rPr>
        <w:t>ይገባቸዋል።</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ሚለራይቶች</w:t>
      </w:r>
      <w:r>
        <w:rPr>
          <w:rFonts w:ascii="Times New Roman" w:hAnsi="Times New Roman" w:eastAsia="Times New Roman" w:cs="Times New Roman"/>
        </w:rPr>
        <w:t xml:space="preserve"> </w:t>
      </w:r>
      <w:r>
        <w:rPr>
          <w:rFonts w:ascii="Ebrima" w:hAnsi="Ebrima" w:eastAsia="Ebrima" w:cs="Ebrima"/>
        </w:rPr>
        <w:t>የአቅኚነት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ከተመለሱ</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በሚመለሱበት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የመሠረታዊው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ፋጻሜ</w:t>
      </w:r>
      <w:r>
        <w:rPr>
          <w:rFonts w:ascii="Times New Roman" w:hAnsi="Times New Roman" w:eastAsia="Times New Roman" w:cs="Times New Roman"/>
        </w:rPr>
        <w:t xml:space="preserve"> </w:t>
      </w:r>
      <w:r>
        <w:rPr>
          <w:rFonts w:ascii="Ebrima" w:hAnsi="Ebrima" w:eastAsia="Ebrima" w:cs="Ebrima"/>
        </w:rPr>
        <w:t>እንደነበረ</w:t>
      </w:r>
      <w:r>
        <w:rPr>
          <w:rFonts w:ascii="Times New Roman" w:hAnsi="Times New Roman" w:eastAsia="Times New Roman" w:cs="Times New Roman"/>
        </w:rPr>
        <w:t xml:space="preserve"> </w:t>
      </w:r>
      <w:r>
        <w:rPr>
          <w:rFonts w:ascii="Ebrima" w:hAnsi="Ebrima" w:eastAsia="Ebrima" w:cs="Ebrima"/>
        </w:rPr>
        <w:t>ያገኛሉ።</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የመንፈስ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መፍሰስ</w:t>
      </w:r>
      <w:r>
        <w:rPr>
          <w:rFonts w:ascii="Times New Roman" w:hAnsi="Times New Roman" w:eastAsia="Times New Roman" w:cs="Times New Roman"/>
        </w:rPr>
        <w:t xml:space="preserve"> </w:t>
      </w:r>
      <w:r>
        <w:rPr>
          <w:rFonts w:ascii="Ebrima" w:hAnsi="Ebrima" w:eastAsia="Ebrima" w:cs="Ebrima"/>
        </w:rPr>
        <w:t>መገለጫ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ነፍስ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አሮጌ</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ሲመለስ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በመንገዱ</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የመሠረት</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የተተከለውን</w:t>
      </w:r>
      <w:r>
        <w:rPr>
          <w:rFonts w:ascii="Times New Roman" w:hAnsi="Times New Roman" w:eastAsia="Times New Roman" w:cs="Times New Roman"/>
        </w:rPr>
        <w:t xml:space="preserve"> “</w:t>
      </w:r>
      <w:r>
        <w:rPr>
          <w:rFonts w:ascii="Ebrima" w:hAnsi="Ebrima" w:eastAsia="Ebrima" w:cs="Ebrima"/>
        </w:rPr>
        <w:t>ደማቅ</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ሲያገኝ፣</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ጩኸትን</w:t>
      </w:r>
      <w:r>
        <w:rPr>
          <w:rFonts w:ascii="Times New Roman" w:hAnsi="Times New Roman" w:eastAsia="Times New Roman" w:cs="Times New Roman"/>
        </w:rPr>
        <w:t xml:space="preserve"> </w:t>
      </w:r>
      <w:r>
        <w:rPr>
          <w:rFonts w:ascii="Ebrima" w:hAnsi="Ebrima" w:eastAsia="Ebrima" w:cs="Ebrima"/>
        </w:rPr>
        <w:t>ያገኛል፤</w:t>
      </w:r>
      <w:r>
        <w:rPr>
          <w:rFonts w:ascii="Times New Roman" w:hAnsi="Times New Roman" w:eastAsia="Times New Roman" w:cs="Times New Roman"/>
        </w:rPr>
        <w:t xml:space="preserve"> </w:t>
      </w:r>
      <w:r>
        <w:rPr>
          <w:rFonts w:ascii="Ebrima" w:hAnsi="Ebrima" w:eastAsia="Ebrima" w:cs="Ebrima"/>
        </w:rPr>
        <w:t>ይህንንም</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w:t>
      </w:r>
      <w:r>
        <w:rPr>
          <w:rFonts w:ascii="Ebrima" w:hAnsi="Ebrima" w:eastAsia="Ebrima" w:cs="Ebrima"/>
        </w:rPr>
        <w:t>ዕረፍት</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ይለያል።</w:t>
      </w:r>
    </w:p>
    <w:p>
      <w:pPr>
        <w:pStyle w:val="ArticleScripture"/>
        <w:jc w:val="left"/>
      </w:pPr>
      <w:r>
        <w:rPr>
          <w:rFonts w:ascii="Times New Roman" w:hAnsi="Times New Roman" w:eastAsia="Times New Roman" w:cs="Times New Roman"/>
        </w:rPr>
        <w:t>“Wọ́n ní ìmọ́lẹ̀ títàn kan tí a gbé kalẹ̀ lẹ́yìn wọn ní ìbẹ̀rẹ̀ ọ̀nà náà, èyí tí áńgẹ́lì kan sọ fún mi pé ni ‘igbe ọ̀gànjọ́.’ Ìmọ́lẹ̀ yìí ń tàn káàkiri gbogbo ọ̀nà náà, ó sì ń fi ìmọ́lẹ̀ hàn fún ẹsẹ̀ wọn, kí wọn má bàa kọsẹ̀.</w:t>
      </w:r>
    </w:p>
    <w:p>
      <w:pPr>
        <w:pStyle w:val="ArticleScripture"/>
        <w:jc w:val="left"/>
      </w:pPr>
      <w:r>
        <w:rPr>
          <w:rFonts w:ascii="Times New Roman" w:hAnsi="Times New Roman" w:eastAsia="Times New Roman" w:cs="Times New Roman"/>
        </w:rPr>
        <w:t>“Jestliže upírali svůj zrak na Ježíše, který byl přímo před nimi a vedl je k městu, byli v bezpečí. Brzy však někteří ochabli a říkali, že město je ještě velmi daleko a že očekávali, že do něho již dříve vstoupí. Tu je Ježíš povzbuzoval tím, že pozvedl svou slavnou pravici, a z jeho paže vycházelo světlo, které se vlnilo nad adventním zástupem, a oni volali: „Aleluja!“ Jiní pak lehkomyslně popírali světlo za sebou a říkali, že to nebyl Bůh, kdo je vyvedl až sem. Světlo za nimi zhaslo, jejich nohy zůstaly v naprosté temnotě, oni klopýtli, ztratili z dohledu cíl i Ježíše a spadli ze stezky dolů do temného a zlého světa pod nimi.” Christian Experience and Teachings of Ellen G. White, 57.</w:t>
      </w:r>
    </w:p>
    <w:p>
      <w:pPr>
        <w:pStyle w:val="ArticleBody"/>
        <w:jc w:val="left"/>
      </w:pPr>
      <w:r>
        <w:rPr>
          <w:rFonts w:ascii="Times New Roman" w:hAnsi="Times New Roman" w:eastAsia="Times New Roman" w:cs="Times New Roman"/>
        </w:rPr>
        <w:t>L-apex tal-istorja Millerita huwa l-ġebla tax-xewka tal-pedament għall-istorja tal-mija u erbgħa u erbgħin elf. Mill-bidu tat-tliet anġli fl-1798 sa ma l-knisja trijonfanti titqajjem fit-twettiq tat-tindif tas-santwarju fil-liġi tal-Ħadd, it-triq hija mdawla bil-messaġġ tal-Għajta ta’ Nofsillejl, għax il-parabbola hija dwar l-Avventiżmu, u kif Alla jqajjem poplu biex jirrifletti perfettament il-karattru Tiegħu hekk kif jagħlaq il-probazzjoni għall-bnedmin matul il-kriżi tal-liġi tal-Ħadd.</w:t>
      </w:r>
    </w:p>
    <w:p>
      <w:pPr>
        <w:pStyle w:val="ArticleBody"/>
        <w:jc w:val="left"/>
      </w:pPr>
      <w:r>
        <w:rPr>
          <w:rFonts w:ascii="Times New Roman" w:hAnsi="Times New Roman" w:eastAsia="Times New Roman" w:cs="Times New Roman"/>
        </w:rPr>
        <w:t>Sur le sentier, Jésus conduit, et Il continue d’éclairer le sentier en levant Son glorieux bras droit. Il y a donc une vive lumière au commencement du sentier, et une vive lumière qui mène à l’extrémité du sentier. Jésus, en tant qu’Alpha et Oméga, unit la fin au commencement; ainsi, la lumière aux deux extrémités du sentier est le message du Cri de Minuit.</w:t>
      </w:r>
    </w:p>
    <w:p>
      <w:pPr>
        <w:pStyle w:val="ArticleBody"/>
        <w:jc w:val="left"/>
      </w:pPr>
      <w:r>
        <w:rPr>
          <w:rFonts w:ascii="Times New Roman" w:hAnsi="Times New Roman" w:eastAsia="Times New Roman" w:cs="Times New Roman"/>
        </w:rPr>
        <w:t>Den første engel ankom i 1798 og forkyndte, at hans doms time var kommet: “Sigende … hans doms time er kommet.” Dommens time kom i 1798, og da den begyndte, begyndte ægteskabet mellem Kristus og hans nye brud — den filadelfiske milleritiske adventisme. Kristus skulle vies den 22. oktober 1844, og fra 1798 til 1844 blev bruden gjort rede. Bruden var filadelfisk, for der var ingen fordømmelse over Kristi brud, thi hun gjorde sig rede — hun var ren. Kundgørelsen om dommen er kundgørelsen om ægteskabet ved begyndelsen i 1798, som nåede sin afslutning i 1844.</w:t>
      </w:r>
    </w:p>
    <w:p>
      <w:pPr>
        <w:pStyle w:val="ArticleBody"/>
        <w:jc w:val="left"/>
      </w:pPr>
      <w:r>
        <w:rPr>
          <w:rFonts w:ascii="Times New Roman" w:hAnsi="Times New Roman" w:eastAsia="Times New Roman" w:cs="Times New Roman"/>
        </w:rPr>
        <w:t>Jɔli to kɛrɛnkɛrɛnni ani fitininya min ye Millerite ɲɛnabɔli ye, o tun ye kibaru ye min bɛ furakɛli lakana—Minuit Kelekɛli ka kibaru. Minuit Kelekɛli tun ye fɔlɔ ni filanan mɛlɛkɛw ka tariku ani Millerite tariku ka jɔli ani fitininya; ani Millerite tariku ka fitininya ye kɛrɛnkɛrɛnni bɔra ye kɛlɛɲɛnabɔli la min kɛ hundred and forty-four thousand ka tariku ye, ka taa fitininya fan na fana. Batimafɔrɔbɔli bana ni fitininya bɔra la; ani baara min ye o kɔrɔta “ka hayra” kɔrɔta laban bɔra la, o daminɛna July 2023.</w:t>
      </w:r>
    </w:p>
    <w:p>
      <w:pPr>
        <w:pStyle w:val="ArticleBody"/>
        <w:jc w:val="left"/>
      </w:pPr>
      <w:r>
        <w:rPr>
          <w:rFonts w:ascii="Times New Roman" w:hAnsi="Times New Roman" w:eastAsia="Times New Roman" w:cs="Times New Roman"/>
        </w:rPr>
        <w:t>Kei roto i ngā whakatutukitanga poropiti ngā momo āhuatanga e whakakotahi ai te kōhatu whakamutunga, engari ko taua kōhatu whakamutunga anō hoki te tohu o te tihi mutunga o tētahi karere. Ko te Petekoha te kōhatu whakamutunga o te karere o te wā o te Petekoha, pērā anō me te māramatanga o ngā “whitu ngā wā” i puta mai nā te pene a Hiram Edson i te tau 1856, i meatia hei kōhatu whakamutunga mō te karere a Miller, nō te mea ko te pono tūāpapa tuatahi i kitea e Miller ko ngā “whitu ngā wā.” I te tau 1856, ko te whakakore i te māramatanga hou o te pono o te kōhatu whakamutunga i ōrite ki te kōwhiri kia mate ki te koraha o Laodicea, pēnei i tā Iharaira onamata i mea ai i roto i te wā e whā tekau tau. Mā konei ka tautuhia a Hūrae o 2023 hei 1856, arā, ko te wā hurihuri mai i Philadelphia ki Laodicea i roto i te hītori Millerite, me te hurihanga whakamuri mai i Laodicea ki Philadelphia i roto i te hītori o te kotahi rau whā tekau mā whā mano. Kāore a te Karaiti i moe i tētahi wahine poke i te tau 1844, nō te mea he wahine nō Philadelphia ia, ā, ka moe ia i tētahi wahine mārena nō Philadelphia i te ture Rātapu. Engari i te tuatahi me whakarite ia i a ia anō. Kua rite rānei koe?</w:t>
      </w:r>
    </w:p>
    <w:p>
      <w:pPr>
        <w:pStyle w:val="ArticleScripture"/>
        <w:jc w:val="left"/>
      </w:pPr>
      <w:r>
        <w:rPr>
          <w:rFonts w:ascii="Times New Roman" w:hAnsi="Times New Roman" w:eastAsia="Times New Roman" w:cs="Times New Roman"/>
        </w:rPr>
        <w:t>N’ayez point peur, petit troupeau; car votre Père a trouvé bon de vous donner le royaume. Luc 12:32.</w:t>
      </w:r>
    </w:p>
    <w:p>
      <w:pPr>
        <w:pStyle w:val="ArticleBody"/>
        <w:jc w:val="left"/>
      </w:pPr>
      <w:r>
        <w:rPr>
          <w:rFonts w:ascii="Times New Roman" w:hAnsi="Times New Roman" w:eastAsia="Times New Roman" w:cs="Times New Roman"/>
        </w:rPr>
        <w:t>Ñe’ẽngue 22 jasypa 1844-pe Ñandejára omenda pe novia oĩporãmbáma hese hag̃ua haĝua osegi chupe pe tembiasakue ángel mbohapyha rehegua ryepýpe, ha opa mba’e pe ángel mbohapyha orrepresentáva; ha katu 1863 peve pe tembiasakue ángel mbohapyha rehegua ojejere Laodicea ñu-me’ẽme. Pe tembiasakue 1844 guive 1863 peve orrepresenta pe periodo ángel mbohapyha rehegua, upéicha ome’ẽvo peteĩ ta’anga umi virgen itavývagui pe tiempo de sellado rehegua umi cien cuarenta y cuatro mil-pe. Umi virgen hína trigo ha cizaña oñemboja’óva marandu rupive, umi ángel rehe oñetipifikáva—pe separación rembiapo niko umi ángel ojapo.</w:t>
      </w:r>
    </w:p>
    <w:p>
      <w:pPr>
        <w:pStyle w:val="ArticleScripture"/>
        <w:jc w:val="left"/>
      </w:pPr>
      <w:r>
        <w:rPr>
          <w:rFonts w:ascii="Times New Roman" w:hAnsi="Times New Roman" w:eastAsia="Times New Roman" w:cs="Times New Roman"/>
        </w:rPr>
        <w:t>«Μόλις τότε είδα τον τρίτο άγγελο. Ο άγγελος που με συνόδευε είπε: “Φοβερό είναι το έργο του. Δέος προκαλεί η αποστολή του. Αυτός είναι ο άγγελος που πρόκειται να διαχωρίσει το σιτάρι από τα ζιζάνια και να σφραγίσει, ή να δέσει, το σιτάρι για την ουράνια αποθήκη. Αυτά τα πράγματα πρέπει να απορροφούν ολόκληρο τον νου, ολόκληρη την προσοχή.”» Early Writings, 119.</w:t>
      </w:r>
    </w:p>
    <w:p>
      <w:pPr>
        <w:pStyle w:val="ArticleBody"/>
        <w:jc w:val="left"/>
      </w:pPr>
      <w:r>
        <w:rPr>
          <w:rFonts w:ascii="Times New Roman" w:hAnsi="Times New Roman" w:eastAsia="Times New Roman" w:cs="Times New Roman"/>
        </w:rPr>
        <w:t>Ujumbe wa malaika watatu wa Ufunuo kumi na nne ni ujumbe wa mvua ya masika ya mwisho unaowatenganisha na kuwaunganisha makundi mawili.</w:t>
      </w:r>
    </w:p>
    <w:p>
      <w:pPr>
        <w:pStyle w:val="ArticleScripture"/>
        <w:jc w:val="left"/>
      </w:pPr>
      <w:r>
        <w:rPr>
          <w:rFonts w:ascii="Times New Roman" w:hAnsi="Times New Roman" w:eastAsia="Times New Roman" w:cs="Times New Roman"/>
        </w:rPr>
        <w:t>“Kwa Yohana zilifunuliwa mandhari zenye umuhimu wa kina na za kusisimua katika uzoefu wa kanisa. Aliona hali, hatari, mapambano, na ukombozi wa mwisho wa watu wa Mungu. Anaandika jumbe za mwisho ambazo zitakomaza mavuno ya dunia, ama kuwa miganda kwa ghala la mbinguni au vifurushi kwa ajili ya mioto ya uangamivu. Mada zenye umuhimu mkuu zilifunuliwa kwake, hasa kwa ajili ya kanisa la mwisho, ili wale watakaogeuka kutoka katika upotovu waende kwenye kweli wapate kufundishwa kuhusu hatari na mapambano yaliyo mbele yao. Hakuna mtu anayepaswa kuwa gizani kuhusu yale yatakayoujia ulimwengu.” The Great Controversy, 341.</w:t>
      </w:r>
    </w:p>
    <w:p>
      <w:pPr>
        <w:pStyle w:val="ArticleBody"/>
        <w:jc w:val="left"/>
      </w:pPr>
      <w:r>
        <w:rPr>
          <w:rFonts w:ascii="Times New Roman" w:hAnsi="Times New Roman" w:eastAsia="Times New Roman" w:cs="Times New Roman"/>
        </w:rPr>
        <w:t>C’est par des « paroles de vérité » que, dans cette génération, sont donnés « les derniers messages qui doivent amener la moisson à maturité », et qui séparent les deux classes. Cette œuvre est aussi celle de « l’homme à la brosse pour enlever la poussière » du songe de Miller.</w:t>
      </w:r>
    </w:p>
    <w:p>
      <w:pPr>
        <w:pStyle w:val="ArticleScripture"/>
        <w:jc w:val="left"/>
      </w:pPr>
      <w:r>
        <w:rPr>
          <w:rFonts w:ascii="Times New Roman" w:hAnsi="Times New Roman" w:eastAsia="Times New Roman" w:cs="Times New Roman"/>
        </w:rPr>
        <w:t>“‘Kush ka lopatë në dorën e Tij, dhe Ai do ta pastrojë tërësisht lëmin e Tij, dhe do ta mbledhë grurin e Tij në hambar.’ Mateu 3:12. Kjo ishte një nga kohët e pastrimit. Me anë të fjalëve të së vërtetës, byku po ndahej nga gruri. Për shkak se ishin tepër mendjelehtë dhe të vetëdrejtë për të pranuar qortimin, tepër dashurues të botës për të pranuar një jetë përulësie, shumë u larguan nga Jezusi. Shumë ende po bëjnë të njëjtën gjë. Shpirtrat sot vihen në provë, ashtu siç u vunë në provë ata dishepuj në sinagogën e Kapernaumit. Kur e vërteta i sillet zemrës, ata shohin se jeta e tyre nuk është në përputhje me vullnetin e Perëndisë. Ata e shohin nevojën për një ndryshim tërësor në vetvete; por nuk janë të gatshëm të marrin përsipër veprën e vetëmohuese. Prandaj zemërohen kur zbulohen mëkatet e tyre. Ata largohen të fyer, ashtu siç dishepujt e lanë Jezusin, duke murmuritur: ‘Kjo është një fjalë e rëndë; kush mund ta dëgjojë?’” The Desire of Ages, 392.</w:t>
      </w:r>
    </w:p>
    <w:p>
      <w:pPr>
        <w:pStyle w:val="ArticleBody"/>
        <w:jc w:val="left"/>
      </w:pPr>
      <w:r>
        <w:rPr>
          <w:rFonts w:ascii="Times New Roman" w:hAnsi="Times New Roman" w:eastAsia="Times New Roman" w:cs="Times New Roman"/>
        </w:rPr>
        <w:t>À partir de la grande déception de 1844, les jalons et les événements jusqu’en 1863 représentent l’histoire allant du 11 septembre jusqu’à la loi du dimanche. Pourquoi 1844 = 11 septembre, demandez-vous ?</w:t>
      </w:r>
    </w:p>
    <w:p>
      <w:pPr>
        <w:pStyle w:val="ArticleBody"/>
        <w:jc w:val="left"/>
      </w:pPr>
      <w:r>
        <w:rPr>
          <w:rFonts w:ascii="Times New Roman" w:hAnsi="Times New Roman" w:eastAsia="Times New Roman" w:cs="Times New Roman"/>
        </w:rPr>
        <w:t>Les écrits de Sœur White sont clairs : le troisième ange est arrivé le 22 octobre 1844, mais il est aussi arrivé en 1888, ce qui est typifié par le 11 septembre. Plus important encore, tous les prophètes isolent précisément l’histoire même du 11 septembre jusqu’à la loi du dimanche ; ainsi, ce n’est pas le témoignage de deux ou de trois, mais le témoignage uni de tous les témoins de la Parole de Dieu, que la période allant du 11 septembre à la loi du dimanche est celle où « l’effet de toute vision » s’accomplit.</w:t>
      </w:r>
    </w:p>
    <w:p>
      <w:pPr>
        <w:pStyle w:val="ArticleBody"/>
        <w:jc w:val="left"/>
      </w:pPr>
      <w:r>
        <w:rPr>
          <w:rFonts w:ascii="Times New Roman" w:hAnsi="Times New Roman" w:eastAsia="Times New Roman" w:cs="Times New Roman"/>
        </w:rPr>
        <w:t>L’histoire de l’arrivée et de l’achèvement du troisième ange s’étendit de 1844 à 1863 et représente la période des œuvres merveilleuses de Dieu, du 11/9 jusqu’à la loi du dimanche. Cette histoire est également représentée par 1840 à 1844, et, dans cette ligne, 1840 est l’alpha et 1844 l’oméga. Dans la ligne de 1844 à 1863, 1844 est l’alpha et 1863 l’oméga. 1844 est à la fois l’alpha et l’oméga.</w:t>
      </w:r>
    </w:p>
    <w:p>
      <w:pPr>
        <w:pStyle w:val="ArticleBody"/>
        <w:jc w:val="left"/>
      </w:pPr>
      <w:r>
        <w:rPr>
          <w:rFonts w:ascii="Times New Roman" w:hAnsi="Times New Roman" w:eastAsia="Times New Roman" w:cs="Times New Roman"/>
        </w:rPr>
        <w:t>La croix s’aligne avec 1844, et l’Alpha et l’Oméga a versé son sang à la croix. À partir du 11/9 (1840), nous trouvons Apocalypse 10 exposant l’histoire qui commence avec Jean mangeant le petit livre en 1840, puis le désappointement dans son ventre en 1844. Le fait de manger en est le commencement; le ventre en marque la fin. Le dernier verset du chapitre 10 représente cette histoire répétée dans l’histoire des cent quarante-quatre mille.</w:t>
      </w:r>
    </w:p>
    <w:p>
      <w:pPr>
        <w:pStyle w:val="ArticleScripture"/>
        <w:jc w:val="left"/>
      </w:pPr>
      <w:r>
        <w:rPr>
          <w:rFonts w:ascii="Microsoft YaHei" w:hAnsi="Microsoft YaHei" w:eastAsia="Microsoft YaHei" w:cs="Microsoft YaHei"/>
        </w:rPr>
        <w:t>我从天使手中把小书卷取过来</w:t>
      </w:r>
      <w:r>
        <w:rPr>
          <w:rFonts w:ascii="Times New Roman" w:hAnsi="Times New Roman" w:eastAsia="Times New Roman" w:cs="Times New Roman"/>
        </w:rPr>
        <w:t>,</w:t>
      </w:r>
      <w:r>
        <w:rPr>
          <w:rFonts w:ascii="Microsoft YaHei" w:hAnsi="Microsoft YaHei" w:eastAsia="Microsoft YaHei" w:cs="Microsoft YaHei"/>
        </w:rPr>
        <w:t>吃尽了</w:t>
      </w:r>
      <w:r>
        <w:rPr>
          <w:rFonts w:ascii="Times New Roman" w:hAnsi="Times New Roman" w:eastAsia="Times New Roman" w:cs="Times New Roman"/>
        </w:rPr>
        <w:t>;</w:t>
      </w:r>
      <w:r>
        <w:rPr>
          <w:rFonts w:ascii="Microsoft YaHei" w:hAnsi="Microsoft YaHei" w:eastAsia="Microsoft YaHei" w:cs="Microsoft YaHei"/>
        </w:rPr>
        <w:t>在我口中甜如蜜</w:t>
      </w:r>
      <w:r>
        <w:rPr>
          <w:rFonts w:ascii="Times New Roman" w:hAnsi="Times New Roman" w:eastAsia="Times New Roman" w:cs="Times New Roman"/>
        </w:rPr>
        <w:t>,</w:t>
      </w:r>
      <w:r>
        <w:rPr>
          <w:rFonts w:ascii="Microsoft YaHei" w:hAnsi="Microsoft YaHei" w:eastAsia="Microsoft YaHei" w:cs="Microsoft YaHei"/>
        </w:rPr>
        <w:t>吃了以后</w:t>
      </w:r>
      <w:r>
        <w:rPr>
          <w:rFonts w:ascii="Times New Roman" w:hAnsi="Times New Roman" w:eastAsia="Times New Roman" w:cs="Times New Roman"/>
        </w:rPr>
        <w:t>,</w:t>
      </w:r>
      <w:r>
        <w:rPr>
          <w:rFonts w:ascii="Microsoft YaHei" w:hAnsi="Microsoft YaHei" w:eastAsia="Microsoft YaHei" w:cs="Microsoft YaHei"/>
        </w:rPr>
        <w:t>肚腹却发苦</w:t>
      </w:r>
      <w:r>
        <w:rPr>
          <w:rFonts w:ascii="Times New Roman" w:hAnsi="Times New Roman" w:eastAsia="Times New Roman" w:cs="Times New Roman"/>
        </w:rPr>
        <w:t>.</w:t>
      </w:r>
      <w:r>
        <w:rPr>
          <w:rFonts w:ascii="Microsoft YaHei" w:hAnsi="Microsoft YaHei" w:eastAsia="Microsoft YaHei" w:cs="Microsoft YaHei"/>
        </w:rPr>
        <w:t>天使对我说：</w:t>
      </w:r>
      <w:r>
        <w:rPr>
          <w:rFonts w:ascii="Times New Roman" w:hAnsi="Times New Roman" w:eastAsia="Times New Roman" w:cs="Times New Roman"/>
        </w:rPr>
        <w:t>“</w:t>
      </w:r>
      <w:r>
        <w:rPr>
          <w:rFonts w:ascii="Microsoft YaHei" w:hAnsi="Microsoft YaHei" w:eastAsia="Microsoft YaHei" w:cs="Microsoft YaHei"/>
        </w:rPr>
        <w:t>你必指着多民、多国、多方、多王再说预言</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10:10, 11.</w:t>
      </w:r>
    </w:p>
    <w:p>
      <w:pPr>
        <w:pStyle w:val="ArticleBody"/>
        <w:jc w:val="left"/>
      </w:pPr>
      <w:r>
        <w:rPr>
          <w:rFonts w:ascii="Times New Roman" w:hAnsi="Times New Roman" w:eastAsia="Times New Roman" w:cs="Times New Roman"/>
        </w:rPr>
        <w:t>Ufunuo sura ya kumi na Habakuki sura ya pili zinawakilisha sura mbili zinazotoa ushuhuda kuhusu kipindi cha unabii cha 1840 hadi 1844. Historia ya 1844 hadi 1863 huanza katika alama ya njia ya kukatishwa tamaa, ikifuatiwa na kutawanyika kunakofuatwa na kukusanywa. Katika kipindi hicho historia ya kinabii ya mabamba mawili ya Habakuki hufikia hitimisho wakati ambapo bamba la pili lilichapishwa mwaka 1849 na kuenezwa nje mwaka 1850. Kipindi cha mabamba ya Habakuki kilikuwa tangu Mei 1842, wakati chati ya 1843 ilipochapishwa, na kipindi hicho cha kinabii kilimalizikia pale kilipoanzia, kwa kuchapishwa kwa moja ya mabamba mawili ya Habakuki. Chati ya 1843 ndiyo alfa na chati ya 1850 ndiyo omega.</w:t>
      </w:r>
    </w:p>
    <w:p>
      <w:pPr>
        <w:pStyle w:val="ArticleBody"/>
        <w:jc w:val="left"/>
      </w:pPr>
      <w:r>
        <w:rPr>
          <w:rFonts w:ascii="Times New Roman" w:hAnsi="Times New Roman" w:eastAsia="Times New Roman" w:cs="Times New Roman"/>
        </w:rPr>
        <w:t>En 1856, Hiram Edson écrivit une série d’articles qui élevèrent à un niveau nouveau la compréhension des « sept temps » qu’avait William Miller. L’œuvre d’Edson fut l’oméga de l’œuvre de Miller, portant la vérité fondamentale de Miller à la position d’une pierre faîtière destinée à donner de la puissance au peuple de Dieu. La lumière de Miller sur les « sept temps » était l’alpha, et la lumière d’Edson sur les « sept temps » était l’oméga.</w:t>
      </w:r>
    </w:p>
    <w:p>
      <w:pPr>
        <w:pStyle w:val="ArticleBody"/>
        <w:jc w:val="left"/>
      </w:pPr>
      <w:r>
        <w:rPr>
          <w:rFonts w:ascii="Times New Roman" w:hAnsi="Times New Roman" w:eastAsia="Times New Roman" w:cs="Times New Roman"/>
        </w:rPr>
        <w:t>У 1863 році рух перетворився на церкву, яка зрештою породила зі свого власного середовища рух, так само як міллеріти вийшли з протестантів, і так само як учні вийшли з юдаїзму до християнства, і так само як Ісус Навин та Халев вийшли з народу колишнього завіту, приреченого померти в пустелі.</w:t>
      </w:r>
    </w:p>
    <w:p>
      <w:pPr>
        <w:pStyle w:val="ArticleBody"/>
        <w:jc w:val="left"/>
      </w:pPr>
      <w:r>
        <w:rPr>
          <w:rFonts w:ascii="Times New Roman" w:hAnsi="Times New Roman" w:eastAsia="Times New Roman" w:cs="Times New Roman"/>
        </w:rPr>
        <w:t>في التاريخ ذاته (1844 إلى 1863)، كان القرن الجمهوري للوحش الصاعد من الأرض يجتاز صراعًا موازيًا انفجر في النهاية في الحرب الأهلية، التي يتفق جميع المؤرخين على أنها بلغت منتصفها في عام 1863 بإعلان لنكولن تحرير العبيد. ويمثل لنكولن أول رئيس جمهوري، وقد أدى قسم الرئاسة عقب أسوأ رئيس ديمقراطي في التاريخ حتى ذلك الحين. ثم اغتيل لاحقًا. وتتكرر جميع هذه السمات النبوية، وغيرها، مع آخر رئيس جمهوري.</w:t>
      </w:r>
    </w:p>
    <w:p>
      <w:pPr>
        <w:pStyle w:val="ArticleBody"/>
        <w:jc w:val="left"/>
      </w:pPr>
      <w:r>
        <w:rPr>
          <w:rFonts w:ascii="Times New Roman" w:hAnsi="Times New Roman" w:eastAsia="Times New Roman" w:cs="Times New Roman"/>
        </w:rPr>
        <w:t>1844 t/m 1863 omvatte een verstrooiing en een inzameling. 1863 vertegenwoordigt de zondagswet, zodat de verstrooiing die in 1844 plaatsvond de enige verstrooiing is tot 1863, wanneer de Laodiceaanse Zevende-dags Adventisten verstrooid werden naar de woestijn van Laodicea. 1844 bracht een verstrooiing voort en 1863 bracht een verstrooiing voort, en getuigt aldus van het feit dat deze geschiedenis een geïdentificeerd profetisch symbool is, want zij begint met een alfa-verstrooiing in 1844 en eindigt met een omega-verstrooiing in 1863. De eerste verstrooiing kwam op 18 juli 2020, en de uiteindelijke omega-verstrooiing wordt vervuld bij de zondagswet.</w:t>
      </w:r>
    </w:p>
    <w:p>
      <w:pPr>
        <w:pStyle w:val="ArticleScripture"/>
        <w:jc w:val="left"/>
      </w:pPr>
      <w:r>
        <w:rPr>
          <w:rFonts w:ascii="Times New Roman" w:hAnsi="Times New Roman" w:eastAsia="Times New Roman" w:cs="Times New Roman"/>
        </w:rPr>
        <w:t>« Le temps vient où nous serons séparés et dispersés, et où chacun de nous devra tenir ferme sans le privilège de la communion avec ceux qui ont une foi également précieuse ; et comment pourrez-vous tenir, à moins que Dieu ne soit à votre côté, et que vous ne sachiez qu’il vous conduit et vous dirige ? » Review and Herald, 25 mars 1890.</w:t>
      </w:r>
    </w:p>
    <w:p>
      <w:pPr>
        <w:pStyle w:val="ArticleBody"/>
        <w:jc w:val="left"/>
      </w:pP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पर्याप्त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अगुवाई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मार्गदर्शन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वाक्यांशों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Ug sizze fan oerfloed ite en sêd wurde, en de namme fan de Heare, jim God, priizgje, dy't wûnderlik mei jim hannele hat; en myn folk sil nea te skande wurde. En jim sille witte dat Ik yn it midden fan Israel bin, en dat Ik de Heare, jim God, bin, en nimmen oars; en myn folk sil nea te skande wurde. … Sa sille jim witte dat Ik de Heare, jim God, bin, wenjende op Sion, myn hillige berch; dan sil Jeruzalem hillich wêze, en gjin frjemden sille mear troch har hinne gean. Joël 2:26, 27, 3:17.</w:t>
      </w:r>
    </w:p>
    <w:p>
      <w:pPr>
        <w:pStyle w:val="ArticleBody"/>
        <w:jc w:val="left"/>
      </w:pPr>
      <w:r>
        <w:rPr>
          <w:rFonts w:ascii="Nirmala UI" w:hAnsi="Nirmala UI" w:eastAsia="Nirmala UI" w:cs="Nirmala UI"/>
        </w:rPr>
        <w:t>ಯೆರೂಸಲೇಮು</w:t>
      </w:r>
      <w:r>
        <w:rPr>
          <w:rFonts w:ascii="Times New Roman" w:hAnsi="Times New Roman" w:eastAsia="Times New Roman" w:cs="Times New Roman"/>
        </w:rPr>
        <w:t xml:space="preserve"> </w:t>
      </w:r>
      <w:r>
        <w:rPr>
          <w:rFonts w:ascii="Nirmala UI" w:hAnsi="Nirmala UI" w:eastAsia="Nirmala UI" w:cs="Nirmala UI"/>
        </w:rPr>
        <w:t>ಪವಿತ್ರವಾಗಿರುವಾಗ</w:t>
      </w:r>
      <w:r>
        <w:rPr>
          <w:rFonts w:ascii="Times New Roman" w:hAnsi="Times New Roman" w:eastAsia="Times New Roman" w:cs="Times New Roman"/>
        </w:rPr>
        <w:t xml:space="preserve">, </w:t>
      </w:r>
      <w:r>
        <w:rPr>
          <w:rFonts w:ascii="Nirmala UI" w:hAnsi="Nirmala UI" w:eastAsia="Nirmala UI" w:cs="Nirmala UI"/>
        </w:rPr>
        <w:t>ಅವಳು</w:t>
      </w:r>
      <w:r>
        <w:rPr>
          <w:rFonts w:ascii="Times New Roman" w:hAnsi="Times New Roman" w:eastAsia="Times New Roman" w:cs="Times New Roman"/>
        </w:rPr>
        <w:t xml:space="preserve"> </w:t>
      </w:r>
      <w:r>
        <w:rPr>
          <w:rFonts w:ascii="Nirmala UI" w:hAnsi="Nirmala UI" w:eastAsia="Nirmala UI" w:cs="Nirmala UI"/>
        </w:rPr>
        <w:t>ಜಯಶಾಲಿ</w:t>
      </w:r>
      <w:r>
        <w:rPr>
          <w:rFonts w:ascii="Times New Roman" w:hAnsi="Times New Roman" w:eastAsia="Times New Roman" w:cs="Times New Roman"/>
        </w:rPr>
        <w:t xml:space="preserve"> </w:t>
      </w:r>
      <w:r>
        <w:rPr>
          <w:rFonts w:ascii="Nirmala UI" w:hAnsi="Nirmala UI" w:eastAsia="Nirmala UI" w:cs="Nirmala UI"/>
        </w:rPr>
        <w:t>ಸಭೆಯಾಗಿರುತ್ತಾಳೆ</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ಹೋರಾಟದಲ್ಲಿರುವ</w:t>
      </w:r>
      <w:r>
        <w:rPr>
          <w:rFonts w:ascii="Times New Roman" w:hAnsi="Times New Roman" w:eastAsia="Times New Roman" w:cs="Times New Roman"/>
        </w:rPr>
        <w:t xml:space="preserve"> </w:t>
      </w:r>
      <w:r>
        <w:rPr>
          <w:rFonts w:ascii="Nirmala UI" w:hAnsi="Nirmala UI" w:eastAsia="Nirmala UI" w:cs="Nirmala UI"/>
        </w:rPr>
        <w:t>ಸಭೆ</w:t>
      </w:r>
      <w:r>
        <w:rPr>
          <w:rFonts w:ascii="Times New Roman" w:hAnsi="Times New Roman" w:eastAsia="Times New Roman" w:cs="Times New Roman"/>
        </w:rPr>
        <w:t xml:space="preserve"> </w:t>
      </w:r>
      <w:r>
        <w:rPr>
          <w:rFonts w:ascii="Nirmala UI" w:hAnsi="Nirmala UI" w:eastAsia="Nirmala UI" w:cs="Nirmala UI"/>
        </w:rPr>
        <w:t>ಗೋಧಿ</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ಕಳೆಗಳಿಂದ</w:t>
      </w:r>
      <w:r>
        <w:rPr>
          <w:rFonts w:ascii="Times New Roman" w:hAnsi="Times New Roman" w:eastAsia="Times New Roman" w:cs="Times New Roman"/>
        </w:rPr>
        <w:t xml:space="preserve"> </w:t>
      </w:r>
      <w:r>
        <w:rPr>
          <w:rFonts w:ascii="Nirmala UI" w:hAnsi="Nirmala UI" w:eastAsia="Nirmala UI" w:cs="Nirmala UI"/>
        </w:rPr>
        <w:t>ನಿರ್ಮಿತವಾದ</w:t>
      </w:r>
      <w:r>
        <w:rPr>
          <w:rFonts w:ascii="Times New Roman" w:hAnsi="Times New Roman" w:eastAsia="Times New Roman" w:cs="Times New Roman"/>
        </w:rPr>
        <w:t xml:space="preserve"> </w:t>
      </w:r>
      <w:r>
        <w:rPr>
          <w:rFonts w:ascii="Nirmala UI" w:hAnsi="Nirmala UI" w:eastAsia="Nirmala UI" w:cs="Nirmala UI"/>
        </w:rPr>
        <w:t>ಸಭೆಯೆಂದು</w:t>
      </w:r>
      <w:r>
        <w:rPr>
          <w:rFonts w:ascii="Times New Roman" w:hAnsi="Times New Roman" w:eastAsia="Times New Roman" w:cs="Times New Roman"/>
        </w:rPr>
        <w:t xml:space="preserve"> </w:t>
      </w:r>
      <w:r>
        <w:rPr>
          <w:rFonts w:ascii="Nirmala UI" w:hAnsi="Nirmala UI" w:eastAsia="Nirmala UI" w:cs="Nirmala UI"/>
        </w:rPr>
        <w:t>ವ್ಯಾಖ್ಯಾನಿಸಲ್ಪಟ್ಟಿದೆ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ಅನ್ಯರು</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ಮುಂದೆ</w:t>
      </w:r>
      <w:r>
        <w:rPr>
          <w:rFonts w:ascii="Times New Roman" w:hAnsi="Times New Roman" w:eastAsia="Times New Roman" w:cs="Times New Roman"/>
        </w:rPr>
        <w:t xml:space="preserve"> </w:t>
      </w:r>
      <w:r>
        <w:rPr>
          <w:rFonts w:ascii="Nirmala UI" w:hAnsi="Nirmala UI" w:eastAsia="Nirmala UI" w:cs="Nirmala UI"/>
        </w:rPr>
        <w:t>ಹಾದುಹೋಗದಾಗ</w:t>
      </w:r>
      <w:r>
        <w:rPr>
          <w:rFonts w:ascii="Times New Roman" w:hAnsi="Times New Roman" w:eastAsia="Times New Roman" w:cs="Times New Roman"/>
        </w:rPr>
        <w:t>” “</w:t>
      </w:r>
      <w:r>
        <w:rPr>
          <w:rFonts w:ascii="Nirmala UI" w:hAnsi="Nirmala UI" w:eastAsia="Nirmala UI" w:cs="Nirmala UI"/>
        </w:rPr>
        <w:t>ಯೆರೂಸಲೇಮು</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ನೇತೃತ್ವವಹಿಸಿ</w:t>
      </w:r>
      <w:r>
        <w:rPr>
          <w:rFonts w:ascii="Times New Roman" w:hAnsi="Times New Roman" w:eastAsia="Times New Roman" w:cs="Times New Roman"/>
        </w:rPr>
        <w:t xml:space="preserve"> </w:t>
      </w:r>
      <w:r>
        <w:rPr>
          <w:rFonts w:ascii="Nirmala UI" w:hAnsi="Nirmala UI" w:eastAsia="Nirmala UI" w:cs="Nirmala UI"/>
        </w:rPr>
        <w:t>ಮಾರ್ಗದರ್ಶನ</w:t>
      </w:r>
      <w:r>
        <w:rPr>
          <w:rFonts w:ascii="Times New Roman" w:hAnsi="Times New Roman" w:eastAsia="Times New Roman" w:cs="Times New Roman"/>
        </w:rPr>
        <w:t xml:space="preserve"> </w:t>
      </w:r>
      <w:r>
        <w:rPr>
          <w:rFonts w:ascii="Nirmala UI" w:hAnsi="Nirmala UI" w:eastAsia="Nirmala UI" w:cs="Nirmala UI"/>
        </w:rPr>
        <w:t>ಮಾಡುತ್ತಿದ್ದಾನೆ</w:t>
      </w:r>
      <w:r>
        <w:rPr>
          <w:rFonts w:ascii="Times New Roman" w:hAnsi="Times New Roman" w:eastAsia="Times New Roman" w:cs="Times New Roman"/>
        </w:rPr>
        <w:t xml:space="preserve">” </w:t>
      </w:r>
      <w:r>
        <w:rPr>
          <w:rFonts w:ascii="Nirmala UI" w:hAnsi="Nirmala UI" w:eastAsia="Nirmala UI" w:cs="Nirmala UI"/>
        </w:rPr>
        <w:t>ಎಂಬುದನ್ನು</w:t>
      </w:r>
      <w:r>
        <w:rPr>
          <w:rFonts w:ascii="Times New Roman" w:hAnsi="Times New Roman" w:eastAsia="Times New Roman" w:cs="Times New Roman"/>
        </w:rPr>
        <w:t xml:space="preserve"> “</w:t>
      </w:r>
      <w:r>
        <w:rPr>
          <w:rFonts w:ascii="Nirmala UI" w:hAnsi="Nirmala UI" w:eastAsia="Nirmala UI" w:cs="Nirmala UI"/>
        </w:rPr>
        <w:t>ತಿಳಿದುಕೊಳ್ಳುವರು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ತಿಳಿದುಕೊಳ್ಳುವರು</w:t>
      </w:r>
      <w:r>
        <w:rPr>
          <w:rFonts w:ascii="Times New Roman" w:hAnsi="Times New Roman" w:eastAsia="Times New Roman" w:cs="Times New Roman"/>
        </w:rPr>
        <w:t xml:space="preserve">, </w:t>
      </w:r>
      <w:r>
        <w:rPr>
          <w:rFonts w:ascii="Nirmala UI" w:hAnsi="Nirmala UI" w:eastAsia="Nirmala UI" w:cs="Nirmala UI"/>
        </w:rPr>
        <w:t>ಯಾಕಂದರೆ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ಬಾರಿ</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ಪ್ರಾರ್ಥನೆಯನ್ನು</w:t>
      </w:r>
      <w:r>
        <w:rPr>
          <w:rFonts w:ascii="Times New Roman" w:hAnsi="Times New Roman" w:eastAsia="Times New Roman" w:cs="Times New Roman"/>
        </w:rPr>
        <w:t xml:space="preserve"> </w:t>
      </w:r>
      <w:r>
        <w:rPr>
          <w:rFonts w:ascii="Nirmala UI" w:hAnsi="Nirmala UI" w:eastAsia="Nirmala UI" w:cs="Nirmala UI"/>
        </w:rPr>
        <w:t>ನೆರವೇರಿಸಿದವರಾಗಿದ್ದಾರೆ</w:t>
      </w:r>
      <w:r>
        <w:rPr>
          <w:rFonts w:ascii="Times New Roman" w:hAnsi="Times New Roman" w:eastAsia="Times New Roman" w:cs="Times New Roman"/>
        </w:rPr>
        <w:t xml:space="preserve">; </w:t>
      </w:r>
      <w:r>
        <w:rPr>
          <w:rFonts w:ascii="Nirmala UI" w:hAnsi="Nirmala UI" w:eastAsia="Nirmala UI" w:cs="Nirmala UI"/>
        </w:rPr>
        <w:t>ಅದರಲ್ಲಿ</w:t>
      </w:r>
      <w:r>
        <w:rPr>
          <w:rFonts w:ascii="Times New Roman" w:hAnsi="Times New Roman" w:eastAsia="Times New Roman" w:cs="Times New Roman"/>
        </w:rPr>
        <w:t xml:space="preserve"> </w:t>
      </w:r>
      <w:r>
        <w:rPr>
          <w:rFonts w:ascii="Nirmala UI" w:hAnsi="Nirmala UI" w:eastAsia="Nirmala UI" w:cs="Nirmala UI"/>
        </w:rPr>
        <w:t>ಲವೊದಿಕೇಯನನಾಗಿ</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ನಿಮ್ಮನ್ನು</w:t>
      </w:r>
      <w:r>
        <w:rPr>
          <w:rFonts w:ascii="Times New Roman" w:hAnsi="Times New Roman" w:eastAsia="Times New Roman" w:cs="Times New Roman"/>
        </w:rPr>
        <w:t xml:space="preserve"> </w:t>
      </w:r>
      <w:r>
        <w:rPr>
          <w:rFonts w:ascii="Nirmala UI" w:hAnsi="Nirmala UI" w:eastAsia="Nirmala UI" w:cs="Nirmala UI"/>
        </w:rPr>
        <w:t>ನಡೆಸುತ್ತಿರಲಿಲ್ಲವೆಂದು</w:t>
      </w:r>
      <w:r>
        <w:rPr>
          <w:rFonts w:ascii="Times New Roman" w:hAnsi="Times New Roman" w:eastAsia="Times New Roman" w:cs="Times New Roman"/>
        </w:rPr>
        <w:t xml:space="preserve"> </w:t>
      </w:r>
      <w:r>
        <w:rPr>
          <w:rFonts w:ascii="Nirmala UI" w:hAnsi="Nirmala UI" w:eastAsia="Nirmala UI" w:cs="Nirmala UI"/>
        </w:rPr>
        <w:t>ಒಪ್ಪಿಕೊಳ್ಳುವುದೂ</w:t>
      </w:r>
      <w:r>
        <w:rPr>
          <w:rFonts w:ascii="Times New Roman" w:hAnsi="Times New Roman" w:eastAsia="Times New Roman" w:cs="Times New Roman"/>
        </w:rPr>
        <w:t xml:space="preserve"> </w:t>
      </w:r>
      <w:r>
        <w:rPr>
          <w:rFonts w:ascii="Nirmala UI" w:hAnsi="Nirmala UI" w:eastAsia="Nirmala UI" w:cs="Nirmala UI"/>
        </w:rPr>
        <w:t>ಸೇರಿದೆ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ಫಿಲಡೆಲ್ಫಿಯನನಾಗಿ</w:t>
      </w:r>
      <w:r>
        <w:rPr>
          <w:rFonts w:ascii="Times New Roman" w:hAnsi="Times New Roman" w:eastAsia="Times New Roman" w:cs="Times New Roman"/>
        </w:rPr>
        <w:t xml:space="preserve"> </w:t>
      </w:r>
      <w:r>
        <w:rPr>
          <w:rFonts w:ascii="Nirmala UI" w:hAnsi="Nirmala UI" w:eastAsia="Nirmala UI" w:cs="Nirmala UI"/>
        </w:rPr>
        <w:t>ಬದಲಾಗುವಾಗ</w:t>
      </w:r>
      <w:r>
        <w:rPr>
          <w:rFonts w:ascii="Times New Roman" w:hAnsi="Times New Roman" w:eastAsia="Times New Roman" w:cs="Times New Roman"/>
        </w:rPr>
        <w:t>,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ನೇತೃತ್ವವಹಿಸಿ</w:t>
      </w:r>
      <w:r>
        <w:rPr>
          <w:rFonts w:ascii="Times New Roman" w:hAnsi="Times New Roman" w:eastAsia="Times New Roman" w:cs="Times New Roman"/>
        </w:rPr>
        <w:t xml:space="preserve"> </w:t>
      </w:r>
      <w:r>
        <w:rPr>
          <w:rFonts w:ascii="Nirmala UI" w:hAnsi="Nirmala UI" w:eastAsia="Nirmala UI" w:cs="Nirmala UI"/>
        </w:rPr>
        <w:t>ಮಾರ್ಗದರ್ಶನ</w:t>
      </w:r>
      <w:r>
        <w:rPr>
          <w:rFonts w:ascii="Times New Roman" w:hAnsi="Times New Roman" w:eastAsia="Times New Roman" w:cs="Times New Roman"/>
        </w:rPr>
        <w:t xml:space="preserve"> </w:t>
      </w:r>
      <w:r>
        <w:rPr>
          <w:rFonts w:ascii="Nirmala UI" w:hAnsi="Nirmala UI" w:eastAsia="Nirmala UI" w:cs="Nirmala UI"/>
        </w:rPr>
        <w:t>ಮಾಡುತ್ತಿದ್ದಾನೆ</w:t>
      </w:r>
      <w:r>
        <w:rPr>
          <w:rFonts w:ascii="Times New Roman" w:hAnsi="Times New Roman" w:eastAsia="Times New Roman" w:cs="Times New Roman"/>
        </w:rPr>
        <w:t xml:space="preserve">” </w:t>
      </w:r>
      <w:r>
        <w:rPr>
          <w:rFonts w:ascii="Nirmala UI" w:hAnsi="Nirmala UI" w:eastAsia="Nirmala UI" w:cs="Nirmala UI"/>
        </w:rPr>
        <w:t>ಎಂಬುದನ್ನೂ</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ಇಸ್ರಾಯೇಲಿನ</w:t>
      </w:r>
      <w:r>
        <w:rPr>
          <w:rFonts w:ascii="Times New Roman" w:hAnsi="Times New Roman" w:eastAsia="Times New Roman" w:cs="Times New Roman"/>
        </w:rPr>
        <w:t xml:space="preserve"> </w:t>
      </w:r>
      <w:r>
        <w:rPr>
          <w:rFonts w:ascii="Nirmala UI" w:hAnsi="Nirmala UI" w:eastAsia="Nirmala UI" w:cs="Nirmala UI"/>
        </w:rPr>
        <w:t>ಮಧ್ಯದಲ್ಲಿದ್ದಾನೆ</w:t>
      </w:r>
      <w:r>
        <w:rPr>
          <w:rFonts w:ascii="Times New Roman" w:hAnsi="Times New Roman" w:eastAsia="Times New Roman" w:cs="Times New Roman"/>
        </w:rPr>
        <w:t xml:space="preserve">” </w:t>
      </w:r>
      <w:r>
        <w:rPr>
          <w:rFonts w:ascii="Nirmala UI" w:hAnsi="Nirmala UI" w:eastAsia="Nirmala UI" w:cs="Nirmala UI"/>
        </w:rPr>
        <w:t>ಎಂಬುದನ್ನೂ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ತಿಳಿದುಕೊಳ್ಳುವಿರಿ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Tokshovli April 19 hvse alpha tvlskese (hoktecvfketv) momis, hvse October 22 omega tvlskese (hoktecvfketv) momis, October 22 estonko hoktecvfketv em momis mvt hayet owis os lvketskat os. Pvsvliketv Millerite historē emon, hvse Mvskoke Etvlwv em propheti historē emon, propheti waymark em os; estonko 1844 etonko momis mvt hayet owis os lvketskat os, cv hē historē em waymark os, hvse hē waymark tvlskese momis en vnetv.</w:t>
      </w:r>
    </w:p>
    <w:p>
      <w:pPr>
        <w:pStyle w:val="ArticleHeading"/>
        <w:jc w:val="left"/>
      </w:pPr>
      <w:r>
        <w:rPr>
          <w:rFonts w:ascii="Arial" w:hAnsi="Arial" w:eastAsia="Arial" w:cs="Arial"/>
        </w:rPr>
        <w:t>1847—Nantsengu Lowu Hasarangshwa Yehovha</w:t>
      </w:r>
    </w:p>
    <w:p>
      <w:pPr>
        <w:pStyle w:val="ArticleScripture"/>
        <w:jc w:val="left"/>
      </w:pPr>
      <w:r>
        <w:rPr>
          <w:rFonts w:ascii="Times New Roman" w:hAnsi="Times New Roman" w:eastAsia="Times New Roman" w:cs="Times New Roman"/>
        </w:rPr>
        <w:t>“Un Message au ‘Petit Troupeau.’”</w:t>
      </w:r>
    </w:p>
    <w:p>
      <w:pPr>
        <w:pStyle w:val="ArticleScripture"/>
        <w:jc w:val="left"/>
      </w:pPr>
      <w:r>
        <w:rPr>
          <w:rFonts w:ascii="Times New Roman" w:hAnsi="Times New Roman" w:eastAsia="Times New Roman" w:cs="Times New Roman"/>
        </w:rPr>
        <w:t>“ff following articles were written for ff Day-Dawn, which has been published at Canandaigua, New York, by O. R. L. Crosier. But as that paper is not now published, and as we do not know as it will be published again, it is thought best by some of us in Maine, to have them given in this form. I wish to call ff attention of ff ‘little flock’ to those things which will very soon take place on this earth....”</w:t>
      </w:r>
    </w:p>
    <w:p>
      <w:pPr>
        <w:pStyle w:val="ArticleScripture"/>
        <w:jc w:val="left"/>
      </w:pPr>
      <w:r>
        <w:rPr>
          <w:rFonts w:ascii="Times New Roman" w:hAnsi="Times New Roman" w:eastAsia="Times New Roman" w:cs="Times New Roman"/>
        </w:rPr>
        <w:t>Le lecteur aura remarqué que trois communications de la plume de Mme E. G. White ont été incluses dans A Word to the “Little Flock.”…</w:t>
      </w:r>
    </w:p>
    <w:p>
      <w:pPr>
        <w:pStyle w:val="ArticleScripture"/>
        <w:jc w:val="left"/>
      </w:pPr>
      <w:r>
        <w:rPr>
          <w:rFonts w:ascii="Times New Roman" w:hAnsi="Times New Roman" w:eastAsia="Times New Roman" w:cs="Times New Roman"/>
        </w:rPr>
        <w:t>“Известувањето второ од г-ѓа Вајт, кое се наоѓа на страниците 14–18, претставува извештај за нејзиното прво видение под насловот, До Остатокот Расеан Насекаде. Ова е напишано на 20 декември 1845 година, како лично писмо до Енох Џејкобс, и првпат било објавено од примачот во The Day-Star од 24 јануари 1846 година. Потоа, на 6 април 1846 година, било повторно отпечатено во форма на леток од Џејмс Вајт и Х. С. Герни. Изјавата, онака како што се појавува во A Word to the ‘Little Flock,’ со исклучок на помали уреднички измени и додадени библиски упатувања, е идентична со целосниот извештај за видението како што бил првично отпечатен.” Џејмс Вајт, A Word to the ‘Little Flock’, 25.</w:t>
      </w:r>
    </w:p>
    <w:p>
      <w:pPr>
        <w:pStyle w:val="ArticleBody"/>
        <w:jc w:val="left"/>
      </w:pPr>
      <w:r>
        <w:rPr>
          <w:rFonts w:ascii="Times New Roman" w:hAnsi="Times New Roman" w:eastAsia="Times New Roman" w:cs="Times New Roman"/>
        </w:rPr>
        <w:t>1844 marque l’arrivée d’un ange et une déception. En 1845, la première vision est mise par écrit et elle est publiée en 1846. La première vision s’adresse « au reste dispersé çà et là ». Je doute que la jeune prophétesse adolescente non mariée ait su, lorsqu’elle mit par écrit sa première vision, qu’une caractéristique prophétique du « reste » est que ce reste devait, par nécessité prophétique, être « dispersé çà et là », comme l’une des caractéristiques des cent quarante-quatre mille. En 1846, les White se marièrent, changeant ainsi le nom de famille d’Ellen en White. La même année, les White commencèrent à observer le sabbat du septième jour. En 1846, l’alliance est marquée comme étant finalisée; le mariage prophétique qui avait commencé en 1844 fut consommé en 1846, et en 1847 la première publication officielle est imprimée et envoyée.</w:t>
      </w:r>
    </w:p>
    <w:p>
      <w:pPr>
        <w:pStyle w:val="ArticleHeading"/>
        <w:jc w:val="left"/>
      </w:pPr>
      <w:r>
        <w:rPr>
          <w:rFonts w:ascii="Arial" w:hAnsi="Arial" w:eastAsia="Arial" w:cs="Arial"/>
        </w:rPr>
        <w:t>Mai, 1850</w:t>
      </w:r>
    </w:p>
    <w:p>
      <w:pPr>
        <w:pStyle w:val="ArticleScripture"/>
        <w:jc w:val="left"/>
      </w:pPr>
      <w:r>
        <w:rPr>
          <w:rFonts w:ascii="Times New Roman" w:hAnsi="Times New Roman" w:eastAsia="Times New Roman" w:cs="Times New Roman"/>
        </w:rPr>
        <w:t>« LECTEUR BIEN-AIMÉ — Mon objectif, dans cet examen, a été de mettre l’erreur en lumière à la clarté de la vérité sacrée.... »</w:t>
      </w:r>
    </w:p>
    <w:p>
      <w:pPr>
        <w:pStyle w:val="ArticleScripture"/>
        <w:jc w:val="left"/>
      </w:pPr>
      <w:r>
        <w:rPr>
          <w:rFonts w:ascii="Times New Roman" w:hAnsi="Times New Roman" w:eastAsia="Times New Roman" w:cs="Times New Roman"/>
        </w:rPr>
        <w:t>« En présentant ce petit ouvrage au troupeau dispersé, je me suis acquitté de mon devoir envers lui, à cet égard, et que Dieu y ajoute sa bénédiction. Amen. » James White, The Seventh-day Sabbath not Abolished, 2.</w:t>
      </w:r>
    </w:p>
    <w:p>
      <w:pPr>
        <w:pStyle w:val="ArticleBody"/>
        <w:jc w:val="left"/>
      </w:pPr>
      <w:r>
        <w:rPr>
          <w:rFonts w:ascii="Nirmala UI" w:hAnsi="Nirmala UI" w:eastAsia="Nirmala UI" w:cs="Nirmala UI"/>
        </w:rPr>
        <w:t>జేమ్స్</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రచించిన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ప్రచురణ</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శ్రోతలు</w:t>
      </w:r>
      <w:r>
        <w:rPr>
          <w:rFonts w:ascii="Times New Roman" w:hAnsi="Times New Roman" w:eastAsia="Times New Roman" w:cs="Times New Roman"/>
        </w:rPr>
        <w:t xml:space="preserve"> </w:t>
      </w:r>
      <w:r>
        <w:rPr>
          <w:rFonts w:ascii="Nirmala UI" w:hAnsi="Nirmala UI" w:eastAsia="Nirmala UI" w:cs="Nirmala UI"/>
        </w:rPr>
        <w:t>అప్పటికీ</w:t>
      </w:r>
      <w:r>
        <w:rPr>
          <w:rFonts w:ascii="Times New Roman" w:hAnsi="Times New Roman" w:eastAsia="Times New Roman" w:cs="Times New Roman"/>
        </w:rPr>
        <w:t xml:space="preserve"> </w:t>
      </w:r>
      <w:r>
        <w:rPr>
          <w:rFonts w:ascii="Nirmala UI" w:hAnsi="Nirmala UI" w:eastAsia="Nirmala UI" w:cs="Nirmala UI"/>
        </w:rPr>
        <w:t>చెదరిపోయిన</w:t>
      </w:r>
      <w:r>
        <w:rPr>
          <w:rFonts w:ascii="Times New Roman" w:hAnsi="Times New Roman" w:eastAsia="Times New Roman" w:cs="Times New Roman"/>
        </w:rPr>
        <w:t xml:space="preserve"> </w:t>
      </w:r>
      <w:r>
        <w:rPr>
          <w:rFonts w:ascii="Nirmala UI" w:hAnsi="Nirmala UI" w:eastAsia="Nirmala UI" w:cs="Nirmala UI"/>
        </w:rPr>
        <w:t>మందగానే</w:t>
      </w:r>
      <w:r>
        <w:rPr>
          <w:rFonts w:ascii="Times New Roman" w:hAnsi="Times New Roman" w:eastAsia="Times New Roman" w:cs="Times New Roman"/>
        </w:rPr>
        <w:t xml:space="preserve"> </w:t>
      </w:r>
      <w:r>
        <w:rPr>
          <w:rFonts w:ascii="Nirmala UI" w:hAnsi="Nirmala UI" w:eastAsia="Nirmala UI" w:cs="Nirmala UI"/>
        </w:rPr>
        <w:t>ఉన్నారని</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ఏడవ</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సబ్బతు</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సమర్థన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సబ్బతు</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 xml:space="preserve"> </w:t>
      </w:r>
      <w:r>
        <w:rPr>
          <w:rFonts w:ascii="Nirmala UI" w:hAnsi="Nirmala UI" w:eastAsia="Nirmala UI" w:cs="Nirmala UI"/>
        </w:rPr>
        <w:t>అడ్వెంటిజం</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అవగాహన</w:t>
      </w:r>
      <w:r>
        <w:rPr>
          <w:rFonts w:ascii="Times New Roman" w:hAnsi="Times New Roman" w:eastAsia="Times New Roman" w:cs="Times New Roman"/>
        </w:rPr>
        <w:t xml:space="preserve"> </w:t>
      </w:r>
      <w:r>
        <w:rPr>
          <w:rFonts w:ascii="Nirmala UI" w:hAnsi="Nirmala UI" w:eastAsia="Nirmala UI" w:cs="Nirmala UI"/>
        </w:rPr>
        <w:t>పరంగా</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శిశుదశలో</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1850 </w:t>
      </w:r>
      <w:r>
        <w:rPr>
          <w:rFonts w:ascii="Nirmala UI" w:hAnsi="Nirmala UI" w:eastAsia="Nirmala UI" w:cs="Nirmala UI"/>
        </w:rPr>
        <w:t>చార్ట్</w:t>
      </w:r>
      <w:r>
        <w:rPr>
          <w:rFonts w:ascii="Times New Roman" w:hAnsi="Times New Roman" w:eastAsia="Times New Roman" w:cs="Times New Roman"/>
        </w:rPr>
        <w:t xml:space="preserve"> </w:t>
      </w:r>
      <w:r>
        <w:rPr>
          <w:rFonts w:ascii="Nirmala UI" w:hAnsi="Nirmala UI" w:eastAsia="Nirmala UI" w:cs="Nirmala UI"/>
        </w:rPr>
        <w:t>ప్రచురించబడిన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ప్రచురించబడింది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ఇవి</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కలసి</w:t>
      </w:r>
      <w:r>
        <w:rPr>
          <w:rFonts w:ascii="Times New Roman" w:hAnsi="Times New Roman" w:eastAsia="Times New Roman" w:cs="Times New Roman"/>
        </w:rPr>
        <w:t xml:space="preserve"> </w:t>
      </w:r>
      <w:r>
        <w:rPr>
          <w:rFonts w:ascii="Nirmala UI" w:hAnsi="Nirmala UI" w:eastAsia="Nirmala UI" w:cs="Nirmala UI"/>
        </w:rPr>
        <w:t>సమీపిస్తున్న</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w:t>
      </w:r>
      <w:r>
        <w:rPr>
          <w:rFonts w:ascii="Times New Roman" w:hAnsi="Times New Roman" w:eastAsia="Times New Roman" w:cs="Times New Roman"/>
        </w:rPr>
        <w:t xml:space="preserve"> </w:t>
      </w:r>
      <w:r>
        <w:rPr>
          <w:rFonts w:ascii="Nirmala UI" w:hAnsi="Nirmala UI" w:eastAsia="Nirmala UI" w:cs="Nirmala UI"/>
        </w:rPr>
        <w:t>సంక్షోభం</w:t>
      </w:r>
      <w:r>
        <w:rPr>
          <w:rFonts w:ascii="Times New Roman" w:hAnsi="Times New Roman" w:eastAsia="Times New Roman" w:cs="Times New Roman"/>
        </w:rPr>
        <w:t xml:space="preserve"> </w:t>
      </w:r>
      <w:r>
        <w:rPr>
          <w:rFonts w:ascii="Nirmala UI" w:hAnsi="Nirmala UI" w:eastAsia="Nirmala UI" w:cs="Nirmala UI"/>
        </w:rPr>
        <w:t>కొరకు</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సైన్యాన్ని</w:t>
      </w:r>
      <w:r>
        <w:rPr>
          <w:rFonts w:ascii="Times New Roman" w:hAnsi="Times New Roman" w:eastAsia="Times New Roman" w:cs="Times New Roman"/>
        </w:rPr>
        <w:t xml:space="preserve"> </w:t>
      </w:r>
      <w:r>
        <w:rPr>
          <w:rFonts w:ascii="Nirmala UI" w:hAnsi="Nirmala UI" w:eastAsia="Nirmala UI" w:cs="Nirmala UI"/>
        </w:rPr>
        <w:t>లేవనెత్తుటకు</w:t>
      </w:r>
      <w:r>
        <w:rPr>
          <w:rFonts w:ascii="Times New Roman" w:hAnsi="Times New Roman" w:eastAsia="Times New Roman" w:cs="Times New Roman"/>
        </w:rPr>
        <w:t xml:space="preserve"> </w:t>
      </w:r>
      <w:r>
        <w:rPr>
          <w:rFonts w:ascii="Nirmala UI" w:hAnsi="Nirmala UI" w:eastAsia="Nirmala UI" w:cs="Nirmala UI"/>
        </w:rPr>
        <w:t>ప్రతినిధ్యమిస్తున్నాయి</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ఎల్లప్పుడూ</w:t>
      </w:r>
      <w:r>
        <w:rPr>
          <w:rFonts w:ascii="Times New Roman" w:hAnsi="Times New Roman" w:eastAsia="Times New Roman" w:cs="Times New Roman"/>
        </w:rPr>
        <w:t xml:space="preserve"> </w:t>
      </w:r>
      <w:r>
        <w:rPr>
          <w:rFonts w:ascii="Nirmala UI" w:hAnsi="Nirmala UI" w:eastAsia="Nirmala UI" w:cs="Nirmala UI"/>
        </w:rPr>
        <w:t>అంత్యాన్ని</w:t>
      </w:r>
      <w:r>
        <w:rPr>
          <w:rFonts w:ascii="Times New Roman" w:hAnsi="Times New Roman" w:eastAsia="Times New Roman" w:cs="Times New Roman"/>
        </w:rPr>
        <w:t xml:space="preserve"> </w:t>
      </w:r>
      <w:r>
        <w:rPr>
          <w:rFonts w:ascii="Nirmala UI" w:hAnsi="Nirmala UI" w:eastAsia="Nirmala UI" w:cs="Nirmala UI"/>
        </w:rPr>
        <w:t>ఆరంభముచేత</w:t>
      </w:r>
      <w:r>
        <w:rPr>
          <w:rFonts w:ascii="Times New Roman" w:hAnsi="Times New Roman" w:eastAsia="Times New Roman" w:cs="Times New Roman"/>
        </w:rPr>
        <w:t xml:space="preserve"> </w:t>
      </w:r>
      <w:r>
        <w:rPr>
          <w:rFonts w:ascii="Nirmala UI" w:hAnsi="Nirmala UI" w:eastAsia="Nirmala UI" w:cs="Nirmala UI"/>
        </w:rPr>
        <w:t>వివరించుచున్నాడు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1843 </w:t>
      </w:r>
      <w:r>
        <w:rPr>
          <w:rFonts w:ascii="Nirmala UI" w:hAnsi="Nirmala UI" w:eastAsia="Nirmala UI" w:cs="Nirmala UI"/>
        </w:rPr>
        <w:t>చార్ట్</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ఉపయోగించి</w:t>
      </w:r>
      <w:r>
        <w:rPr>
          <w:rFonts w:ascii="Times New Roman" w:hAnsi="Times New Roman" w:eastAsia="Times New Roman" w:cs="Times New Roman"/>
        </w:rPr>
        <w:t xml:space="preserve"> 1844</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సందేశాన్ని</w:t>
      </w:r>
      <w:r>
        <w:rPr>
          <w:rFonts w:ascii="Times New Roman" w:hAnsi="Times New Roman" w:eastAsia="Times New Roman" w:cs="Times New Roman"/>
        </w:rPr>
        <w:t xml:space="preserve"> </w:t>
      </w:r>
      <w:r>
        <w:rPr>
          <w:rFonts w:ascii="Nirmala UI" w:hAnsi="Nirmala UI" w:eastAsia="Nirmala UI" w:cs="Nirmala UI"/>
        </w:rPr>
        <w:t>ప్రకటించిన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1850 </w:t>
      </w:r>
      <w:r>
        <w:rPr>
          <w:rFonts w:ascii="Nirmala UI" w:hAnsi="Nirmala UI" w:eastAsia="Nirmala UI" w:cs="Nirmala UI"/>
        </w:rPr>
        <w:t>చార్ట్</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ఉపయోగించి</w:t>
      </w:r>
      <w:r>
        <w:rPr>
          <w:rFonts w:ascii="Times New Roman" w:hAnsi="Times New Roman" w:eastAsia="Times New Roman" w:cs="Times New Roman"/>
        </w:rPr>
        <w:t xml:space="preserve"> </w:t>
      </w:r>
      <w:r>
        <w:rPr>
          <w:rFonts w:ascii="Nirmala UI" w:hAnsi="Nirmala UI" w:eastAsia="Nirmala UI" w:cs="Nirmala UI"/>
        </w:rPr>
        <w:t>సందేశాన్ని</w:t>
      </w:r>
      <w:r>
        <w:rPr>
          <w:rFonts w:ascii="Times New Roman" w:hAnsi="Times New Roman" w:eastAsia="Times New Roman" w:cs="Times New Roman"/>
        </w:rPr>
        <w:t xml:space="preserve"> </w:t>
      </w:r>
      <w:r>
        <w:rPr>
          <w:rFonts w:ascii="Nirmala UI" w:hAnsi="Nirmala UI" w:eastAsia="Nirmala UI" w:cs="Nirmala UI"/>
        </w:rPr>
        <w:t>ప్రకటించబోవువారికి</w:t>
      </w:r>
      <w:r>
        <w:rPr>
          <w:rFonts w:ascii="Times New Roman" w:hAnsi="Times New Roman" w:eastAsia="Times New Roman" w:cs="Times New Roman"/>
        </w:rPr>
        <w:t xml:space="preserve"> </w:t>
      </w:r>
      <w:r>
        <w:rPr>
          <w:rFonts w:ascii="Nirmala UI" w:hAnsi="Nirmala UI" w:eastAsia="Nirmala UI" w:cs="Nirmala UI"/>
        </w:rPr>
        <w:t>ప్రతిరూపముగా</w:t>
      </w:r>
      <w:r>
        <w:rPr>
          <w:rFonts w:ascii="Times New Roman" w:hAnsi="Times New Roman" w:eastAsia="Times New Roman" w:cs="Times New Roman"/>
        </w:rPr>
        <w:t xml:space="preserve"> </w:t>
      </w:r>
      <w:r>
        <w:rPr>
          <w:rFonts w:ascii="Nirmala UI" w:hAnsi="Nirmala UI" w:eastAsia="Nirmala UI" w:cs="Nirmala UI"/>
        </w:rPr>
        <w:t>ఉన్నారు</w:t>
      </w:r>
      <w:r>
        <w:rPr>
          <w:rFonts w:ascii="Times New Roman" w:hAnsi="Times New Roman" w:eastAsia="Times New Roman" w:cs="Times New Roman"/>
        </w:rPr>
        <w:t xml:space="preserve">. </w:t>
      </w:r>
      <w:r>
        <w:rPr>
          <w:rFonts w:ascii="Nirmala UI" w:hAnsi="Nirmala UI" w:eastAsia="Nirmala UI" w:cs="Nirmala UI"/>
        </w:rPr>
        <w:t>హబక్కూకు</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పలకల</w:t>
      </w:r>
      <w:r>
        <w:rPr>
          <w:rFonts w:ascii="Times New Roman" w:hAnsi="Times New Roman" w:eastAsia="Times New Roman" w:cs="Times New Roman"/>
        </w:rPr>
        <w:t xml:space="preserve"> </w:t>
      </w:r>
      <w:r>
        <w:rPr>
          <w:rFonts w:ascii="Nirmala UI" w:hAnsi="Nirmala UI" w:eastAsia="Nirmala UI" w:cs="Nirmala UI"/>
        </w:rPr>
        <w:t>కాలపరంపర</w:t>
      </w:r>
      <w:r>
        <w:rPr>
          <w:rFonts w:ascii="Times New Roman" w:hAnsi="Times New Roman" w:eastAsia="Times New Roman" w:cs="Times New Roman"/>
        </w:rPr>
        <w:t xml:space="preserve"> </w:t>
      </w:r>
      <w:r>
        <w:rPr>
          <w:rFonts w:ascii="Nirmala UI" w:hAnsi="Nirmala UI" w:eastAsia="Nirmala UI" w:cs="Nirmala UI"/>
        </w:rPr>
        <w:t>ఆరంభంలో</w:t>
      </w:r>
      <w:r>
        <w:rPr>
          <w:rFonts w:ascii="Times New Roman" w:hAnsi="Times New Roman" w:eastAsia="Times New Roman" w:cs="Times New Roman"/>
        </w:rPr>
        <w:t xml:space="preserve">, </w:t>
      </w:r>
      <w:r>
        <w:rPr>
          <w:rFonts w:ascii="Nirmala UI" w:hAnsi="Nirmala UI" w:eastAsia="Nirmala UI" w:cs="Nirmala UI"/>
        </w:rPr>
        <w:t>మనుష్యులు</w:t>
      </w:r>
      <w:r>
        <w:rPr>
          <w:rFonts w:ascii="Times New Roman" w:hAnsi="Times New Roman" w:eastAsia="Times New Roman" w:cs="Times New Roman"/>
        </w:rPr>
        <w:t xml:space="preserve"> </w:t>
      </w:r>
      <w:r>
        <w:rPr>
          <w:rFonts w:ascii="Nirmala UI" w:hAnsi="Nirmala UI" w:eastAsia="Nirmala UI" w:cs="Nirmala UI"/>
        </w:rPr>
        <w:t>హబక్కూకు</w:t>
      </w:r>
      <w:r>
        <w:rPr>
          <w:rFonts w:ascii="Times New Roman" w:hAnsi="Times New Roman" w:eastAsia="Times New Roman" w:cs="Times New Roman"/>
        </w:rPr>
        <w:t xml:space="preserve"> </w:t>
      </w:r>
      <w:r>
        <w:rPr>
          <w:rFonts w:ascii="Nirmala UI" w:hAnsi="Nirmala UI" w:eastAsia="Nirmala UI" w:cs="Nirmala UI"/>
        </w:rPr>
        <w:t>పలకతో</w:t>
      </w:r>
      <w:r>
        <w:rPr>
          <w:rFonts w:ascii="Times New Roman" w:hAnsi="Times New Roman" w:eastAsia="Times New Roman" w:cs="Times New Roman"/>
        </w:rPr>
        <w:t xml:space="preserve"> </w:t>
      </w:r>
      <w:r>
        <w:rPr>
          <w:rFonts w:ascii="Nirmala UI" w:hAnsi="Nirmala UI" w:eastAsia="Nirmala UI" w:cs="Nirmala UI"/>
        </w:rPr>
        <w:t>సంబంధముగా</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వేళ</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సందేశాన్ని</w:t>
      </w:r>
      <w:r>
        <w:rPr>
          <w:rFonts w:ascii="Times New Roman" w:hAnsi="Times New Roman" w:eastAsia="Times New Roman" w:cs="Times New Roman"/>
        </w:rPr>
        <w:t xml:space="preserve"> </w:t>
      </w:r>
      <w:r>
        <w:rPr>
          <w:rFonts w:ascii="Nirmala UI" w:hAnsi="Nirmala UI" w:eastAsia="Nirmala UI" w:cs="Nirmala UI"/>
        </w:rPr>
        <w:t>ప్రకటించుచుండిరి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1850</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జేమ్స్</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1850 </w:t>
      </w:r>
      <w:r>
        <w:rPr>
          <w:rFonts w:ascii="Nirmala UI" w:hAnsi="Nirmala UI" w:eastAsia="Nirmala UI" w:cs="Nirmala UI"/>
        </w:rPr>
        <w:t>చార్ట్</w:t>
      </w:r>
      <w:r>
        <w:rPr>
          <w:rFonts w:ascii="Times New Roman" w:hAnsi="Times New Roman" w:eastAsia="Times New Roman" w:cs="Times New Roman"/>
        </w:rPr>
        <w:t>‌</w:t>
      </w:r>
      <w:r>
        <w:rPr>
          <w:rFonts w:ascii="Nirmala UI" w:hAnsi="Nirmala UI" w:eastAsia="Nirmala UI" w:cs="Nirmala UI"/>
        </w:rPr>
        <w:t>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సందేశాన్ని</w:t>
      </w:r>
      <w:r>
        <w:rPr>
          <w:rFonts w:ascii="Times New Roman" w:hAnsi="Times New Roman" w:eastAsia="Times New Roman" w:cs="Times New Roman"/>
        </w:rPr>
        <w:t xml:space="preserve"> </w:t>
      </w:r>
      <w:r>
        <w:rPr>
          <w:rFonts w:ascii="Nirmala UI" w:hAnsi="Nirmala UI" w:eastAsia="Nirmala UI" w:cs="Nirmala UI"/>
        </w:rPr>
        <w:t>సమర్పించుచున్నాడు</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చార్ట్</w:t>
      </w:r>
      <w:r>
        <w:rPr>
          <w:rFonts w:ascii="Times New Roman" w:hAnsi="Times New Roman" w:eastAsia="Times New Roman" w:cs="Times New Roman"/>
        </w:rPr>
        <w:t xml:space="preserve"> 1849 </w:t>
      </w:r>
      <w:r>
        <w:rPr>
          <w:rFonts w:ascii="Nirmala UI" w:hAnsi="Nirmala UI" w:eastAsia="Nirmala UI" w:cs="Nirmala UI"/>
        </w:rPr>
        <w:t>కాలపరిమితిలో</w:t>
      </w:r>
      <w:r>
        <w:rPr>
          <w:rFonts w:ascii="Times New Roman" w:hAnsi="Times New Roman" w:eastAsia="Times New Roman" w:cs="Times New Roman"/>
        </w:rPr>
        <w:t xml:space="preserve"> </w:t>
      </w:r>
      <w:r>
        <w:rPr>
          <w:rFonts w:ascii="Nirmala UI" w:hAnsi="Nirmala UI" w:eastAsia="Nirmala UI" w:cs="Nirmala UI"/>
        </w:rPr>
        <w:t>బ్రదర్</w:t>
      </w:r>
      <w:r>
        <w:rPr>
          <w:rFonts w:ascii="Times New Roman" w:hAnsi="Times New Roman" w:eastAsia="Times New Roman" w:cs="Times New Roman"/>
        </w:rPr>
        <w:t xml:space="preserve"> </w:t>
      </w:r>
      <w:r>
        <w:rPr>
          <w:rFonts w:ascii="Nirmala UI" w:hAnsi="Nirmala UI" w:eastAsia="Nirmala UI" w:cs="Nirmala UI"/>
        </w:rPr>
        <w:t>నికల్స్</w:t>
      </w:r>
      <w:r>
        <w:rPr>
          <w:rFonts w:ascii="Times New Roman" w:hAnsi="Times New Roman" w:eastAsia="Times New Roman" w:cs="Times New Roman"/>
        </w:rPr>
        <w:t xml:space="preserve"> </w:t>
      </w:r>
      <w:r>
        <w:rPr>
          <w:rFonts w:ascii="Nirmala UI" w:hAnsi="Nirmala UI" w:eastAsia="Nirmala UI" w:cs="Nirmala UI"/>
        </w:rPr>
        <w:t>చేత</w:t>
      </w:r>
      <w:r>
        <w:rPr>
          <w:rFonts w:ascii="Times New Roman" w:hAnsi="Times New Roman" w:eastAsia="Times New Roman" w:cs="Times New Roman"/>
        </w:rPr>
        <w:t xml:space="preserve"> </w:t>
      </w:r>
      <w:r>
        <w:rPr>
          <w:rFonts w:ascii="Nirmala UI" w:hAnsi="Nirmala UI" w:eastAsia="Nirmala UI" w:cs="Nirmala UI"/>
        </w:rPr>
        <w:t>తయారు</w:t>
      </w:r>
      <w:r>
        <w:rPr>
          <w:rFonts w:ascii="Times New Roman" w:hAnsi="Times New Roman" w:eastAsia="Times New Roman" w:cs="Times New Roman"/>
        </w:rPr>
        <w:t xml:space="preserve"> </w:t>
      </w:r>
      <w:r>
        <w:rPr>
          <w:rFonts w:ascii="Nirmala UI" w:hAnsi="Nirmala UI" w:eastAsia="Nirmala UI" w:cs="Nirmala UI"/>
        </w:rPr>
        <w:t>చేయబడింది</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సమయములో</w:t>
      </w:r>
      <w:r>
        <w:rPr>
          <w:rFonts w:ascii="Times New Roman" w:hAnsi="Times New Roman" w:eastAsia="Times New Roman" w:cs="Times New Roman"/>
        </w:rPr>
        <w:t xml:space="preserve"> </w:t>
      </w:r>
      <w:r>
        <w:rPr>
          <w:rFonts w:ascii="Nirmala UI" w:hAnsi="Nirmala UI" w:eastAsia="Nirmala UI" w:cs="Nirmala UI"/>
        </w:rPr>
        <w:t>జేమ్స్</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ఎలెన్</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బ్రదర్</w:t>
      </w:r>
      <w:r>
        <w:rPr>
          <w:rFonts w:ascii="Times New Roman" w:hAnsi="Times New Roman" w:eastAsia="Times New Roman" w:cs="Times New Roman"/>
        </w:rPr>
        <w:t xml:space="preserve"> </w:t>
      </w:r>
      <w:r>
        <w:rPr>
          <w:rFonts w:ascii="Nirmala UI" w:hAnsi="Nirmala UI" w:eastAsia="Nirmala UI" w:cs="Nirmala UI"/>
        </w:rPr>
        <w:t>నికల్స్</w:t>
      </w:r>
      <w:r>
        <w:rPr>
          <w:rFonts w:ascii="Times New Roman" w:hAnsi="Times New Roman" w:eastAsia="Times New Roman" w:cs="Times New Roman"/>
        </w:rPr>
        <w:t>‌</w:t>
      </w:r>
      <w:r>
        <w:rPr>
          <w:rFonts w:ascii="Nirmala UI" w:hAnsi="Nirmala UI" w:eastAsia="Nirmala UI" w:cs="Nirmala UI"/>
        </w:rPr>
        <w:t>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నివసించుచుండిరి</w:t>
      </w:r>
      <w:r>
        <w:rPr>
          <w:rFonts w:ascii="Times New Roman" w:hAnsi="Times New Roman" w:eastAsia="Times New Roman" w:cs="Times New Roman"/>
        </w:rPr>
        <w:t xml:space="preserve">. </w:t>
      </w:r>
      <w:r>
        <w:rPr>
          <w:rFonts w:ascii="Nirmala UI" w:hAnsi="Nirmala UI" w:eastAsia="Nirmala UI" w:cs="Nirmala UI"/>
        </w:rPr>
        <w:t>జేమ్స్</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1850 </w:t>
      </w:r>
      <w:r>
        <w:rPr>
          <w:rFonts w:ascii="Nirmala UI" w:hAnsi="Nirmala UI" w:eastAsia="Nirmala UI" w:cs="Nirmala UI"/>
        </w:rPr>
        <w:t>చార్ట్</w:t>
      </w:r>
      <w:r>
        <w:rPr>
          <w:rFonts w:ascii="Times New Roman" w:hAnsi="Times New Roman" w:eastAsia="Times New Roman" w:cs="Times New Roman"/>
        </w:rPr>
        <w:t xml:space="preserve"> </w:t>
      </w:r>
      <w:r>
        <w:rPr>
          <w:rFonts w:ascii="Nirmala UI" w:hAnsi="Nirmala UI" w:eastAsia="Nirmala UI" w:cs="Nirmala UI"/>
        </w:rPr>
        <w:t>నిర్మాణంతో</w:t>
      </w:r>
      <w:r>
        <w:rPr>
          <w:rFonts w:ascii="Times New Roman" w:hAnsi="Times New Roman" w:eastAsia="Times New Roman" w:cs="Times New Roman"/>
        </w:rPr>
        <w:t xml:space="preserve"> </w:t>
      </w:r>
      <w:r>
        <w:rPr>
          <w:rFonts w:ascii="Nirmala UI" w:hAnsi="Nirmala UI" w:eastAsia="Nirmala UI" w:cs="Nirmala UI"/>
        </w:rPr>
        <w:t>ప్రత్యక్షముగా</w:t>
      </w:r>
      <w:r>
        <w:rPr>
          <w:rFonts w:ascii="Times New Roman" w:hAnsi="Times New Roman" w:eastAsia="Times New Roman" w:cs="Times New Roman"/>
        </w:rPr>
        <w:t xml:space="preserve"> </w:t>
      </w:r>
      <w:r>
        <w:rPr>
          <w:rFonts w:ascii="Nirmala UI" w:hAnsi="Nirmala UI" w:eastAsia="Nirmala UI" w:cs="Nirmala UI"/>
        </w:rPr>
        <w:t>సంబంధమున్నవాడు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సంవత్సరంలోనే</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సందేశాన్ని</w:t>
      </w:r>
      <w:r>
        <w:rPr>
          <w:rFonts w:ascii="Times New Roman" w:hAnsi="Times New Roman" w:eastAsia="Times New Roman" w:cs="Times New Roman"/>
        </w:rPr>
        <w:t xml:space="preserve"> </w:t>
      </w:r>
      <w:r>
        <w:rPr>
          <w:rFonts w:ascii="Nirmala UI" w:hAnsi="Nirmala UI" w:eastAsia="Nirmala UI" w:cs="Nirmala UI"/>
        </w:rPr>
        <w:t>ప్రకటించడం</w:t>
      </w:r>
      <w:r>
        <w:rPr>
          <w:rFonts w:ascii="Times New Roman" w:hAnsi="Times New Roman" w:eastAsia="Times New Roman" w:cs="Times New Roman"/>
        </w:rPr>
        <w:t xml:space="preserve"> </w:t>
      </w:r>
      <w:r>
        <w:rPr>
          <w:rFonts w:ascii="Nirmala UI" w:hAnsi="Nirmala UI" w:eastAsia="Nirmala UI" w:cs="Nirmala UI"/>
        </w:rPr>
        <w:t>ఆరంభించాడు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„Am 23. September [1850] zeigte mir der Herr, dass er seine Hand zum zweiten Mal ausgestreckt hatte, um den Überrest seines Volkes zurückzugewinnen, und dass die Anstrengungen in dieser Zeit der Sammlung verdoppelt werden müssten. In der Zeit der Zerstreuung wurde Israel geschlagen und zerrissen; jetzt aber, in der Zeit der Sammlung, wird Gott sein Volk heilen und verbinden. In der Zerstreuung hatten Bemühungen, die Wahrheit zu verbreiten, nur geringe Wirkung, erreichten wenig oder gar nichts; doch in der Sammlung, da Gott seine Hand ausgestreckt hat, um sein Volk zu sammeln, werden Bemühungen, die Wahrheit zu verbreiten, ihre beabsichtigte Wirkung haben. Alle sollten in dem Werk einmütig und eifrig sein. Ich sah, dass es eine Schande war, wenn sich irgendjemand auf die Zerstreuung berief, um daraus Beispiele zu nehmen, die uns jetzt in der Sammlung leiten sollten; denn wenn Gott jetzt nicht mehr für uns täte, als er damals tat, würde Israel niemals gesammelt werden. Es ist ebenso notwendig, dass die Wahrheit in einer Zeitschrift veröffentlicht wird, wie dass sie gepredigt wird.“ Review and Herald, 1. November 1850.</w:t>
      </w:r>
    </w:p>
    <w:p>
      <w:pPr>
        <w:pStyle w:val="ArticleScripture"/>
        <w:jc w:val="left"/>
      </w:pPr>
      <w:r>
        <w:rPr>
          <w:rFonts w:ascii="Times New Roman" w:hAnsi="Times New Roman" w:eastAsia="Times New Roman" w:cs="Times New Roman"/>
        </w:rPr>
        <w:t>“Pogled da je Gospod ‘pružio svoju ruku drugi put da povrati ostatak svojega naroda’, na 74. stranici, odnosi se samo na jedinstvo i snagu koji su nekoć postojali među onima koji su očekivali Krista, te na činjenicu da je On ponovno počeo ujedinjavati i podizati svoj narod.” Early Writings, 86.</w:t>
      </w:r>
    </w:p>
    <w:p>
      <w:pPr>
        <w:pStyle w:val="ArticleBody"/>
        <w:jc w:val="left"/>
      </w:pP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Early Writings </w:t>
      </w:r>
      <w:r>
        <w:rPr>
          <w:rFonts w:ascii="Nirmala UI" w:hAnsi="Nirmala UI" w:eastAsia="Nirmala UI" w:cs="Nirmala UI"/>
        </w:rPr>
        <w:t>में</w:t>
      </w:r>
      <w:r>
        <w:rPr>
          <w:rFonts w:ascii="Times New Roman" w:hAnsi="Times New Roman" w:eastAsia="Times New Roman" w:cs="Times New Roman"/>
        </w:rPr>
        <w:t xml:space="preserve"> Review and Herald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टिप्पणी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बढ़ाया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1850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बढ़ाया।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677 BC </w:t>
      </w:r>
      <w:r>
        <w:rPr>
          <w:rFonts w:ascii="Nirmala UI" w:hAnsi="Nirmala UI" w:eastAsia="Nirmala UI" w:cs="Nirmala UI"/>
        </w:rPr>
        <w:t>से</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बिखराव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677 BC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2520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2520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बिखराव</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बढ़ाया।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ሦስተኛውን</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አየሁ።</w:t>
      </w:r>
      <w:r>
        <w:rPr>
          <w:rFonts w:ascii="Times New Roman" w:hAnsi="Times New Roman" w:eastAsia="Times New Roman" w:cs="Times New Roman"/>
        </w:rPr>
        <w:t xml:space="preserve"> </w:t>
      </w:r>
      <w:r>
        <w:rPr>
          <w:rFonts w:ascii="Ebrima" w:hAnsi="Ebrima" w:eastAsia="Ebrima" w:cs="Ebrima"/>
        </w:rPr>
        <w:t>ከእኔ</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ቃሉ</w:t>
      </w:r>
      <w:r>
        <w:rPr>
          <w:rFonts w:ascii="Times New Roman" w:hAnsi="Times New Roman" w:eastAsia="Times New Roman" w:cs="Times New Roman"/>
        </w:rPr>
        <w:t xml:space="preserve"> </w:t>
      </w:r>
      <w:r>
        <w:rPr>
          <w:rFonts w:ascii="Ebrima" w:hAnsi="Ebrima" w:eastAsia="Ebrima" w:cs="Ebrima"/>
        </w:rPr>
        <w:t>አስፈሪ</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ተልእኮውም</w:t>
      </w:r>
      <w:r>
        <w:rPr>
          <w:rFonts w:ascii="Times New Roman" w:hAnsi="Times New Roman" w:eastAsia="Times New Roman" w:cs="Times New Roman"/>
        </w:rPr>
        <w:t xml:space="preserve"> </w:t>
      </w:r>
      <w:r>
        <w:rPr>
          <w:rFonts w:ascii="Ebrima" w:hAnsi="Ebrima" w:eastAsia="Ebrima" w:cs="Ebrima"/>
        </w:rPr>
        <w:t>የሚያስደንግጥ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ከእሾህ</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ስንዴውን</w:t>
      </w:r>
      <w:r>
        <w:rPr>
          <w:rFonts w:ascii="Times New Roman" w:hAnsi="Times New Roman" w:eastAsia="Times New Roman" w:cs="Times New Roman"/>
        </w:rPr>
        <w:t xml:space="preserve"> </w:t>
      </w:r>
      <w:r>
        <w:rPr>
          <w:rFonts w:ascii="Ebrima" w:hAnsi="Ebrima" w:eastAsia="Ebrima" w:cs="Ebrima"/>
        </w:rPr>
        <w:t>የሚለይ፣</w:t>
      </w:r>
      <w:r>
        <w:rPr>
          <w:rFonts w:ascii="Times New Roman" w:hAnsi="Times New Roman" w:eastAsia="Times New Roman" w:cs="Times New Roman"/>
        </w:rPr>
        <w:t xml:space="preserve"> </w:t>
      </w:r>
      <w:r>
        <w:rPr>
          <w:rFonts w:ascii="Ebrima" w:hAnsi="Ebrima" w:eastAsia="Ebrima" w:cs="Ebrima"/>
        </w:rPr>
        <w:t>ስንዴውንም</w:t>
      </w:r>
      <w:r>
        <w:rPr>
          <w:rFonts w:ascii="Times New Roman" w:hAnsi="Times New Roman" w:eastAsia="Times New Roman" w:cs="Times New Roman"/>
        </w:rPr>
        <w:t xml:space="preserve"> </w:t>
      </w:r>
      <w:r>
        <w:rPr>
          <w:rFonts w:ascii="Ebrima" w:hAnsi="Ebrima" w:eastAsia="Ebrima" w:cs="Ebrima"/>
        </w:rPr>
        <w:t>ለሰማያዊው</w:t>
      </w:r>
      <w:r>
        <w:rPr>
          <w:rFonts w:ascii="Times New Roman" w:hAnsi="Times New Roman" w:eastAsia="Times New Roman" w:cs="Times New Roman"/>
        </w:rPr>
        <w:t xml:space="preserve"> </w:t>
      </w:r>
      <w:r>
        <w:rPr>
          <w:rFonts w:ascii="Ebrima" w:hAnsi="Ebrima" w:eastAsia="Ebrima" w:cs="Ebrima"/>
        </w:rPr>
        <w:t>ጎተራ</w:t>
      </w:r>
      <w:r>
        <w:rPr>
          <w:rFonts w:ascii="Times New Roman" w:hAnsi="Times New Roman" w:eastAsia="Times New Roman" w:cs="Times New Roman"/>
        </w:rPr>
        <w:t xml:space="preserve"> </w:t>
      </w:r>
      <w:r>
        <w:rPr>
          <w:rFonts w:ascii="Ebrima" w:hAnsi="Ebrima" w:eastAsia="Ebrima" w:cs="Ebrima"/>
        </w:rPr>
        <w:t>የሚታተም</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የሚታሰር</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አእምሮን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ትኩረትንም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ሊይዙ</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 xml:space="preserve"> </w:t>
      </w:r>
      <w:r>
        <w:rPr>
          <w:rFonts w:ascii="Ebrima" w:hAnsi="Ebrima" w:eastAsia="Ebrima" w:cs="Ebrima"/>
        </w:rPr>
        <w:t>ደግሞም</w:t>
      </w:r>
      <w:r>
        <w:rPr>
          <w:rFonts w:ascii="Times New Roman" w:hAnsi="Times New Roman" w:eastAsia="Times New Roman" w:cs="Times New Roman"/>
        </w:rPr>
        <w:t xml:space="preserve"> </w:t>
      </w:r>
      <w:r>
        <w:rPr>
          <w:rFonts w:ascii="Ebrima" w:hAnsi="Ebrima" w:eastAsia="Ebrima" w:cs="Ebrima"/>
        </w:rPr>
        <w:t>የመጨረሻውን</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እየተቀበልን</w:t>
      </w:r>
      <w:r>
        <w:rPr>
          <w:rFonts w:ascii="Times New Roman" w:hAnsi="Times New Roman" w:eastAsia="Times New Roman" w:cs="Times New Roman"/>
        </w:rPr>
        <w:t xml:space="preserve"> </w:t>
      </w:r>
      <w:r>
        <w:rPr>
          <w:rFonts w:ascii="Ebrima" w:hAnsi="Ebrima" w:eastAsia="Ebrima" w:cs="Ebrima"/>
        </w:rPr>
        <w:t>እንዳለን</w:t>
      </w:r>
      <w:r>
        <w:rPr>
          <w:rFonts w:ascii="Times New Roman" w:hAnsi="Times New Roman" w:eastAsia="Times New Roman" w:cs="Times New Roman"/>
        </w:rPr>
        <w:t xml:space="preserve"> </w:t>
      </w:r>
      <w:r>
        <w:rPr>
          <w:rFonts w:ascii="Ebrima" w:hAnsi="Ebrima" w:eastAsia="Ebrima" w:cs="Ebrima"/>
        </w:rPr>
        <w:t>የሚያምኑ</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በየቀኑ</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ስህተትን</w:t>
      </w:r>
      <w:r>
        <w:rPr>
          <w:rFonts w:ascii="Times New Roman" w:hAnsi="Times New Roman" w:eastAsia="Times New Roman" w:cs="Times New Roman"/>
        </w:rPr>
        <w:t xml:space="preserve"> </w:t>
      </w:r>
      <w:r>
        <w:rPr>
          <w:rFonts w:ascii="Ebrima" w:hAnsi="Ebrima" w:eastAsia="Ebrima" w:cs="Ebrima"/>
        </w:rPr>
        <w:t>ከሚቀበሉ</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ከሚጠጡ</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የተለዩ</w:t>
      </w:r>
      <w:r>
        <w:rPr>
          <w:rFonts w:ascii="Times New Roman" w:hAnsi="Times New Roman" w:eastAsia="Times New Roman" w:cs="Times New Roman"/>
        </w:rPr>
        <w:t xml:space="preserve"> </w:t>
      </w:r>
      <w:r>
        <w:rPr>
          <w:rFonts w:ascii="Ebrima" w:hAnsi="Ebrima" w:eastAsia="Ebrima" w:cs="Ebrima"/>
        </w:rPr>
        <w:t>መሆን</w:t>
      </w:r>
      <w:r>
        <w:rPr>
          <w:rFonts w:ascii="Times New Roman" w:hAnsi="Times New Roman" w:eastAsia="Times New Roman" w:cs="Times New Roman"/>
        </w:rPr>
        <w:t xml:space="preserve"> </w:t>
      </w:r>
      <w:r>
        <w:rPr>
          <w:rFonts w:ascii="Ebrima" w:hAnsi="Ebrima" w:eastAsia="Ebrima" w:cs="Ebrima"/>
        </w:rPr>
        <w:t>እንዳለባቸው</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ተገለጠልኝ።</w:t>
      </w:r>
      <w:r>
        <w:rPr>
          <w:rFonts w:ascii="Times New Roman" w:hAnsi="Times New Roman" w:eastAsia="Times New Roman" w:cs="Times New Roman"/>
        </w:rPr>
        <w:t xml:space="preserve"> </w:t>
      </w:r>
      <w:r>
        <w:rPr>
          <w:rFonts w:ascii="Ebrima" w:hAnsi="Ebrima" w:eastAsia="Ebrima" w:cs="Ebrima"/>
        </w:rPr>
        <w:t>በስህተትና</w:t>
      </w:r>
      <w:r>
        <w:rPr>
          <w:rFonts w:ascii="Times New Roman" w:hAnsi="Times New Roman" w:eastAsia="Times New Roman" w:cs="Times New Roman"/>
        </w:rPr>
        <w:t xml:space="preserve"> </w:t>
      </w:r>
      <w:r>
        <w:rPr>
          <w:rFonts w:ascii="Ebrima" w:hAnsi="Ebrima" w:eastAsia="Ebrima" w:cs="Ebrima"/>
        </w:rPr>
        <w:t>በጨለማ</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ስብሰባ</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ወጣትም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ሽማግሌ</w:t>
      </w:r>
      <w:r>
        <w:rPr>
          <w:rFonts w:ascii="Times New Roman" w:hAnsi="Times New Roman" w:eastAsia="Times New Roman" w:cs="Times New Roman"/>
        </w:rPr>
        <w:t xml:space="preserve"> </w:t>
      </w:r>
      <w:r>
        <w:rPr>
          <w:rFonts w:ascii="Ebrima" w:hAnsi="Ebrima" w:eastAsia="Ebrima" w:cs="Ebrima"/>
        </w:rPr>
        <w:t>እንዳይገኙ</w:t>
      </w:r>
      <w:r>
        <w:rPr>
          <w:rFonts w:ascii="Times New Roman" w:hAnsi="Times New Roman" w:eastAsia="Times New Roman" w:cs="Times New Roman"/>
        </w:rPr>
        <w:t xml:space="preserve"> </w:t>
      </w:r>
      <w:r>
        <w:rPr>
          <w:rFonts w:ascii="Ebrima" w:hAnsi="Ebrima" w:eastAsia="Ebrima" w:cs="Ebrima"/>
        </w:rPr>
        <w:t>አየሁ።</w:t>
      </w:r>
      <w:r>
        <w:rPr>
          <w:rFonts w:ascii="Times New Roman" w:hAnsi="Times New Roman" w:eastAsia="Times New Roman" w:cs="Times New Roman"/>
        </w:rPr>
        <w:t xml:space="preserve"> </w:t>
      </w:r>
      <w:r>
        <w:rPr>
          <w:rFonts w:ascii="Ebrima" w:hAnsi="Ebrima" w:eastAsia="Ebrima" w:cs="Ebrima"/>
        </w:rPr>
        <w:t>መልአኩም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አእምሮ</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ጥቅም</w:t>
      </w:r>
      <w:r>
        <w:rPr>
          <w:rFonts w:ascii="Times New Roman" w:hAnsi="Times New Roman" w:eastAsia="Times New Roman" w:cs="Times New Roman"/>
        </w:rPr>
        <w:t xml:space="preserve"> </w:t>
      </w:r>
      <w:r>
        <w:rPr>
          <w:rFonts w:ascii="Ebrima" w:hAnsi="Ebrima" w:eastAsia="Ebrima" w:cs="Ebrima"/>
        </w:rPr>
        <w:t>በሌላቸው</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መኖሩን</w:t>
      </w:r>
      <w:r>
        <w:rPr>
          <w:rFonts w:ascii="Times New Roman" w:hAnsi="Times New Roman" w:eastAsia="Times New Roman" w:cs="Times New Roman"/>
        </w:rPr>
        <w:t xml:space="preserve"> </w:t>
      </w:r>
      <w:r>
        <w:rPr>
          <w:rFonts w:ascii="Ebrima" w:hAnsi="Ebrima" w:eastAsia="Ebrima" w:cs="Ebrima"/>
        </w:rPr>
        <w:t>ይቁም።</w:t>
      </w:r>
      <w:r>
        <w:rPr>
          <w:rFonts w:ascii="Times New Roman" w:hAnsi="Times New Roman" w:eastAsia="Times New Roman" w:cs="Times New Roman"/>
        </w:rPr>
        <w:t>’” Manuscript Releases, volume 5, 425.</w:t>
      </w:r>
    </w:p>
    <w:p>
      <w:pPr>
        <w:pStyle w:val="ArticleBody"/>
        <w:jc w:val="left"/>
      </w:pPr>
      <w:r>
        <w:rPr>
          <w:rFonts w:ascii="Times New Roman" w:hAnsi="Times New Roman" w:eastAsia="Times New Roman" w:cs="Times New Roman"/>
        </w:rPr>
        <w:t>Kusanyiko la pili lililoanza mwaka 1850 lilikuwa mfano wa kutiwa muhuri (kufungwa) kwa watu wa Mungu wanapoinuliwa juu, “wakiinuliwa,” kama bendera ya ishara. Mwaka 1850 unatambulisha wakati ambapo Bwana anawakusanya wale mia moja arobaini na nne elfu. Kwa ulazima wa kinabii, ni lazima walikuwa wametawanyika kabla ya kukusanywa. Hivyo basi, “siku tatu na nusu” za Ufunuo 11:11, ambazo zinaashiria 1260, ambayo ni nusu ya 2520 na inawakilisha kutawanyika kulikofuata Julai 18, 2020. Ufunuo 11:11 unawakilisha kusanyiko la pili la wale watakaokuwa mia moja arobaini na nne elfu na bendera ya ishara inayoinuliwa kwa mataifa kama ilivyowekwa katika Isaya 11:11!</w:t>
      </w:r>
    </w:p>
    <w:p>
      <w:pPr>
        <w:pStyle w:val="ArticleScripture"/>
        <w:jc w:val="left"/>
      </w:pPr>
      <w:r>
        <w:rPr>
          <w:rFonts w:ascii="Times New Roman" w:hAnsi="Times New Roman" w:eastAsia="Times New Roman" w:cs="Times New Roman"/>
        </w:rPr>
        <w:t>Na mpe na mokolo wana ekozala na mosisa ya Yese, oyo akotelema lokola elembo mpo na bato; epai na ye bikólo ekoya koluka; mpe bopemi na ye ekozala na nkembo.</w:t>
      </w:r>
    </w:p>
    <w:p>
      <w:pPr>
        <w:pStyle w:val="ArticleScripture"/>
        <w:jc w:val="left"/>
      </w:pPr>
      <w:r>
        <w:rPr>
          <w:rFonts w:ascii="Times New Roman" w:hAnsi="Times New Roman" w:eastAsia="Times New Roman" w:cs="Times New Roman"/>
        </w:rPr>
        <w:t>Et il arrivera, en ce jour-là, que le Seigneur étendra de nouveau sa main, pour la seconde fois, afin de racheter le reste de son peuple qui sera demeuré, de l’Assyrie, de l’Égypte, de Pathros, de Cush, d’Élam, de Schinear, de Hamath, et des îles de la mer.</w:t>
      </w:r>
    </w:p>
    <w:p>
      <w:pPr>
        <w:pStyle w:val="ArticleScripture"/>
        <w:jc w:val="left"/>
      </w:pPr>
      <w:r>
        <w:rPr>
          <w:rFonts w:ascii="Times New Roman" w:hAnsi="Times New Roman" w:eastAsia="Times New Roman" w:cs="Times New Roman"/>
        </w:rPr>
        <w:t>Na yeye atasimamisha bendera kwa mataifa, naye atawakusanya waliofukuzwa wa Israeli, na kuwakutanisha pamoja waliotawanyika wa Yuda kutoka pande nne za dunia. Isaya 11:10, 11, 12.</w:t>
      </w:r>
    </w:p>
    <w:p>
      <w:pPr>
        <w:pStyle w:val="ArticleBody"/>
        <w:jc w:val="left"/>
      </w:pPr>
      <w:r>
        <w:rPr>
          <w:rFonts w:ascii="Times New Roman" w:hAnsi="Times New Roman" w:eastAsia="Times New Roman" w:cs="Times New Roman"/>
        </w:rPr>
        <w:t>En 1850, le Seigneur étendit sa main une seconde fois pour rassembler le peuple qui proclamait le message du troisième ange conjointement avec le message du Cri de Minuit, tel qu’il est représenté par les deux tables d’Habacuc. En juillet 2023, le Seigneur étendit sa main une seconde fois pour rassembler le peuple qui proclamait le message du troisième ange conjointement avec le message du Cri de Minuit, tel qu’il est représenté par les deux tables d’Habacuc. Tant 1850 que juillet 2023 identifient le rassemblement du « reste de son peuple », comme l’affirme Ésaïe au verset 11 du chapitre 11. Le verset 11 est encadré par les versets 10 et 12, et ces deux versets désignent tous deux l’élévation de l’étendard devant le monde.</w:t>
      </w:r>
    </w:p>
    <w:p>
      <w:pPr>
        <w:pStyle w:val="ArticleBody"/>
        <w:jc w:val="left"/>
      </w:pPr>
      <w:r>
        <w:rPr>
          <w:rFonts w:ascii="Leelawadee UI" w:hAnsi="Leelawadee UI" w:eastAsia="Leelawadee UI" w:cs="Leelawadee UI"/>
        </w:rPr>
        <w:t>ທຸກຂໍ້ໃນຈຳນວນສາມຂໍ້ນັ້ນກຳລັງຊີ້ບອກເຖິງທຸງສັນຍາລັກ</w:t>
      </w:r>
      <w:r>
        <w:rPr>
          <w:rFonts w:ascii="Times New Roman" w:hAnsi="Times New Roman" w:eastAsia="Times New Roman" w:cs="Times New Roman"/>
        </w:rPr>
        <w:t xml:space="preserve"> </w:t>
      </w:r>
      <w:r>
        <w:rPr>
          <w:rFonts w:ascii="Leelawadee UI" w:hAnsi="Leelawadee UI" w:eastAsia="Leelawadee UI" w:cs="Leelawadee UI"/>
        </w:rPr>
        <w:t>ແມ່ນແຕ່ຂໍ້ກາງໄດ້ລະບຸພວກເຂົາວ່າເປັນ</w:t>
      </w:r>
      <w:r>
        <w:rPr>
          <w:rFonts w:ascii="Times New Roman" w:hAnsi="Times New Roman" w:eastAsia="Times New Roman" w:cs="Times New Roman"/>
        </w:rPr>
        <w:t xml:space="preserve"> “</w:t>
      </w:r>
      <w:r>
        <w:rPr>
          <w:rFonts w:ascii="Leelawadee UI" w:hAnsi="Leelawadee UI" w:eastAsia="Leelawadee UI" w:cs="Leelawadee UI"/>
        </w:rPr>
        <w:t>ຊາກທີ່ເຫຼືອ</w:t>
      </w:r>
      <w:r>
        <w:rPr>
          <w:rFonts w:ascii="Times New Roman" w:hAnsi="Times New Roman" w:eastAsia="Times New Roman" w:cs="Times New Roman"/>
        </w:rPr>
        <w:t xml:space="preserve">.” </w:t>
      </w:r>
      <w:r>
        <w:rPr>
          <w:rFonts w:ascii="Leelawadee UI" w:hAnsi="Leelawadee UI" w:eastAsia="Leelawadee UI" w:cs="Leelawadee UI"/>
        </w:rPr>
        <w:t>ຊາກທີ່ເຫຼືອນັ້ນໃນທີ່ນັ້ນຖືກຮວບຮວມເປັນຄັ້ງທີສອງ</w:t>
      </w:r>
      <w:r>
        <w:rPr>
          <w:rFonts w:ascii="Times New Roman" w:hAnsi="Times New Roman" w:eastAsia="Times New Roman" w:cs="Times New Roman"/>
        </w:rPr>
        <w:t xml:space="preserve"> </w:t>
      </w:r>
      <w:r>
        <w:rPr>
          <w:rFonts w:ascii="Leelawadee UI" w:hAnsi="Leelawadee UI" w:eastAsia="Leelawadee UI" w:cs="Leelawadee UI"/>
        </w:rPr>
        <w:t>ແລະຈຳນວນເຜົ່າທີ່ພວກເຂົາຖືກຮວບຮວມອອກມາຈາກນັ້ນມີແປດ</w:t>
      </w:r>
      <w:r>
        <w:rPr>
          <w:rFonts w:ascii="Times New Roman" w:hAnsi="Times New Roman" w:eastAsia="Times New Roman" w:cs="Times New Roman"/>
        </w:rPr>
        <w:t xml:space="preserve">. “8” </w:t>
      </w:r>
      <w:r>
        <w:rPr>
          <w:rFonts w:ascii="Leelawadee UI" w:hAnsi="Leelawadee UI" w:eastAsia="Leelawadee UI" w:cs="Leelawadee UI"/>
        </w:rPr>
        <w:t>ບໍ່ພຽງແຕ່ເປັນຕົວແທນເຖິງຜູ້ທີ່ຢູ່ໃນນາວາຂອງໂນອາ</w:t>
      </w:r>
      <w:r>
        <w:rPr>
          <w:rFonts w:ascii="Times New Roman" w:hAnsi="Times New Roman" w:eastAsia="Times New Roman" w:cs="Times New Roman"/>
        </w:rPr>
        <w:t xml:space="preserve"> </w:t>
      </w:r>
      <w:r>
        <w:rPr>
          <w:rFonts w:ascii="Leelawadee UI" w:hAnsi="Leelawadee UI" w:eastAsia="Leelawadee UI" w:cs="Leelawadee UI"/>
        </w:rPr>
        <w:t>ຜູ້ທີ່ຂ້າມຈາກໂລກເກົ່າໄປສູ່ໂລກໃໝ່ໂດຍບໍ່ໄດ້ເຫັນຄວາມຕາຍເທົ່ານັ້ນ</w:t>
      </w:r>
      <w:r>
        <w:rPr>
          <w:rFonts w:ascii="Times New Roman" w:hAnsi="Times New Roman" w:eastAsia="Times New Roman" w:cs="Times New Roman"/>
        </w:rPr>
        <w:t xml:space="preserve">, </w:t>
      </w:r>
      <w:r>
        <w:rPr>
          <w:rFonts w:ascii="Leelawadee UI" w:hAnsi="Leelawadee UI" w:eastAsia="Leelawadee UI" w:cs="Leelawadee UI"/>
        </w:rPr>
        <w:t>ແຕ່</w:t>
      </w:r>
      <w:r>
        <w:rPr>
          <w:rFonts w:ascii="Times New Roman" w:hAnsi="Times New Roman" w:eastAsia="Times New Roman" w:cs="Times New Roman"/>
        </w:rPr>
        <w:t xml:space="preserve"> “8” </w:t>
      </w:r>
      <w:r>
        <w:rPr>
          <w:rFonts w:ascii="Leelawadee UI" w:hAnsi="Leelawadee UI" w:eastAsia="Leelawadee UI" w:cs="Leelawadee UI"/>
        </w:rPr>
        <w:t>ຍັງເປັນຕົວແທນເຖິງຜູ້ທີ່ເປັນຄຣິສຕະຈັກທີແປດ</w:t>
      </w:r>
      <w:r>
        <w:rPr>
          <w:rFonts w:ascii="Times New Roman" w:hAnsi="Times New Roman" w:eastAsia="Times New Roman" w:cs="Times New Roman"/>
        </w:rPr>
        <w:t xml:space="preserve"> </w:t>
      </w:r>
      <w:r>
        <w:rPr>
          <w:rFonts w:ascii="Leelawadee UI" w:hAnsi="Leelawadee UI" w:eastAsia="Leelawadee UI" w:cs="Leelawadee UI"/>
        </w:rPr>
        <w:t>ຊຶ່ງອອກມາຈາກທັງເຈັດ</w:t>
      </w:r>
      <w:r>
        <w:rPr>
          <w:rFonts w:ascii="Times New Roman" w:hAnsi="Times New Roman" w:eastAsia="Times New Roman" w:cs="Times New Roman"/>
        </w:rPr>
        <w:t xml:space="preserve">. </w:t>
      </w:r>
      <w:r>
        <w:rPr>
          <w:rFonts w:ascii="Leelawadee UI" w:hAnsi="Leelawadee UI" w:eastAsia="Leelawadee UI" w:cs="Leelawadee UI"/>
        </w:rPr>
        <w:t>ພະຍານທັງສອງໃນ</w:t>
      </w:r>
      <w:r>
        <w:rPr>
          <w:rFonts w:ascii="Times New Roman" w:hAnsi="Times New Roman" w:eastAsia="Times New Roman" w:cs="Times New Roman"/>
        </w:rPr>
        <w:t xml:space="preserve"> Revelation 11:11 </w:t>
      </w:r>
      <w:r>
        <w:rPr>
          <w:rFonts w:ascii="Leelawadee UI" w:hAnsi="Leelawadee UI" w:eastAsia="Leelawadee UI" w:cs="Leelawadee UI"/>
        </w:rPr>
        <w:t>ແມ່ນຜູ້ທີ່ໄດ້ຖືກຟື້ນຄືນຊີວິດແລ້ວ</w:t>
      </w:r>
      <w:r>
        <w:rPr>
          <w:rFonts w:ascii="Times New Roman" w:hAnsi="Times New Roman" w:eastAsia="Times New Roman" w:cs="Times New Roman"/>
        </w:rPr>
        <w:t xml:space="preserve">. </w:t>
      </w:r>
      <w:r>
        <w:rPr>
          <w:rFonts w:ascii="Leelawadee UI" w:hAnsi="Leelawadee UI" w:eastAsia="Leelawadee UI" w:cs="Leelawadee UI"/>
        </w:rPr>
        <w:t>ຈຳນວນ</w:t>
      </w:r>
      <w:r>
        <w:rPr>
          <w:rFonts w:ascii="Times New Roman" w:hAnsi="Times New Roman" w:eastAsia="Times New Roman" w:cs="Times New Roman"/>
        </w:rPr>
        <w:t xml:space="preserve"> “8” </w:t>
      </w:r>
      <w:r>
        <w:rPr>
          <w:rFonts w:ascii="Leelawadee UI" w:hAnsi="Leelawadee UI" w:eastAsia="Leelawadee UI" w:cs="Leelawadee UI"/>
        </w:rPr>
        <w:t>ເປັນສັນຍາລັກແຫ່ງການຟື້ນຄືນຊີວິດ</w:t>
      </w:r>
      <w:r>
        <w:rPr>
          <w:rFonts w:ascii="Times New Roman" w:hAnsi="Times New Roman" w:eastAsia="Times New Roman" w:cs="Times New Roman"/>
        </w:rPr>
        <w:t xml:space="preserve">, </w:t>
      </w:r>
      <w:r>
        <w:rPr>
          <w:rFonts w:ascii="Leelawadee UI" w:hAnsi="Leelawadee UI" w:eastAsia="Leelawadee UI" w:cs="Leelawadee UI"/>
        </w:rPr>
        <w:t>ເປັນສັນຍາລັກຂອງຄົນໜຶ່ງແສນສີ່ໝື່ນສີ່ພັນ</w:t>
      </w:r>
      <w:r>
        <w:rPr>
          <w:rFonts w:ascii="Times New Roman" w:hAnsi="Times New Roman" w:eastAsia="Times New Roman" w:cs="Times New Roman"/>
        </w:rPr>
        <w:t xml:space="preserve">, </w:t>
      </w:r>
      <w:r>
        <w:rPr>
          <w:rFonts w:ascii="Leelawadee UI" w:hAnsi="Leelawadee UI" w:eastAsia="Leelawadee UI" w:cs="Leelawadee UI"/>
        </w:rPr>
        <w:t>ເປັນສັນຍາລັກຂອງບັບຕິສະມາ</w:t>
      </w:r>
      <w:r>
        <w:rPr>
          <w:rFonts w:ascii="Times New Roman" w:hAnsi="Times New Roman" w:eastAsia="Times New Roman" w:cs="Times New Roman"/>
        </w:rPr>
        <w:t xml:space="preserve"> </w:t>
      </w:r>
      <w:r>
        <w:rPr>
          <w:rFonts w:ascii="Leelawadee UI" w:hAnsi="Leelawadee UI" w:eastAsia="Leelawadee UI" w:cs="Leelawadee UI"/>
        </w:rPr>
        <w:t>ແລະເປັນສັນຍາລັກຂອງຜູ້ທີ່ຜ່ານຈາກ</w:t>
      </w:r>
      <w:r>
        <w:rPr>
          <w:rFonts w:ascii="Times New Roman" w:hAnsi="Times New Roman" w:eastAsia="Times New Roman" w:cs="Times New Roman"/>
        </w:rPr>
        <w:t xml:space="preserve"> Laodicea </w:t>
      </w:r>
      <w:r>
        <w:rPr>
          <w:rFonts w:ascii="Leelawadee UI" w:hAnsi="Leelawadee UI" w:eastAsia="Leelawadee UI" w:cs="Leelawadee UI"/>
        </w:rPr>
        <w:t>ໄປສູ່</w:t>
      </w:r>
      <w:r>
        <w:rPr>
          <w:rFonts w:ascii="Times New Roman" w:hAnsi="Times New Roman" w:eastAsia="Times New Roman" w:cs="Times New Roman"/>
        </w:rPr>
        <w:t xml:space="preserve"> Philadelphia </w:t>
      </w:r>
      <w:r>
        <w:rPr>
          <w:rFonts w:ascii="Leelawadee UI" w:hAnsi="Leelawadee UI" w:eastAsia="Leelawadee UI" w:cs="Leelawadee UI"/>
        </w:rPr>
        <w:t>ແລະກາຍເປັນທຸງສັນຍາລັກຂອງອິຊາຢາຕໍ່ບັນດາປະຊາຊາດ</w:t>
      </w:r>
      <w:r>
        <w:rPr>
          <w:rFonts w:ascii="Times New Roman" w:hAnsi="Times New Roman" w:eastAsia="Times New Roman" w:cs="Times New Roman"/>
        </w:rPr>
        <w:t xml:space="preserve">. </w:t>
      </w:r>
      <w:r>
        <w:rPr>
          <w:rFonts w:ascii="Leelawadee UI" w:hAnsi="Leelawadee UI" w:eastAsia="Leelawadee UI" w:cs="Leelawadee UI"/>
        </w:rPr>
        <w:t>ອົງພຣະຜູ້ເປັນເຈົ້າຊົງຢືດພຣະຫັດຂອງພຣະອົງອອກເປັນຄັ້ງທີສອງໃນຊ່ວງປີ</w:t>
      </w:r>
      <w:r>
        <w:rPr>
          <w:rFonts w:ascii="Times New Roman" w:hAnsi="Times New Roman" w:eastAsia="Times New Roman" w:cs="Times New Roman"/>
        </w:rPr>
        <w:t xml:space="preserve"> 1850 </w:t>
      </w:r>
      <w:r>
        <w:rPr>
          <w:rFonts w:ascii="Leelawadee UI" w:hAnsi="Leelawadee UI" w:eastAsia="Leelawadee UI" w:cs="Leelawadee UI"/>
        </w:rPr>
        <w:t>ຫາ</w:t>
      </w:r>
      <w:r>
        <w:rPr>
          <w:rFonts w:ascii="Times New Roman" w:hAnsi="Times New Roman" w:eastAsia="Times New Roman" w:cs="Times New Roman"/>
        </w:rPr>
        <w:t xml:space="preserve"> 1865 </w:t>
      </w:r>
      <w:r>
        <w:rPr>
          <w:rFonts w:ascii="Leelawadee UI" w:hAnsi="Leelawadee UI" w:eastAsia="Leelawadee UI" w:cs="Leelawadee UI"/>
        </w:rPr>
        <w:t>ແລະອີກຄັ້ງໃນເດືອນກໍລະກົດ</w:t>
      </w:r>
      <w:r>
        <w:rPr>
          <w:rFonts w:ascii="Times New Roman" w:hAnsi="Times New Roman" w:eastAsia="Times New Roman" w:cs="Times New Roman"/>
        </w:rPr>
        <w:t xml:space="preserve"> </w:t>
      </w:r>
      <w:r>
        <w:rPr>
          <w:rFonts w:ascii="Leelawadee UI" w:hAnsi="Leelawadee UI" w:eastAsia="Leelawadee UI" w:cs="Leelawadee UI"/>
        </w:rPr>
        <w:t>ປີ</w:t>
      </w:r>
      <w:r>
        <w:rPr>
          <w:rFonts w:ascii="Times New Roman" w:hAnsi="Times New Roman" w:eastAsia="Times New Roman" w:cs="Times New Roman"/>
        </w:rPr>
        <w:t xml:space="preserve"> 2023.</w:t>
      </w:r>
    </w:p>
    <w:p>
      <w:pPr>
        <w:pStyle w:val="ArticleBody"/>
        <w:jc w:val="left"/>
      </w:pPr>
      <w:r>
        <w:rPr>
          <w:rFonts w:ascii="Times New Roman" w:hAnsi="Times New Roman" w:eastAsia="Times New Roman" w:cs="Times New Roman"/>
        </w:rPr>
        <w:t>Saal 2023, war es neues Licht über die sieben Zeiten, ebenso wie es 1856 der Fall gewesen war. Der Zeitraum von 1856 bis 1863 stellt die Geschichte der Hundertvierundvierzigtausend dar, wenn der Herr Sein Übriges als ein Heer aufrichtet.</w:t>
      </w:r>
    </w:p>
    <w:p>
      <w:pPr>
        <w:pStyle w:val="ArticleBody"/>
        <w:jc w:val="left"/>
      </w:pPr>
      <w:r>
        <w:rPr>
          <w:rFonts w:ascii="Times New Roman" w:hAnsi="Times New Roman" w:eastAsia="Times New Roman" w:cs="Times New Roman"/>
        </w:rPr>
        <w:t>ישעיהו יא:יא תואם בשלמות את ההתגלות יא:יא, אשר תואם בשלמות את דניאל יא:יא. ישעיהו ויוחנן מציגים היסטוריה פנימית, ודניאל—היסטוריה חיצונית. הקו החיצוני של דניאל יא:יא מקביל לקו הפנימי של יוחנן יא:יא, ובישעיהו יא:יא מוצג הנס של הקו הפנימי, הקורא את צאנו האחר של אלוהים לצאת מן הקו החיצוני. פלמוני קשר את הקטעים הללו יחדיו לאגודה נאה, דבר שלא היה יכול להיעשות אלא על־ידי מי שהוא בורא הכול.</w:t>
      </w:r>
    </w:p>
    <w:p>
      <w:pPr>
        <w:pStyle w:val="ArticleBody"/>
        <w:jc w:val="left"/>
      </w:pPr>
      <w:r>
        <w:rPr>
          <w:rFonts w:ascii="Times New Roman" w:hAnsi="Times New Roman" w:eastAsia="Times New Roman" w:cs="Times New Roman"/>
        </w:rPr>
        <w:t>Nous poursuivrons ces choses dans le prochain article.</w:t>
      </w:r>
    </w:p>
    <w:p>
      <w:pPr>
        <w:pStyle w:val="ArticleHeading"/>
        <w:jc w:val="left"/>
      </w:pPr>
      <w:r>
        <w:rPr>
          <w:rFonts w:ascii="Arial" w:hAnsi="Arial" w:eastAsia="Arial" w:cs="Arial"/>
        </w:rPr>
        <w:t>Dialogue avec l’information artificielle :</w:t>
      </w:r>
    </w:p>
    <w:p>
      <w:pPr>
        <w:pStyle w:val="ArticleBody"/>
        <w:jc w:val="left"/>
      </w:pPr>
      <w:r>
        <w:rPr>
          <w:rFonts w:ascii="Leelawadee UI" w:hAnsi="Leelawadee UI" w:eastAsia="Leelawadee UI" w:cs="Leelawadee UI"/>
        </w:rPr>
        <w:t>តើពិភពគណិតវិទ្យារកឃើញសារៈសំខាន់ណាមួយនៅក្នុងលេខ</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ដែរឬទេ</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Oui, le nombre 11 présente plusieurs aspects d’un véritable intérêt et d’une réelle importance mathématiques (au-delà du simple fait d’être un nombre premier). Voici les principaux que les mathématiciens et les passionnés de mathématiques mettent souvent en évidence :</w:t>
      </w:r>
    </w:p>
    <w:p>
      <w:pPr>
        <w:pStyle w:val="ArticleBody"/>
        <w:jc w:val="left"/>
      </w:pPr>
      <w:r>
        <w:rPr>
          <w:rFonts w:ascii="Times New Roman" w:hAnsi="Times New Roman" w:eastAsia="Times New Roman" w:cs="Times New Roman"/>
        </w:rPr>
        <w:t>11 ffii nomba priimii shanaffaa dha; priimii lakkoofsa lama-qixxee keessaa isa xiqqaa fi priimii jalqabaa kan bu’uura 10 keessatti paaliindiroomii ta’eedha. “11” repyuniitii isa xiqqaa dha— jechuunis lakkoofsa yuunitiiwwan irra deddeebi’anii ijaarame keessaa isa priimii ta’e. Inni priimii lakkoofsa lama-qixxee keessaa lakkoofsi isaa lamaan wal-qixa ta’an keessaa isa tokkicha dha. 11, 22, 33, 44 fi kkf. Kun “11” qofa irratti hojjeta. “11” eksipooneentii priimii Mersenne dha. Bal’ina deesimaalii 1/11 = 0.090909… yeroon irra-deebii isaa 2 qofa qaba; garuu 1/11 karaa biraatiin illee beekamaa dha: tartiibni priimotaa 11, 101, 1009, 10007, 100003, fi kkf., marii priimotaa keessatti adeemsa aritmeetikii keessatti mul’ata. Gareen dihaadiraalii tartiiba 22 qabu (simmeetiriiwwan 11-gonii sirrii tokkoo) waan nama harkisu dha; sababiin isaas “11” priimii isa xiqqaa ta’ee gareen dihaadiraalii caasaa non-abelian, giddu-galeessa irraa bilisa ta’e, kan ti’oorii garee keessatti barbaachisummaa qabu itti argisiisudha. Fiiziksii ti’ooriitiin (string theory / M-theory), yunivarsiin yeroo baay’ee dimenshinoota yeroo-bakkaa 11 keessatti moodela godhama; fiiziisistoonni fi herregdoonni damee sana irratti hojjetan baay’een isaanii mul’achuu 11 ni kaasuu. “11” priimii paaliindiroomii lakkoofsa qixxee ta’an qabu keessaa isa tokkicha dha (kanneen biroo hundi lakkoofsota qixxee 2 caalan qaban 11’n hiramu; kanaafuu koompōozitii dha). Kun ti’ooramii ti’oorii lakkoofsa bashannansiisaa keessatti argamu dha.</w:t>
      </w:r>
    </w:p>
    <w:p>
      <w:pPr>
        <w:pStyle w:val="ArticleBody"/>
        <w:jc w:val="left"/>
      </w:pPr>
      <w:r>
        <w:rPr>
          <w:rFonts w:ascii="Times New Roman" w:hAnsi="Times New Roman" w:eastAsia="Times New Roman" w:cs="Times New Roman"/>
        </w:rPr>
        <w:t>Кратко:</w:t>
      </w:r>
    </w:p>
    <w:p>
      <w:pPr>
        <w:pStyle w:val="ArticleBody"/>
        <w:jc w:val="left"/>
      </w:pPr>
      <w:r>
        <w:rPr>
          <w:rFonts w:ascii="Times New Roman" w:hAnsi="Times New Roman" w:eastAsia="Times New Roman" w:cs="Times New Roman"/>
        </w:rPr>
        <w:t>Alors que « 11 » ne jouit pas du même statut de vedette que π, e ou le nombre d’or, il réapparaît sans cesse comme le plus petit ou le premier exemple de nombreux phénomènes (premier nombre premier répunit, seul nombre premier palindrome à nombre pair de chiffres, apparition précoce dans de nombreuses démonstrations et dans divers contre-exemples, 11 dimensions dans la théorie M, etc.). Ainsi, oui — le monde des mathématiques considère bel et bien 11 comme un nombre significatif.</w:t>
      </w:r>
    </w:p>
    <w:p>
      <w:pPr>
        <w:pStyle w:val="ArticleScripture"/>
        <w:jc w:val="left"/>
      </w:pPr>
      <w:r>
        <w:rPr>
          <w:rFonts w:ascii="Times New Roman" w:hAnsi="Times New Roman" w:eastAsia="Times New Roman" w:cs="Times New Roman"/>
        </w:rPr>
        <w:t>« Celui qui inspira la Parole en était le véritable interprète. Le Christ illustrait ses enseignements en attirant l’attention de ses auditeurs sur les lois simples de la nature et sur les objets familiers qu’ils voyaient et manipulaient chaque jour. Ainsi, il conduisait leurs esprits du naturel au spirituel. Beaucoup ne saisirent pas immédiatement le sens de ses paraboles; mais, à mesure que, jour après jour, ils entraient en contact avec les objets auxquels le Grand Maître avait associé des vérités spirituelles, quelques-uns discernèrent les leçons de vérité divine qu’il avait cherché à graver dans leur esprit, et ceux-ci furent convaincus de la vérité de sa mission et convertis à l’Évangile. » Sabbath School Worker, 1er décembre 1909.</w:t>
      </w:r>
    </w:p>
    <w:p>
      <w:pPr>
        <w:pStyle w:val="ArticleScripture"/>
        <w:jc w:val="left"/>
      </w:pPr>
      <w:r>
        <w:rPr>
          <w:rFonts w:ascii="Times New Roman" w:hAnsi="Times New Roman" w:eastAsia="Times New Roman" w:cs="Times New Roman"/>
        </w:rPr>
        <w:t>«فبدین‌سان که از پادشاهی طبیعی به پادشاهی روحانی رهنمون می‌سازند، مَثَل‌های مسیح حلقه‌هایی در زنجیرهٔ حقیقت‌اند که انسان را با خدا، و زمین را با آسمان متحد می‌سازد.» درس‌های تمثیلی مسیح،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Neuf</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