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Yoeli na Kanisa la Waadventista Wasabato wa Laodikia - Nambari 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Nambala ya Kumi</w:t>
      </w:r>
    </w:p>
    <w:p>
      <w:pPr>
        <w:pStyle w:val="ArticleBody"/>
        <w:jc w:val="left"/>
      </w:pPr>
      <w:r>
        <w:rPr>
          <w:rFonts w:ascii="Times New Roman" w:hAnsi="Times New Roman" w:eastAsia="Times New Roman" w:cs="Times New Roman"/>
        </w:rPr>
        <w:t>ہم یسعیاہؑ کے اُس رُویا کے ایک حصّے پر گفتگو کر رہے ہیں جو ساتویں باب سے شروع ہوتا ہے اور بارہویں باب کے اختتام تک جاری رہتا ہے۔ ہم ایسا اِس لیے کر رہے ہیں کہ 1850 میں “خداوند نے اپنا ہاتھ دوبارہ بڑھایا تاکہ” اپنی بقیہ قوم کو جمع کرے۔ ہم 1844 سے 1863 تک کے راہ نما نشان قائم کر رہے ہیں۔ ‘1850’ اور دوسرا جمع کیا جانا اُن ہی راہ نما نشانات میں سے ایک ہے۔</w:t>
      </w:r>
    </w:p>
    <w:p>
      <w:pPr>
        <w:pStyle w:val="ArticleBody"/>
        <w:jc w:val="left"/>
      </w:pPr>
      <w:r>
        <w:rPr>
          <w:rFonts w:ascii="Times New Roman" w:hAnsi="Times New Roman" w:eastAsia="Times New Roman" w:cs="Times New Roman"/>
        </w:rPr>
        <w:t>Na gode da zarar wahayin Ishaya ya fara a aya ta ɗaya ta babi na bakwai, duk lokacin da wani furuci mai kama da “a wannan rana” ya zo a matsayin nuni, dole ne a sanya shi cikin tsayayyen tsarin annabci na babi na bakwai. Mabuɗin rarrabe wahayin daidai shi ne a fahimci cewa annabci yana aiki bisa ƙa’idodin maimaitawa da faɗaɗawa, kuma wannan ƙa’ida tana aiki a cikin wahayin.</w:t>
      </w:r>
    </w:p>
    <w:p>
      <w:pPr>
        <w:pStyle w:val="ArticleBody"/>
        <w:jc w:val="left"/>
      </w:pPr>
      <w:r>
        <w:rPr>
          <w:rFonts w:ascii="Times New Roman" w:hAnsi="Times New Roman" w:eastAsia="Times New Roman" w:cs="Times New Roman"/>
        </w:rPr>
        <w:t>Matukio mbalimbali ya kweli za kinabii yanayotambulika katika njozi ya Isaya, kuanzia sura ya sita, yanapaswa kufikiwa kwa mtazamo kwamba “kwanza kabisa”, Isaya anamwakilisha nafsi iliyotiwa mafuta katika 9/11 ili kutangaza kwamba mvua ya vuli ya mwisho imewasili. Katika muktadha huo uliotakaswa, sura ya saba ya Isaya inaonyesha hofu yenyewe iliyowakilishwa na nabii katika sura ya sita alipouliza swali, ‘“hata lini” angehitaji kutoa ujumbe wa 9/11 kwa kanisa lililoasi ambalo ‘lilikuwa na macho lakini likakataa kuona na masikio lakini likakataa kusikia’?</w:t>
      </w:r>
    </w:p>
    <w:p>
      <w:pPr>
        <w:pStyle w:val="ArticleBody"/>
        <w:jc w:val="left"/>
      </w:pPr>
      <w:r>
        <w:rPr>
          <w:rFonts w:ascii="Times New Roman" w:hAnsi="Times New Roman" w:eastAsia="Times New Roman" w:cs="Times New Roman"/>
        </w:rPr>
        <w:t>Mu maso aya yeretswe, umwami mubi kandi w’umupfapfa Ahazi ni ikimenyetso cy’Umulawodikiya utazemera umuburo w’ubutumwa bw’imvura y’itumba, nk’uko butangwa n’abarinzi bahangara guhangana na Ahazi mubi kandi w’umupfapfa uhagarariwe na Yesaya n’abahungu be.</w:t>
      </w:r>
    </w:p>
    <w:p>
      <w:pPr>
        <w:pStyle w:val="ArticleBody"/>
        <w:jc w:val="left"/>
      </w:pP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৪০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যিশাইয়কে</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ছয়ে</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ভাববাণীমূলকভাবে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৪০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গুরুত্বপূর্ণভাবে</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৪০</w:t>
      </w:r>
      <w:r>
        <w:rPr>
          <w:rFonts w:ascii="Times New Roman" w:hAnsi="Times New Roman" w:eastAsia="Times New Roman" w:cs="Times New Roman"/>
        </w:rPr>
        <w:t xml:space="preserve"> </w:t>
      </w:r>
      <w:r>
        <w:rPr>
          <w:rFonts w:ascii="Nirmala UI" w:hAnsi="Nirmala UI" w:eastAsia="Nirmala UI" w:cs="Nirmala UI"/>
        </w:rPr>
        <w:t>পদ্যের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মধ্যেও</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৪০</w:t>
      </w:r>
      <w:r>
        <w:rPr>
          <w:rFonts w:ascii="Times New Roman" w:hAnsi="Times New Roman" w:eastAsia="Times New Roman" w:cs="Times New Roman"/>
        </w:rPr>
        <w:t xml:space="preserve"> </w:t>
      </w:r>
      <w:r>
        <w:rPr>
          <w:rFonts w:ascii="Nirmala UI" w:hAnsi="Nirmala UI" w:eastAsia="Nirmala UI" w:cs="Nirmala UI"/>
        </w:rPr>
        <w:t>পদ্যের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সোভিয়েত</w:t>
      </w:r>
      <w:r>
        <w:rPr>
          <w:rFonts w:ascii="Times New Roman" w:hAnsi="Times New Roman" w:eastAsia="Times New Roman" w:cs="Times New Roman"/>
        </w:rPr>
        <w:t xml:space="preserve"> </w:t>
      </w:r>
      <w:r>
        <w:rPr>
          <w:rFonts w:ascii="Nirmala UI" w:hAnsi="Nirmala UI" w:eastAsia="Nirmala UI" w:cs="Nirmala UI"/>
        </w:rPr>
        <w:t>ইউনিয়নের</w:t>
      </w:r>
      <w:r>
        <w:rPr>
          <w:rFonts w:ascii="Times New Roman" w:hAnsi="Times New Roman" w:eastAsia="Times New Roman" w:cs="Times New Roman"/>
        </w:rPr>
        <w:t xml:space="preserve"> </w:t>
      </w:r>
      <w:r>
        <w:rPr>
          <w:rFonts w:ascii="Nirmala UI" w:hAnsi="Nirmala UI" w:eastAsia="Nirmala UI" w:cs="Nirmala UI"/>
        </w:rPr>
        <w:t>পতনের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পদ্য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৪১</w:t>
      </w:r>
      <w:r>
        <w:rPr>
          <w:rFonts w:ascii="Times New Roman" w:hAnsi="Times New Roman" w:eastAsia="Times New Roman" w:cs="Times New Roman"/>
        </w:rPr>
        <w:t xml:space="preserve"> </w:t>
      </w:r>
      <w:r>
        <w:rPr>
          <w:rFonts w:ascii="Nirmala UI" w:hAnsi="Nirmala UI" w:eastAsia="Nirmala UI" w:cs="Nirmala UI"/>
        </w:rPr>
        <w:t>পদ্যের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সময়ই</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৪০</w:t>
      </w:r>
      <w:r>
        <w:rPr>
          <w:rFonts w:ascii="Times New Roman" w:hAnsi="Times New Roman" w:eastAsia="Times New Roman" w:cs="Times New Roman"/>
        </w:rPr>
        <w:t xml:space="preserve"> </w:t>
      </w:r>
      <w:r>
        <w:rPr>
          <w:rFonts w:ascii="Nirmala UI" w:hAnsi="Nirmala UI" w:eastAsia="Nirmala UI" w:cs="Nirmala UI"/>
        </w:rPr>
        <w:t>পদ্যের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মধ্যেই</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বার্তাবাহককে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বিবেচনায়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৪১</w:t>
      </w:r>
      <w:r>
        <w:rPr>
          <w:rFonts w:ascii="Times New Roman" w:hAnsi="Times New Roman" w:eastAsia="Times New Roman" w:cs="Times New Roman"/>
        </w:rPr>
        <w:t>–</w:t>
      </w:r>
      <w:r>
        <w:rPr>
          <w:rFonts w:ascii="Nirmala UI" w:hAnsi="Nirmala UI" w:eastAsia="Nirmala UI" w:cs="Nirmala UI"/>
        </w:rPr>
        <w:t>৪৫।</w:t>
      </w:r>
    </w:p>
    <w:p>
      <w:pPr>
        <w:pStyle w:val="ArticleBody"/>
        <w:jc w:val="left"/>
      </w:pPr>
      <w:r>
        <w:rPr>
          <w:rFonts w:ascii="Times New Roman" w:hAnsi="Times New Roman" w:eastAsia="Times New Roman" w:cs="Times New Roman"/>
        </w:rPr>
        <w:t>En se tenant prophétiquement à l’endroit d’Ésaïe 9/11 dans le chapitre dix, Ésaïe présente un avertissement selon lequel l’événement immédiatement suivant est le « décret injuste », qui est la loi du dimanche, et qui est représenté au verset quarante et un de Daniel onze. L’illustration par Ésaïe du message de la pluie de l’arrière-saison se situe dans l’« histoire cachée » du verset quarante, après le 9/11. L’accomplissement du verset quarante en 1989 place Ésaïe après 1989, au 9/11, où il est oint d’un charbon pris sur l’autel. Ésaïe représente un messager dont le message comprend les six derniers versets de Daniel onze.</w:t>
      </w:r>
    </w:p>
    <w:p>
      <w:pPr>
        <w:pStyle w:val="ArticleBody"/>
        <w:jc w:val="left"/>
      </w:pPr>
      <w:r>
        <w:rPr>
          <w:rFonts w:ascii="Times New Roman" w:hAnsi="Times New Roman" w:eastAsia="Times New Roman" w:cs="Times New Roman"/>
        </w:rPr>
        <w:t>Isaias afirma diretamente que ele e seus filhos são por sinais e por maravilhas. No capítulo sete, versículo três, Isaías e seu filho estão junto ao aqueduto do açude superior, no caminho do campo do pisoeiro. Isaías está apresentando a mensagem da chuva serôdia, a qual foi ungido para proclamar no capítulo seis, e está postado junto a três símbolos da chuva serôdia, bem como com seu filho Sear-Jasube. O aqueduto do açude superior é uma alusão profética aos dois tubos cheios do azeite dourado que Zacarias identifica e sobre os quais a irmã White comenta tão frequentemente, identificando a mensagem que procede do aqueduto do açude superior na mensagem da chuva serôdia.</w:t>
      </w:r>
    </w:p>
    <w:p>
      <w:pPr>
        <w:pStyle w:val="ArticleBody"/>
        <w:jc w:val="left"/>
      </w:pPr>
      <w:r>
        <w:rPr>
          <w:rFonts w:ascii="Times New Roman" w:hAnsi="Times New Roman" w:eastAsia="Times New Roman" w:cs="Times New Roman"/>
        </w:rPr>
        <w:t>Le conduit d’Ésaïe se rattache aux deux tuyaux de Zacharie, et le commentaire d’Ellen White relie Zacharie à la parabole des dix vierges. Ésaïe est humilié jusque dans la poussière au chapitre six lorsqu’il voit la gloire du Seigneur. Il accepte de porter le message représenté au verset trois comme étant le message qui éclaire la terre de la gloire de Dieu. Et il est purifié par une braise prise sur l’autel, puis il se tient auprès du réservoir formé par les eaux du bassin supérieur. Au chapitre vingt-huit, Ésaïe définit le message de la pluie de l’arrière-saison comme « précepte sur précepte », et au verset trois le bassin supérieur représente plusieurs lignes de prophétie.</w:t>
      </w:r>
    </w:p>
    <w:p>
      <w:pPr>
        <w:pStyle w:val="ArticleBody"/>
        <w:jc w:val="left"/>
      </w:pPr>
      <w:r>
        <w:rPr>
          <w:rFonts w:ascii="Times New Roman" w:hAnsi="Times New Roman" w:eastAsia="Times New Roman" w:cs="Times New Roman"/>
        </w:rPr>
        <w:t>Isaïe, représentant une âme au 9/11, ne se tiendrait à l’endroit où l’huile d’or descend du réservoir supérieur que si cette âme avait demandé le bon chemin qui conduit à l’ancien sentier de Jérémie, lequel est la « grand-route (sentier) du champ du foulon » d’Ésaïe, où se trouve le « repos » de Jérémie. Le message de la pluie de l’arrière-saison d’Ésaïe est fondé non seulement sur la ligne des dix vierges, la ligne des deux conduits d’or de Zacharie, la ligne de l’ancien sentier de Jérémie, mais Ésaïe se tient aussi au « champ du foulon », où le Messager de l’Alliance purifie et épure les fils de Lévi comme l’argent et l’or.</w:t>
      </w:r>
    </w:p>
    <w:p>
      <w:pPr>
        <w:pStyle w:val="ArticleBody"/>
        <w:jc w:val="left"/>
      </w:pP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সহজ</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ধারাগুলিকে</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এনে</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জাখরিয়ার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যাকোবের</w:t>
      </w:r>
      <w:r>
        <w:rPr>
          <w:rFonts w:ascii="Times New Roman" w:hAnsi="Times New Roman" w:eastAsia="Times New Roman" w:cs="Times New Roman"/>
        </w:rPr>
        <w:t xml:space="preserve"> </w:t>
      </w:r>
      <w:r>
        <w:rPr>
          <w:rFonts w:ascii="Nirmala UI" w:hAnsi="Nirmala UI" w:eastAsia="Nirmala UI" w:cs="Nirmala UI"/>
        </w:rPr>
        <w:t>সিঁড়ি</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যোগাযোগ</w:t>
      </w:r>
      <w:r>
        <w:rPr>
          <w:rFonts w:ascii="Times New Roman" w:hAnsi="Times New Roman" w:eastAsia="Times New Roman" w:cs="Times New Roman"/>
        </w:rPr>
        <w:t>-</w:t>
      </w:r>
      <w:r>
        <w:rPr>
          <w:rFonts w:ascii="Nirmala UI" w:hAnsi="Nirmala UI" w:eastAsia="Nirmala UI" w:cs="Nirmala UI"/>
        </w:rPr>
        <w:t>প্রক্রিয়াকে</w:t>
      </w:r>
      <w:r>
        <w:rPr>
          <w:rFonts w:ascii="Times New Roman" w:hAnsi="Times New Roman" w:eastAsia="Times New Roman" w:cs="Times New Roman"/>
        </w:rPr>
        <w:t xml:space="preserve"> </w:t>
      </w:r>
      <w:r>
        <w:rPr>
          <w:rFonts w:ascii="Nirmala UI" w:hAnsi="Nirmala UI" w:eastAsia="Nirmala UI" w:cs="Nirmala UI"/>
        </w:rPr>
        <w:t>সম্বোধন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প্রহরী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বাজায়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আহাজ</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শিঙ্গা</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শিঙ্গাকে</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প্রহরীদেরও</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রাজপথে</w:t>
      </w:r>
      <w:r>
        <w:rPr>
          <w:rFonts w:ascii="Times New Roman" w:hAnsi="Times New Roman" w:eastAsia="Times New Roman" w:cs="Times New Roman"/>
        </w:rPr>
        <w:t xml:space="preserve">” </w:t>
      </w:r>
      <w:r>
        <w:rPr>
          <w:rFonts w:ascii="Nirmala UI" w:hAnsi="Nirmala UI" w:eastAsia="Nirmala UI" w:cs="Nirmala UI"/>
        </w:rPr>
        <w:t>টেনে</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পৌঁছে</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দাঁড়িয়ে</w:t>
      </w:r>
      <w:r>
        <w:rPr>
          <w:rFonts w:ascii="Times New Roman" w:hAnsi="Times New Roman" w:eastAsia="Times New Roman" w:cs="Times New Roman"/>
        </w:rPr>
        <w:t xml:space="preserve"> </w:t>
      </w:r>
      <w:r>
        <w:rPr>
          <w:rFonts w:ascii="Nirmala UI" w:hAnsi="Nirmala UI" w:eastAsia="Nirmala UI" w:cs="Nirmala UI"/>
        </w:rPr>
        <w:t>আছেন।</w:t>
      </w:r>
    </w:p>
    <w:p>
      <w:pPr>
        <w:pStyle w:val="ArticleBody"/>
        <w:jc w:val="left"/>
      </w:pPr>
      <w:r>
        <w:rPr>
          <w:rFonts w:ascii="Times New Roman" w:hAnsi="Times New Roman" w:eastAsia="Times New Roman" w:cs="Times New Roman"/>
        </w:rPr>
        <w:t>Ésaïe et son fils Shearjashub, dont le nom signifie « un reste reviendra », se tiennent ensemble, et ils illustrent la proclamation du message de la pluie de l’arrière-saison qui est arrivé au 11 septembre. Ils vont à la rencontre du méchant roi Achaz, et, en tant que père et fils, ils représentent un symbole d’alpha et d’oméga, la règle première de la méthodologie du « précepte sur précepte ». Le « précepte sur précepte » est la règle qui fut typifiée par le principe millérite du « jour pour une année ».</w:t>
      </w:r>
    </w:p>
    <w:p>
      <w:pPr>
        <w:pStyle w:val="ArticleBody"/>
        <w:jc w:val="left"/>
      </w:pPr>
      <w:r>
        <w:rPr>
          <w:rFonts w:ascii="Times New Roman" w:hAnsi="Times New Roman" w:eastAsia="Times New Roman" w:cs="Times New Roman"/>
        </w:rPr>
        <w:t>Em 11 de agosto de 1840, cumpriu-se uma profecia acerca do islã, correspondente ao segundo ai de Apocalipse nove, e o princípio milerita de “dia/ano” foi confirmado, fortalecendo assim a predição de Miller acerca de 1843, a qual se baseava no princípio dia/ano. Em 11 de setembro de 2001, cumpriu-se uma profecia acerca do islã, correspondente ao terceiro ai de Apocalipse nove, dez e onze, e foi confirmado o princípio do alfa (11-8-1840) e ômega (11/9), quando o anjo poderoso de Apocalipse dezoito desceu no momento em que os grandes edifícios de Nova Iorque ruíram — exatamente como o anjo poderoso de Apocalipse dez havia descido em 11 de agosto de 1840, quando se cumpriu o alfa que tipificava o ômega.</w:t>
      </w:r>
    </w:p>
    <w:p>
      <w:pPr>
        <w:pStyle w:val="ArticleBody"/>
        <w:jc w:val="left"/>
      </w:pPr>
      <w:r>
        <w:rPr>
          <w:rFonts w:ascii="Nirmala UI" w:hAnsi="Nirmala UI" w:eastAsia="Nirmala UI" w:cs="Nirmala UI"/>
        </w:rPr>
        <w:t>യേശയ്യാവും</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പുത്രനും</w:t>
      </w:r>
      <w:r>
        <w:rPr>
          <w:rFonts w:ascii="Times New Roman" w:hAnsi="Times New Roman" w:eastAsia="Times New Roman" w:cs="Times New Roman"/>
        </w:rPr>
        <w:t xml:space="preserve"> “</w:t>
      </w:r>
      <w:r>
        <w:rPr>
          <w:rFonts w:ascii="Nirmala UI" w:hAnsi="Nirmala UI" w:eastAsia="Nirmala UI" w:cs="Nirmala UI"/>
        </w:rPr>
        <w:t>വരിയിൻമേൽ</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പ്രാഥമിക</w:t>
      </w:r>
      <w:r>
        <w:rPr>
          <w:rFonts w:ascii="Times New Roman" w:hAnsi="Times New Roman" w:eastAsia="Times New Roman" w:cs="Times New Roman"/>
        </w:rPr>
        <w:t xml:space="preserve"> </w:t>
      </w:r>
      <w:r>
        <w:rPr>
          <w:rFonts w:ascii="Nirmala UI" w:hAnsi="Nirmala UI" w:eastAsia="Nirmala UI" w:cs="Nirmala UI"/>
        </w:rPr>
        <w:t>സിദ്ധാന്തത്തെ</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പ്രതിനിധീകരിക്കുന്നില്ല</w:t>
      </w:r>
      <w:r>
        <w:rPr>
          <w:rFonts w:ascii="Times New Roman" w:hAnsi="Times New Roman" w:eastAsia="Times New Roman" w:cs="Times New Roman"/>
        </w:rPr>
        <w:t xml:space="preserve">; </w:t>
      </w:r>
      <w:r>
        <w:rPr>
          <w:rFonts w:ascii="Nirmala UI" w:hAnsi="Nirmala UI" w:eastAsia="Nirmala UI" w:cs="Nirmala UI"/>
        </w:rPr>
        <w:t>പിതാവിന്റെയും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മക്കളുടെയും</w:t>
      </w:r>
      <w:r>
        <w:rPr>
          <w:rFonts w:ascii="Times New Roman" w:hAnsi="Times New Roman" w:eastAsia="Times New Roman" w:cs="Times New Roman"/>
        </w:rPr>
        <w:t xml:space="preserve"> </w:t>
      </w:r>
      <w:r>
        <w:rPr>
          <w:rFonts w:ascii="Nirmala UI" w:hAnsi="Nirmala UI" w:eastAsia="Nirmala UI" w:cs="Nirmala UI"/>
        </w:rPr>
        <w:t>ബന്ധത്തിലൂടെ</w:t>
      </w:r>
      <w:r>
        <w:rPr>
          <w:rFonts w:ascii="Times New Roman" w:hAnsi="Times New Roman" w:eastAsia="Times New Roman" w:cs="Times New Roman"/>
        </w:rPr>
        <w:t xml:space="preserve"> </w:t>
      </w:r>
      <w:r>
        <w:rPr>
          <w:rFonts w:ascii="Nirmala UI" w:hAnsi="Nirmala UI" w:eastAsia="Nirmala UI" w:cs="Nirmala UI"/>
        </w:rPr>
        <w:t>ചിത്രീകരിക്കപ്പെട്ടിരിക്കുന്ന</w:t>
      </w:r>
      <w:r>
        <w:rPr>
          <w:rFonts w:ascii="Times New Roman" w:hAnsi="Times New Roman" w:eastAsia="Times New Roman" w:cs="Times New Roman"/>
        </w:rPr>
        <w:t xml:space="preserve"> </w:t>
      </w:r>
      <w:r>
        <w:rPr>
          <w:rFonts w:ascii="Nirmala UI" w:hAnsi="Nirmala UI" w:eastAsia="Nirmala UI" w:cs="Nirmala UI"/>
        </w:rPr>
        <w:t>സന്ദേശമായ</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സന്ദേശത്തെയും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ഭയങ്കരവുമായ</w:t>
      </w:r>
      <w:r>
        <w:rPr>
          <w:rFonts w:ascii="Times New Roman" w:hAnsi="Times New Roman" w:eastAsia="Times New Roman" w:cs="Times New Roman"/>
        </w:rPr>
        <w:t xml:space="preserve"> </w:t>
      </w:r>
      <w:r>
        <w:rPr>
          <w:rFonts w:ascii="Nirmala UI" w:hAnsi="Nirmala UI" w:eastAsia="Nirmala UI" w:cs="Nirmala UI"/>
        </w:rPr>
        <w:t>ദിവസത്തിന്</w:t>
      </w:r>
      <w:r>
        <w:rPr>
          <w:rFonts w:ascii="Times New Roman" w:hAnsi="Times New Roman" w:eastAsia="Times New Roman" w:cs="Times New Roman"/>
        </w:rPr>
        <w:t xml:space="preserve"> </w:t>
      </w:r>
      <w:r>
        <w:rPr>
          <w:rFonts w:ascii="Nirmala UI" w:hAnsi="Nirmala UI" w:eastAsia="Nirmala UI" w:cs="Nirmala UI"/>
        </w:rPr>
        <w:t>തൊട്ടുമുമ്പ്</w:t>
      </w:r>
      <w:r>
        <w:rPr>
          <w:rFonts w:ascii="Times New Roman" w:hAnsi="Times New Roman" w:eastAsia="Times New Roman" w:cs="Times New Roman"/>
        </w:rPr>
        <w:t xml:space="preserve"> </w:t>
      </w:r>
      <w:r>
        <w:rPr>
          <w:rFonts w:ascii="Nirmala UI" w:hAnsi="Nirmala UI" w:eastAsia="Nirmala UI" w:cs="Nirmala UI"/>
        </w:rPr>
        <w:t>പ്രഖ്യാപിക്കപ്പെടുന്ന</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നിർവാഹക</w:t>
      </w:r>
      <w:r>
        <w:rPr>
          <w:rFonts w:ascii="Times New Roman" w:hAnsi="Times New Roman" w:eastAsia="Times New Roman" w:cs="Times New Roman"/>
        </w:rPr>
        <w:t xml:space="preserve"> </w:t>
      </w:r>
      <w:r>
        <w:rPr>
          <w:rFonts w:ascii="Nirmala UI" w:hAnsi="Nirmala UI" w:eastAsia="Nirmala UI" w:cs="Nirmala UI"/>
        </w:rPr>
        <w:t>ന്യായവിധി</w:t>
      </w:r>
      <w:r>
        <w:rPr>
          <w:rFonts w:ascii="Times New Roman" w:hAnsi="Times New Roman" w:eastAsia="Times New Roman" w:cs="Times New Roman"/>
        </w:rPr>
        <w:t xml:space="preserve"> </w:t>
      </w:r>
      <w:r>
        <w:rPr>
          <w:rFonts w:ascii="Nirmala UI" w:hAnsi="Nirmala UI" w:eastAsia="Nirmala UI" w:cs="Nirmala UI"/>
        </w:rPr>
        <w:t>ആരംഭിക്കുന്നതിന്</w:t>
      </w:r>
      <w:r>
        <w:rPr>
          <w:rFonts w:ascii="Times New Roman" w:hAnsi="Times New Roman" w:eastAsia="Times New Roman" w:cs="Times New Roman"/>
        </w:rPr>
        <w:t xml:space="preserve"> </w:t>
      </w:r>
      <w:r>
        <w:rPr>
          <w:rFonts w:ascii="Nirmala UI" w:hAnsi="Nirmala UI" w:eastAsia="Nirmala UI" w:cs="Nirmala UI"/>
        </w:rPr>
        <w:t>തൊട്ടുമുമ്പ്</w:t>
      </w:r>
      <w:r>
        <w:rPr>
          <w:rFonts w:ascii="Times New Roman" w:hAnsi="Times New Roman" w:eastAsia="Times New Roman" w:cs="Times New Roman"/>
        </w:rPr>
        <w:t xml:space="preserve"> </w:t>
      </w:r>
      <w:r>
        <w:rPr>
          <w:rFonts w:ascii="Nirmala UI" w:hAnsi="Nirmala UI" w:eastAsia="Nirmala UI" w:cs="Nirmala UI"/>
        </w:rPr>
        <w:t>എത്തുന്ന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സന്ദേശത്തെ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നിർവാഹക</w:t>
      </w:r>
      <w:r>
        <w:rPr>
          <w:rFonts w:ascii="Times New Roman" w:hAnsi="Times New Roman" w:eastAsia="Times New Roman" w:cs="Times New Roman"/>
        </w:rPr>
        <w:t xml:space="preserve"> </w:t>
      </w:r>
      <w:r>
        <w:rPr>
          <w:rFonts w:ascii="Nirmala UI" w:hAnsi="Nirmala UI" w:eastAsia="Nirmala UI" w:cs="Nirmala UI"/>
        </w:rPr>
        <w:t>ന്യായവിധികൾ</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ഭയങ്കരവുമായ</w:t>
      </w:r>
      <w:r>
        <w:rPr>
          <w:rFonts w:ascii="Times New Roman" w:hAnsi="Times New Roman" w:eastAsia="Times New Roman" w:cs="Times New Roman"/>
        </w:rPr>
        <w:t xml:space="preserve"> </w:t>
      </w:r>
      <w:r>
        <w:rPr>
          <w:rFonts w:ascii="Nirmala UI" w:hAnsi="Nirmala UI" w:eastAsia="Nirmala UI" w:cs="Nirmala UI"/>
        </w:rPr>
        <w:t>ദിവസം</w:t>
      </w:r>
      <w:r>
        <w:rPr>
          <w:rFonts w:ascii="Times New Roman" w:hAnsi="Times New Roman" w:eastAsia="Times New Roman" w:cs="Times New Roman"/>
        </w:rPr>
        <w:t xml:space="preserve">” </w:t>
      </w:r>
      <w:r>
        <w:rPr>
          <w:rFonts w:ascii="Nirmala UI" w:hAnsi="Nirmala UI" w:eastAsia="Nirmala UI" w:cs="Nirmala UI"/>
        </w:rPr>
        <w:t>എന്നൊരു</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ഞായറാഴ്ചാനിയമത്തിൽ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ബാധകളിലേക്കു</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തുടരുന്നു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കാലഘട്ടം</w:t>
      </w:r>
      <w:r>
        <w:rPr>
          <w:rFonts w:ascii="Times New Roman" w:hAnsi="Times New Roman" w:eastAsia="Times New Roman" w:cs="Times New Roman"/>
        </w:rPr>
        <w:t xml:space="preserve"> </w:t>
      </w:r>
      <w:r>
        <w:rPr>
          <w:rFonts w:ascii="Nirmala UI" w:hAnsi="Nirmala UI" w:eastAsia="Nirmala UI" w:cs="Nirmala UI"/>
        </w:rPr>
        <w:t>ഞായറാഴ്ചാനിയമത്തിൽ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ബാധകളോടെ</w:t>
      </w:r>
      <w:r>
        <w:rPr>
          <w:rFonts w:ascii="Times New Roman" w:hAnsi="Times New Roman" w:eastAsia="Times New Roman" w:cs="Times New Roman"/>
        </w:rPr>
        <w:t xml:space="preserve"> </w:t>
      </w:r>
      <w:r>
        <w:rPr>
          <w:rFonts w:ascii="Nirmala UI" w:hAnsi="Nirmala UI" w:eastAsia="Nirmala UI" w:cs="Nirmala UI"/>
        </w:rPr>
        <w:t>അവസാനിക്കുന്നു</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കൃപാകാലത്തിന്റെ</w:t>
      </w:r>
      <w:r>
        <w:rPr>
          <w:rFonts w:ascii="Times New Roman" w:hAnsi="Times New Roman" w:eastAsia="Times New Roman" w:cs="Times New Roman"/>
        </w:rPr>
        <w:t xml:space="preserve"> </w:t>
      </w:r>
      <w:r>
        <w:rPr>
          <w:rFonts w:ascii="Nirmala UI" w:hAnsi="Nirmala UI" w:eastAsia="Nirmala UI" w:cs="Nirmala UI"/>
        </w:rPr>
        <w:t>അവസാനസമീപനത്തെക്കുറിച്ചുള്ള</w:t>
      </w:r>
      <w:r>
        <w:rPr>
          <w:rFonts w:ascii="Times New Roman" w:hAnsi="Times New Roman" w:eastAsia="Times New Roman" w:cs="Times New Roman"/>
        </w:rPr>
        <w:t xml:space="preserve"> </w:t>
      </w:r>
      <w:r>
        <w:rPr>
          <w:rFonts w:ascii="Nirmala UI" w:hAnsi="Nirmala UI" w:eastAsia="Nirmala UI" w:cs="Nirmala UI"/>
        </w:rPr>
        <w:t>മുന്നറിയിപ്പിനോടുകൂടി</w:t>
      </w:r>
      <w:r>
        <w:rPr>
          <w:rFonts w:ascii="Times New Roman" w:hAnsi="Times New Roman" w:eastAsia="Times New Roman" w:cs="Times New Roman"/>
        </w:rPr>
        <w:t xml:space="preserve">, </w:t>
      </w:r>
      <w:r>
        <w:rPr>
          <w:rFonts w:ascii="Nirmala UI" w:hAnsi="Nirmala UI" w:eastAsia="Nirmala UI" w:cs="Nirmala UI"/>
        </w:rPr>
        <w:t>ആൽഫയും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സിദ്ധാന്തത്തിന്റെ</w:t>
      </w:r>
      <w:r>
        <w:rPr>
          <w:rFonts w:ascii="Times New Roman" w:hAnsi="Times New Roman" w:eastAsia="Times New Roman" w:cs="Times New Roman"/>
        </w:rPr>
        <w:t xml:space="preserve"> </w:t>
      </w:r>
      <w:r>
        <w:rPr>
          <w:rFonts w:ascii="Nirmala UI" w:hAnsi="Nirmala UI" w:eastAsia="Nirmala UI" w:cs="Nirmala UI"/>
        </w:rPr>
        <w:t>അടിസ്ഥാനത്തിൽ</w:t>
      </w:r>
      <w:r>
        <w:rPr>
          <w:rFonts w:ascii="Times New Roman" w:hAnsi="Times New Roman" w:eastAsia="Times New Roman" w:cs="Times New Roman"/>
        </w:rPr>
        <w:t xml:space="preserve"> </w:t>
      </w:r>
      <w:r>
        <w:rPr>
          <w:rFonts w:ascii="Nirmala UI" w:hAnsi="Nirmala UI" w:eastAsia="Nirmala UI" w:cs="Nirmala UI"/>
        </w:rPr>
        <w:t>നിലനിൽക്കുന്നു</w:t>
      </w:r>
      <w:r>
        <w:rPr>
          <w:rFonts w:ascii="Times New Roman" w:hAnsi="Times New Roman" w:eastAsia="Times New Roman" w:cs="Times New Roman"/>
        </w:rPr>
        <w:t xml:space="preserve">. </w:t>
      </w:r>
      <w:r>
        <w:rPr>
          <w:rFonts w:ascii="Nirmala UI" w:hAnsi="Nirmala UI" w:eastAsia="Nirmala UI" w:cs="Nirmala UI"/>
        </w:rPr>
        <w:t>ഏലിയാവിന്റെ</w:t>
      </w:r>
      <w:r>
        <w:rPr>
          <w:rFonts w:ascii="Times New Roman" w:hAnsi="Times New Roman" w:eastAsia="Times New Roman" w:cs="Times New Roman"/>
        </w:rPr>
        <w:t xml:space="preserve"> </w:t>
      </w:r>
      <w:r>
        <w:rPr>
          <w:rFonts w:ascii="Nirmala UI" w:hAnsi="Nirmala UI" w:eastAsia="Nirmala UI" w:cs="Nirmala UI"/>
        </w:rPr>
        <w:t>സന്ദേശത്തോടൊപ്പം</w:t>
      </w:r>
      <w:r>
        <w:rPr>
          <w:rFonts w:ascii="Times New Roman" w:hAnsi="Times New Roman" w:eastAsia="Times New Roman" w:cs="Times New Roman"/>
        </w:rPr>
        <w:t xml:space="preserve"> </w:t>
      </w:r>
      <w:r>
        <w:rPr>
          <w:rFonts w:ascii="Nirmala UI" w:hAnsi="Nirmala UI" w:eastAsia="Nirmala UI" w:cs="Nirmala UI"/>
        </w:rPr>
        <w:t>ഏലിയാവിനെ</w:t>
      </w:r>
      <w:r>
        <w:rPr>
          <w:rFonts w:ascii="Times New Roman" w:hAnsi="Times New Roman" w:eastAsia="Times New Roman" w:cs="Times New Roman"/>
        </w:rPr>
        <w:t xml:space="preserve"> </w:t>
      </w:r>
      <w:r>
        <w:rPr>
          <w:rFonts w:ascii="Nirmala UI" w:hAnsi="Nirmala UI" w:eastAsia="Nirmala UI" w:cs="Nirmala UI"/>
        </w:rPr>
        <w:t>അടിസ്ഥാനമാക്കിയുള്ള</w:t>
      </w:r>
      <w:r>
        <w:rPr>
          <w:rFonts w:ascii="Times New Roman" w:hAnsi="Times New Roman" w:eastAsia="Times New Roman" w:cs="Times New Roman"/>
        </w:rPr>
        <w:t xml:space="preserve"> </w:t>
      </w:r>
      <w:r>
        <w:rPr>
          <w:rFonts w:ascii="Nirmala UI" w:hAnsi="Nirmala UI" w:eastAsia="Nirmala UI" w:cs="Nirmala UI"/>
        </w:rPr>
        <w:t>വിവിധ</w:t>
      </w:r>
      <w:r>
        <w:rPr>
          <w:rFonts w:ascii="Times New Roman" w:hAnsi="Times New Roman" w:eastAsia="Times New Roman" w:cs="Times New Roman"/>
        </w:rPr>
        <w:t xml:space="preserve"> </w:t>
      </w:r>
      <w:r>
        <w:rPr>
          <w:rFonts w:ascii="Nirmala UI" w:hAnsi="Nirmala UI" w:eastAsia="Nirmala UI" w:cs="Nirmala UI"/>
        </w:rPr>
        <w:t>പ്രവചനരേഖകളും</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യേശുവിന്റെ</w:t>
      </w:r>
      <w:r>
        <w:rPr>
          <w:rFonts w:ascii="Times New Roman" w:hAnsi="Times New Roman" w:eastAsia="Times New Roman" w:cs="Times New Roman"/>
        </w:rPr>
        <w:t xml:space="preserve"> </w:t>
      </w:r>
      <w:r>
        <w:rPr>
          <w:rFonts w:ascii="Nirmala UI" w:hAnsi="Nirmala UI" w:eastAsia="Nirmala UI" w:cs="Nirmala UI"/>
        </w:rPr>
        <w:t>അഭിപ്രായത്തിൽ</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സ്നാപകനെ</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സിസ്റ്റർ</w:t>
      </w:r>
      <w:r>
        <w:rPr>
          <w:rFonts w:ascii="Times New Roman" w:hAnsi="Times New Roman" w:eastAsia="Times New Roman" w:cs="Times New Roman"/>
        </w:rPr>
        <w:t xml:space="preserve"> </w:t>
      </w:r>
      <w:r>
        <w:rPr>
          <w:rFonts w:ascii="Nirmala UI" w:hAnsi="Nirmala UI" w:eastAsia="Nirmala UI" w:cs="Nirmala UI"/>
        </w:rPr>
        <w:t>വൈറ്റിന്റെ</w:t>
      </w:r>
      <w:r>
        <w:rPr>
          <w:rFonts w:ascii="Times New Roman" w:hAnsi="Times New Roman" w:eastAsia="Times New Roman" w:cs="Times New Roman"/>
        </w:rPr>
        <w:t xml:space="preserve"> </w:t>
      </w:r>
      <w:r>
        <w:rPr>
          <w:rFonts w:ascii="Nirmala UI" w:hAnsi="Nirmala UI" w:eastAsia="Nirmala UI" w:cs="Nirmala UI"/>
        </w:rPr>
        <w:t>അഭിപ്രായത്തിൽ</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യോഹന്നാനും</w:t>
      </w:r>
      <w:r>
        <w:rPr>
          <w:rFonts w:ascii="Times New Roman" w:hAnsi="Times New Roman" w:eastAsia="Times New Roman" w:cs="Times New Roman"/>
        </w:rPr>
        <w:t xml:space="preserve"> </w:t>
      </w:r>
      <w:r>
        <w:rPr>
          <w:rFonts w:ascii="Nirmala UI" w:hAnsi="Nirmala UI" w:eastAsia="Nirmala UI" w:cs="Nirmala UI"/>
        </w:rPr>
        <w:t>വില്യം</w:t>
      </w:r>
      <w:r>
        <w:rPr>
          <w:rFonts w:ascii="Times New Roman" w:hAnsi="Times New Roman" w:eastAsia="Times New Roman" w:cs="Times New Roman"/>
        </w:rPr>
        <w:t xml:space="preserve"> </w:t>
      </w:r>
      <w:r>
        <w:rPr>
          <w:rFonts w:ascii="Nirmala UI" w:hAnsi="Nirmala UI" w:eastAsia="Nirmala UI" w:cs="Nirmala UI"/>
        </w:rPr>
        <w:t>മില്ലറെ</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ഇവരെ</w:t>
      </w:r>
      <w:r>
        <w:rPr>
          <w:rFonts w:ascii="Times New Roman" w:hAnsi="Times New Roman" w:eastAsia="Times New Roman" w:cs="Times New Roman"/>
        </w:rPr>
        <w:t xml:space="preserve"> </w:t>
      </w:r>
      <w:r>
        <w:rPr>
          <w:rFonts w:ascii="Nirmala UI" w:hAnsi="Nirmala UI" w:eastAsia="Nirmala UI" w:cs="Nirmala UI"/>
        </w:rPr>
        <w:t>ഒരുമിച്ചു</w:t>
      </w:r>
      <w:r>
        <w:rPr>
          <w:rFonts w:ascii="Times New Roman" w:hAnsi="Times New Roman" w:eastAsia="Times New Roman" w:cs="Times New Roman"/>
        </w:rPr>
        <w:t xml:space="preserve"> </w:t>
      </w:r>
      <w:r>
        <w:rPr>
          <w:rFonts w:ascii="Nirmala UI" w:hAnsi="Nirmala UI" w:eastAsia="Nirmala UI" w:cs="Nirmala UI"/>
        </w:rPr>
        <w:t>കണക്കിലെടുക്കുമ്പോൾ</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സ്നാപകനും</w:t>
      </w:r>
      <w:r>
        <w:rPr>
          <w:rFonts w:ascii="Times New Roman" w:hAnsi="Times New Roman" w:eastAsia="Times New Roman" w:cs="Times New Roman"/>
        </w:rPr>
        <w:t xml:space="preserve"> </w:t>
      </w:r>
      <w:r>
        <w:rPr>
          <w:rFonts w:ascii="Nirmala UI" w:hAnsi="Nirmala UI" w:eastAsia="Nirmala UI" w:cs="Nirmala UI"/>
        </w:rPr>
        <w:t>ചേർന്ന്</w:t>
      </w:r>
      <w:r>
        <w:rPr>
          <w:rFonts w:ascii="Times New Roman" w:hAnsi="Times New Roman" w:eastAsia="Times New Roman" w:cs="Times New Roman"/>
        </w:rPr>
        <w:t xml:space="preserve"> </w:t>
      </w:r>
      <w:r>
        <w:rPr>
          <w:rFonts w:ascii="Nirmala UI" w:hAnsi="Nirmala UI" w:eastAsia="Nirmala UI" w:cs="Nirmala UI"/>
        </w:rPr>
        <w:t>ഒരേസമയം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w:t>
      </w:r>
      <w:r>
        <w:rPr>
          <w:rFonts w:ascii="Times New Roman" w:hAnsi="Times New Roman" w:eastAsia="Times New Roman" w:cs="Times New Roman"/>
        </w:rPr>
        <w:t xml:space="preserve"> </w:t>
      </w:r>
      <w:r>
        <w:rPr>
          <w:rFonts w:ascii="Nirmala UI" w:hAnsi="Nirmala UI" w:eastAsia="Nirmala UI" w:cs="Nirmala UI"/>
        </w:rPr>
        <w:t>നാല്പത്തിനാലായിരം</w:t>
      </w:r>
      <w:r>
        <w:rPr>
          <w:rFonts w:ascii="Times New Roman" w:hAnsi="Times New Roman" w:eastAsia="Times New Roman" w:cs="Times New Roman"/>
        </w:rPr>
        <w:t xml:space="preserve"> (</w:t>
      </w:r>
      <w:r>
        <w:rPr>
          <w:rFonts w:ascii="Nirmala UI" w:hAnsi="Nirmala UI" w:eastAsia="Nirmala UI" w:cs="Nirmala UI"/>
        </w:rPr>
        <w:t>ഏലിയാവ്</w:t>
      </w:r>
      <w:r>
        <w:rPr>
          <w:rFonts w:ascii="Times New Roman" w:hAnsi="Times New Roman" w:eastAsia="Times New Roman" w:cs="Times New Roman"/>
        </w:rPr>
        <w:t xml:space="preserve">) </w:t>
      </w:r>
      <w:r>
        <w:rPr>
          <w:rFonts w:ascii="Nirmala UI" w:hAnsi="Nirmala UI" w:eastAsia="Nirmala UI" w:cs="Nirmala UI"/>
        </w:rPr>
        <w:t>പേരെയും</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ഏഴിലെ</w:t>
      </w:r>
      <w:r>
        <w:rPr>
          <w:rFonts w:ascii="Times New Roman" w:hAnsi="Times New Roman" w:eastAsia="Times New Roman" w:cs="Times New Roman"/>
        </w:rPr>
        <w:t xml:space="preserve"> </w:t>
      </w:r>
      <w:r>
        <w:rPr>
          <w:rFonts w:ascii="Nirmala UI" w:hAnsi="Nirmala UI" w:eastAsia="Nirmala UI" w:cs="Nirmala UI"/>
        </w:rPr>
        <w:t>മഹാസമൂഹത്തെയും</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Body"/>
        <w:jc w:val="left"/>
      </w:pPr>
      <w:r>
        <w:rPr>
          <w:rFonts w:ascii="Nirmala UI" w:hAnsi="Nirmala UI" w:eastAsia="Nirmala UI" w:cs="Nirmala UI"/>
        </w:rPr>
        <w:t>ઈશાયા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પાયાઓ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સુવર્ણ</w:t>
      </w:r>
      <w:r>
        <w:rPr>
          <w:rFonts w:ascii="Times New Roman" w:hAnsi="Times New Roman" w:eastAsia="Times New Roman" w:cs="Times New Roman"/>
        </w:rPr>
        <w:t xml:space="preserve"> </w:t>
      </w:r>
      <w:r>
        <w:rPr>
          <w:rFonts w:ascii="Nirmala UI" w:hAnsi="Nirmala UI" w:eastAsia="Nirmala UI" w:cs="Nirmala UI"/>
        </w:rPr>
        <w:t>તેલ</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કુમારીઓ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ધોબીના</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પ્રક્રિયામાંથી</w:t>
      </w:r>
      <w:r>
        <w:rPr>
          <w:rFonts w:ascii="Times New Roman" w:hAnsi="Times New Roman" w:eastAsia="Times New Roman" w:cs="Times New Roman"/>
        </w:rPr>
        <w:t xml:space="preserve"> </w:t>
      </w:r>
      <w:r>
        <w:rPr>
          <w:rFonts w:ascii="Nirmala UI" w:hAnsi="Nirmala UI" w:eastAsia="Nirmala UI" w:cs="Nirmala UI"/>
        </w:rPr>
        <w:t>પસાર</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1844</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પ્રતિરૂપ</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ઈશાયા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ફરનાર</w:t>
      </w:r>
      <w:r>
        <w:rPr>
          <w:rFonts w:ascii="Times New Roman" w:hAnsi="Times New Roman" w:eastAsia="Times New Roman" w:cs="Times New Roman"/>
        </w:rPr>
        <w:t xml:space="preserve"> </w:t>
      </w:r>
      <w:r>
        <w:rPr>
          <w:rFonts w:ascii="Nirmala UI" w:hAnsi="Nirmala UI" w:eastAsia="Nirmala UI" w:cs="Nirmala UI"/>
        </w:rPr>
        <w:t>અવશેષ</w:t>
      </w:r>
      <w:r>
        <w:rPr>
          <w:rFonts w:ascii="Times New Roman" w:hAnsi="Times New Roman" w:eastAsia="Times New Roman" w:cs="Times New Roman"/>
        </w:rPr>
        <w:t>—(</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શેઆર</w:t>
      </w:r>
      <w:r>
        <w:rPr>
          <w:rFonts w:ascii="Times New Roman" w:hAnsi="Times New Roman" w:eastAsia="Times New Roman" w:cs="Times New Roman"/>
        </w:rPr>
        <w:t>-</w:t>
      </w:r>
      <w:r>
        <w:rPr>
          <w:rFonts w:ascii="Nirmala UI" w:hAnsi="Nirmala UI" w:eastAsia="Nirmala UI" w:cs="Nirmala UI"/>
        </w:rPr>
        <w:t>યાશૂબના</w:t>
      </w:r>
      <w:r>
        <w:rPr>
          <w:rFonts w:ascii="Times New Roman" w:hAnsi="Times New Roman" w:eastAsia="Times New Roman" w:cs="Times New Roman"/>
        </w:rPr>
        <w:t xml:space="preserve"> </w:t>
      </w:r>
      <w:r>
        <w:rPr>
          <w:rFonts w:ascii="Nirmala UI" w:hAnsi="Nirmala UI" w:eastAsia="Nirmala UI" w:cs="Nirmala UI"/>
        </w:rPr>
        <w:t>નામનો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અવશેષનું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9/11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અવશેષનો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એલિયાહના</w:t>
      </w:r>
      <w:r>
        <w:rPr>
          <w:rFonts w:ascii="Times New Roman" w:hAnsi="Times New Roman" w:eastAsia="Times New Roman" w:cs="Times New Roman"/>
        </w:rPr>
        <w:t xml:space="preserve"> “</w:t>
      </w:r>
      <w:r>
        <w:rPr>
          <w:rFonts w:ascii="Nirmala UI" w:hAnsi="Nirmala UI" w:eastAsia="Nirmala UI" w:cs="Nirmala UI"/>
        </w:rPr>
        <w:t>પિતાઓ</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સંતાનોના</w:t>
      </w:r>
      <w:r>
        <w:rPr>
          <w:rFonts w:ascii="Times New Roman" w:hAnsi="Times New Roman" w:eastAsia="Times New Roman" w:cs="Times New Roman"/>
        </w:rPr>
        <w:t xml:space="preserve"> </w:t>
      </w:r>
      <w:r>
        <w:rPr>
          <w:rFonts w:ascii="Nirmala UI" w:hAnsi="Nirmala UI" w:eastAsia="Nirmala UI" w:cs="Nirmala UI"/>
        </w:rPr>
        <w:t>હૃદયો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અવશેષ</w:t>
      </w:r>
      <w:r>
        <w:rPr>
          <w:rFonts w:ascii="Times New Roman" w:hAnsi="Times New Roman" w:eastAsia="Times New Roman" w:cs="Times New Roman"/>
        </w:rPr>
        <w:t xml:space="preserve"> </w:t>
      </w:r>
      <w:r>
        <w:rPr>
          <w:rFonts w:ascii="Nirmala UI" w:hAnsi="Nirmala UI" w:eastAsia="Nirmala UI" w:cs="Nirmala UI"/>
        </w:rPr>
        <w:t>ચળવળ</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સંબંધ</w:t>
      </w:r>
      <w:r>
        <w:rPr>
          <w:rFonts w:ascii="Times New Roman" w:hAnsi="Times New Roman" w:eastAsia="Times New Roman" w:cs="Times New Roman"/>
        </w:rPr>
        <w:t xml:space="preserve"> </w:t>
      </w:r>
      <w:r>
        <w:rPr>
          <w:rFonts w:ascii="Nirmala UI" w:hAnsi="Nirmala UI" w:eastAsia="Nirmala UI" w:cs="Nirmala UI"/>
        </w:rPr>
        <w:t>ફિલાડેલ્ફિયાના</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ચળવળ</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ચળવળમાં</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બાપ્તિસ્ત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યેશુએ</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માર્ગ</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કરનાર</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અલ્ફા</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તમામ</w:t>
      </w:r>
      <w:r>
        <w:rPr>
          <w:rFonts w:ascii="Times New Roman" w:hAnsi="Times New Roman" w:eastAsia="Times New Roman" w:cs="Times New Roman"/>
        </w:rPr>
        <w:t xml:space="preserve"> </w:t>
      </w:r>
      <w:r>
        <w:rPr>
          <w:rFonts w:ascii="Nirmala UI" w:hAnsi="Nirmala UI" w:eastAsia="Nirmala UI" w:cs="Nirmala UI"/>
        </w:rPr>
        <w:t>ભવિષ્યવાણીપૂર્ણ</w:t>
      </w:r>
      <w:r>
        <w:rPr>
          <w:rFonts w:ascii="Times New Roman" w:hAnsi="Times New Roman" w:eastAsia="Times New Roman" w:cs="Times New Roman"/>
        </w:rPr>
        <w:t xml:space="preserve"> </w:t>
      </w:r>
      <w:r>
        <w:rPr>
          <w:rFonts w:ascii="Nirmala UI" w:hAnsi="Nirmala UI" w:eastAsia="Nirmala UI" w:cs="Nirmala UI"/>
        </w:rPr>
        <w:t>પૂર્ણતાઓ</w:t>
      </w:r>
      <w:r>
        <w:rPr>
          <w:rFonts w:ascii="Times New Roman" w:hAnsi="Times New Roman" w:eastAsia="Times New Roman" w:cs="Times New Roman"/>
        </w:rPr>
        <w:t xml:space="preserve"> </w:t>
      </w:r>
      <w:r>
        <w:rPr>
          <w:rFonts w:ascii="Nirmala UI" w:hAnsi="Nirmala UI" w:eastAsia="Nirmala UI" w:cs="Nirmala UI"/>
        </w:rPr>
        <w:t>તૃતીય</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ઓમેગાના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Il y a d’autres faits plus importants concernant l’illustration d’Ésaïe dans la vision, mais ici nous nous contentons simplement d’indiquer qu’Ésaïe identifie de manière précise les diverses vérités qui constituent le cœur du message de la pluie de l’arrière-saison du 11 septembre. Toutes ces lignes que nous venons d’examiner, et bien d’autres encore, se trouvent au verset trois du chapitre sept.</w:t>
      </w:r>
    </w:p>
    <w:p>
      <w:pPr>
        <w:pStyle w:val="ArticleBody"/>
        <w:jc w:val="left"/>
      </w:pPr>
      <w:r>
        <w:rPr>
          <w:rFonts w:ascii="Times New Roman" w:hAnsi="Times New Roman" w:eastAsia="Times New Roman" w:cs="Times New Roman"/>
        </w:rPr>
        <w:t>En la versículo ocho, la verdad profética se intensifica al identificar la clave que abre la “historia oculta del versículo cuarenta”, y asombrosamente esa clave queda señalada dentro del mismo versículo en el que se marca el comienzo de ambas profecías de tiempo de 2520 años.</w:t>
      </w:r>
    </w:p>
    <w:p>
      <w:pPr>
        <w:pStyle w:val="ArticleScripture"/>
        <w:jc w:val="left"/>
      </w:pPr>
      <w:r>
        <w:rPr>
          <w:rFonts w:ascii="Times New Roman" w:hAnsi="Times New Roman" w:eastAsia="Times New Roman" w:cs="Times New Roman"/>
        </w:rPr>
        <w:t>Kwa maana kichwa cha Shamu ni Dameski, na kichwa cha Dameski ni Resini; na katika muda wa miaka sitini na mitano, Efraimu atavunjwa, hata asiwe watu. Na kichwa cha Efraimu ni Samaria, na kichwa cha Samaria ni mwana wa Remalia.</w:t>
      </w:r>
    </w:p>
    <w:p>
      <w:pPr>
        <w:pStyle w:val="ArticleScripture"/>
        <w:jc w:val="left"/>
      </w:pPr>
      <w:r>
        <w:rPr>
          <w:rFonts w:ascii="Times New Roman" w:hAnsi="Times New Roman" w:eastAsia="Times New Roman" w:cs="Times New Roman"/>
        </w:rPr>
        <w:t>Si vous ne croyez pas, assurément vous ne subsisterez pas. Ésaïe 7:8, 9.</w:t>
      </w:r>
    </w:p>
    <w:p>
      <w:pPr>
        <w:pStyle w:val="ArticleBody"/>
        <w:jc w:val="left"/>
      </w:pPr>
      <w:r>
        <w:rPr>
          <w:rFonts w:ascii="Times New Roman" w:hAnsi="Times New Roman" w:eastAsia="Times New Roman" w:cs="Times New Roman"/>
        </w:rPr>
        <w:t>Аз пайғамбардың кейінгі жаңбыр туралы хабарға қатысты көрнекі бейнесі Мұсаның «жеті рет» деген ұғымын қамтиды, өйткені сегізінші аяттағы алпыс бес жылдық пайғамбарлық Исраилдің солтүстік және оңтүстік патшалықтарының 2520 жылға созылған бытырап кетуінің екеуіне де бастау нүктесін айқындайды. Дәл сол аяттың өзінде Даниял он бірінші тарау қырқыншы аяттағы 1989 жылғы Кеңес Одағының күйреуіне қатысты үш пайғамбарлық желіні, сондай-ақ Даниял он бірінші тараудың оныншы аятын және Ишая сегізінші тараудың сегізінші аятын ашатын кілт бар. Осы үш желіде (Ишая 8:8, Даниял 11:10, 40) кілт — сегізінші және тоғызыншы аяттардағы «бастар». «Бастардың» кілті осы үш қатарлас аятқа қолданылғанда, Украина соғысының тарихына және жуық арада келетін Үшінші дүниежүзілік соғысқа апаратын есік ашылады. Сол пайғамбарлық есік ашылған кезде, Даниял он бірінші тараудың он бірінші мен он алтыншы аяттары Даниял он бірінші тараудың қырқыншы аятымен, 1989 жылдан кейінгі Кеңес Одағының күйреуінен кейінгі тарихқа қатысты, қатарлас тарих екені көрінеді. «Қырқыншы аяттың жасырын тарихының» ашылуы — сынақ уақыты жабылардың алдында Иса Мәсіхтің Аянының ашылуымен байланысты мөрі шешілетін аз ғана ақиқаттардың бірі болып айқындалатын ақиқат.</w:t>
      </w:r>
    </w:p>
    <w:p>
      <w:pPr>
        <w:pStyle w:val="ArticleBody"/>
        <w:jc w:val="left"/>
      </w:pPr>
      <w:r>
        <w:rPr>
          <w:rFonts w:ascii="Times New Roman" w:hAnsi="Times New Roman" w:eastAsia="Times New Roman" w:cs="Times New Roman"/>
        </w:rPr>
        <w:t>Evesi i parë i kapitullit tetë të Isaisë fillon me fjalën “Për më tepër”, duke treguar se kapitulli tetë duhet të ndërtohet mbi kapitullin shtatë. Përtej faktit që fjala e parë është “për më tepër”, kapitulli tetë, vargu tre, lidhet me vargun tre të kapitullit shtatë si një dëshmitar i dytë se të dy kapitujt duhen zbatuar rresht pas rreshti. Të dy vargjet “tre” përcaktojnë njërin prej bijve të Isaisë, emrat e të cilëve të dy flasin për mesazhin profetik brenda rrëfimit. Shearjashub do të thotë “një mbetje do të kthehet”, dhe Mahershalalhashbaz do të thotë “i shpejtë për plaçkën”. Shearjashub përmendet së pari, pastaj Mahershalalhashbaz (që është emri më i gjatë në Bibël). Alfa, e përfaqësuar nga “1”, është më e vogël dhe, në këtë rast, madje përcaktohet si një “mbetje”; ndërsa omega, e përfaqësuar nga “22”, është më e madhe dhe përfaqësohet nga emri më i madh në Bibël, ndërkohë që simbolizon lëvizjet e shpejta të ligjit të së dielës.</w:t>
      </w:r>
    </w:p>
    <w:p>
      <w:pPr>
        <w:pStyle w:val="ArticleBody"/>
        <w:jc w:val="left"/>
      </w:pPr>
      <w:r>
        <w:rPr>
          <w:rFonts w:ascii="Times New Roman" w:hAnsi="Times New Roman" w:eastAsia="Times New Roman" w:cs="Times New Roman"/>
        </w:rPr>
        <w:t>الفایِ باقیمانده، که به‌وسیلهٔ «شیعاریاشوب» نمایانده شده است، در آیهٔ سه همراهِ پدر خود، اشعیا، حضور دارد. آن دو باهم یک الفا و یک اُمگا هستند، و در جایگاهی ایستاده‌اند که از سه اشارهٔ متمایز به باران آخِر ساخته شده است.</w:t>
      </w:r>
    </w:p>
    <w:p>
      <w:pPr>
        <w:pStyle w:val="ArticleScripture"/>
        <w:jc w:val="left"/>
      </w:pPr>
      <w:r>
        <w:rPr>
          <w:rFonts w:ascii="Times New Roman" w:hAnsi="Times New Roman" w:eastAsia="Times New Roman" w:cs="Times New Roman"/>
        </w:rPr>
        <w:t>Und der HERR sprach zu Jesaja: Geh nun hinaus, dem Ahas entgegen, du und dein Sohn Schear-Jaschub, an das Ende der Wasserleitung des oberen Teiches, an die Straße beim Walkerfeld. Jesaja 7,3.</w:t>
      </w:r>
    </w:p>
    <w:p>
      <w:pPr>
        <w:pStyle w:val="ArticleBody"/>
        <w:jc w:val="left"/>
      </w:pPr>
      <w:r>
        <w:rPr>
          <w:rFonts w:ascii="Times New Roman" w:hAnsi="Times New Roman" w:eastAsia="Times New Roman" w:cs="Times New Roman"/>
        </w:rPr>
        <w:t>Isaïe est un symbole des cent quarante-quatre mille et, en représentant l’appel du 11 septembre, Isaïe représente aussi l’appel de juillet 2023. Au 11 septembre, Isaïe est un Laodicéen représenté par Jacob le supplanteur, qui devait prendre le droit d’aînesse d’Ésaü tandis que l’adventisme est vomi de la bouche du Seigneur, et en 2023, Isaïe représente Israël, le vainqueur. Isaïe représente quelqu’un qui présentait le message de Dieu, qui est éveillé au fait qu’il est un Laodicéen, puis qu’un charbon ardent purifie pour en faire un Philadelphien.</w:t>
      </w:r>
    </w:p>
    <w:p>
      <w:pPr>
        <w:pStyle w:val="ArticleScripture"/>
        <w:jc w:val="left"/>
      </w:pPr>
      <w:r>
        <w:rPr>
          <w:rFonts w:ascii="Times New Roman" w:hAnsi="Times New Roman" w:eastAsia="Times New Roman" w:cs="Times New Roman"/>
        </w:rPr>
        <w:t>«</w:t>
      </w:r>
      <w:r>
        <w:rPr>
          <w:rFonts w:ascii="Nirmala UI" w:hAnsi="Nirmala UI" w:eastAsia="Nirmala UI" w:cs="Nirmala UI"/>
        </w:rPr>
        <w:t>ईशायाहले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अवलोकन</w:t>
      </w:r>
      <w:r>
        <w:rPr>
          <w:rFonts w:ascii="Times New Roman" w:hAnsi="Times New Roman" w:eastAsia="Times New Roman" w:cs="Times New Roman"/>
        </w:rPr>
        <w:t xml:space="preserve"> </w:t>
      </w:r>
      <w:r>
        <w:rPr>
          <w:rFonts w:ascii="Nirmala UI" w:hAnsi="Nirmala UI" w:eastAsia="Nirmala UI" w:cs="Nirmala UI"/>
        </w:rPr>
        <w:t>गरेपछि</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उहाँकहाँ</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गएर</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अयोग्य</w:t>
      </w:r>
      <w:r>
        <w:rPr>
          <w:rFonts w:ascii="Times New Roman" w:hAnsi="Times New Roman" w:eastAsia="Times New Roman" w:cs="Times New Roman"/>
        </w:rPr>
        <w:t xml:space="preserve"> </w:t>
      </w:r>
      <w:r>
        <w:rPr>
          <w:rFonts w:ascii="Nirmala UI" w:hAnsi="Nirmala UI" w:eastAsia="Nirmala UI" w:cs="Nirmala UI"/>
        </w:rPr>
        <w:t>ठाने।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अयोग्य</w:t>
      </w:r>
      <w:r>
        <w:rPr>
          <w:rFonts w:ascii="Times New Roman" w:hAnsi="Times New Roman" w:eastAsia="Times New Roman" w:cs="Times New Roman"/>
        </w:rPr>
        <w:t xml:space="preserve"> </w:t>
      </w:r>
      <w:r>
        <w:rPr>
          <w:rFonts w:ascii="Nirmala UI" w:hAnsi="Nirmala UI" w:eastAsia="Nirmala UI" w:cs="Nirmala UI"/>
        </w:rPr>
        <w:t>ठान्न</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अयोग्य</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ठानेका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सेनाहरूका</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अवर्णनीय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धिक्कार</w:t>
      </w:r>
      <w:r>
        <w:rPr>
          <w:rFonts w:ascii="Times New Roman" w:hAnsi="Times New Roman" w:eastAsia="Times New Roman" w:cs="Times New Roman"/>
        </w:rPr>
        <w:t xml:space="preserve"> </w:t>
      </w:r>
      <w:r>
        <w:rPr>
          <w:rFonts w:ascii="Nirmala UI" w:hAnsi="Nirmala UI" w:eastAsia="Nirmala UI" w:cs="Nirmala UI"/>
        </w:rPr>
        <w:t>ममाथि</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किनभने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ओठ</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ओठ</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बस्दछु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आँखाहरूले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सेनाहरूका</w:t>
      </w:r>
      <w:r>
        <w:rPr>
          <w:rFonts w:ascii="Times New Roman" w:hAnsi="Times New Roman" w:eastAsia="Times New Roman" w:cs="Times New Roman"/>
        </w:rPr>
        <w:t xml:space="preserve"> </w:t>
      </w:r>
      <w:r>
        <w:rPr>
          <w:rFonts w:ascii="Nirmala UI" w:hAnsi="Nirmala UI" w:eastAsia="Nirmala UI" w:cs="Nirmala UI"/>
        </w:rPr>
        <w:t>परमप्रभुलाई</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सराफ</w:t>
      </w:r>
      <w:r>
        <w:rPr>
          <w:rFonts w:ascii="Times New Roman" w:hAnsi="Times New Roman" w:eastAsia="Times New Roman" w:cs="Times New Roman"/>
        </w:rPr>
        <w:t xml:space="preserve"> </w:t>
      </w:r>
      <w:r>
        <w:rPr>
          <w:rFonts w:ascii="Nirmala UI" w:hAnsi="Nirmala UI" w:eastAsia="Nirmala UI" w:cs="Nirmala UI"/>
        </w:rPr>
        <w:t>उडेर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बलिरहेको</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वेदीबाट</w:t>
      </w:r>
      <w:r>
        <w:rPr>
          <w:rFonts w:ascii="Times New Roman" w:hAnsi="Times New Roman" w:eastAsia="Times New Roman" w:cs="Times New Roman"/>
        </w:rPr>
        <w:t xml:space="preserve"> </w:t>
      </w:r>
      <w:r>
        <w:rPr>
          <w:rFonts w:ascii="Nirmala UI" w:hAnsi="Nirmala UI" w:eastAsia="Nirmala UI" w:cs="Nirmala UI"/>
        </w:rPr>
        <w:t>चिम्टाले</w:t>
      </w:r>
      <w:r>
        <w:rPr>
          <w:rFonts w:ascii="Times New Roman" w:hAnsi="Times New Roman" w:eastAsia="Times New Roman" w:cs="Times New Roman"/>
        </w:rPr>
        <w:t xml:space="preserve"> </w:t>
      </w:r>
      <w:r>
        <w:rPr>
          <w:rFonts w:ascii="Nirmala UI" w:hAnsi="Nirmala UI" w:eastAsia="Nirmala UI" w:cs="Nirmala UI"/>
        </w:rPr>
        <w:t>लिएको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मुखमा</w:t>
      </w:r>
      <w:r>
        <w:rPr>
          <w:rFonts w:ascii="Times New Roman" w:hAnsi="Times New Roman" w:eastAsia="Times New Roman" w:cs="Times New Roman"/>
        </w:rPr>
        <w:t xml:space="preserve"> </w:t>
      </w:r>
      <w:r>
        <w:rPr>
          <w:rFonts w:ascii="Nirmala UI" w:hAnsi="Nirmala UI" w:eastAsia="Nirmala UI" w:cs="Nirmala UI"/>
        </w:rPr>
        <w:t>छुवायो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ओठ</w:t>
      </w:r>
      <w:r>
        <w:rPr>
          <w:rFonts w:ascii="Times New Roman" w:hAnsi="Times New Roman" w:eastAsia="Times New Roman" w:cs="Times New Roman"/>
        </w:rPr>
        <w:t xml:space="preserve"> </w:t>
      </w:r>
      <w:r>
        <w:rPr>
          <w:rFonts w:ascii="Nirmala UI" w:hAnsi="Nirmala UI" w:eastAsia="Nirmala UI" w:cs="Nirmala UI"/>
        </w:rPr>
        <w:t>छोएको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हटाइएको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वेदीबाट</w:t>
      </w:r>
      <w:r>
        <w:rPr>
          <w:rFonts w:ascii="Times New Roman" w:hAnsi="Times New Roman" w:eastAsia="Times New Roman" w:cs="Times New Roman"/>
        </w:rPr>
        <w:t xml:space="preserve"> </w:t>
      </w:r>
      <w:r>
        <w:rPr>
          <w:rFonts w:ascii="Nirmala UI" w:hAnsi="Nirmala UI" w:eastAsia="Nirmala UI" w:cs="Nirmala UI"/>
        </w:rPr>
        <w:t>लिइएको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ओठहरूमा</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बोलिएको</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हटाइएको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Review and Herald, June 4, 1889.</w:t>
      </w:r>
    </w:p>
    <w:p>
      <w:pPr>
        <w:pStyle w:val="ArticleBody"/>
        <w:jc w:val="left"/>
      </w:pPr>
      <w:r>
        <w:rPr>
          <w:rFonts w:ascii="Times New Roman" w:hAnsi="Times New Roman" w:eastAsia="Times New Roman" w:cs="Times New Roman"/>
        </w:rPr>
        <w:t>Igihe kingana iki kiri muri Yesaya igice cya gatandatu ni ikimenyetso cya 9/11 kugeza ku itegeko ryo ku Cyumweru, kandi igice cya gatandatu ni ishusho y’ihagararirwa rya 9/11. Ibice bya karindwi kugeza ku cya cyenda bitanga ubutumwa Yesaya yahaye ubuyobozi bwahakanye bwo mu Buyuda, n’ishusho ibaho mu gihe cyo gushyirwaho ikimenyetso kw’abihumbi ijana na mirongo ine na bane, igihe abasinzi ba Efurayimu basitara. Muri iryo yerekwa nyine Yesaya yandika ati:</w:t>
      </w:r>
    </w:p>
    <w:p>
      <w:pPr>
        <w:pStyle w:val="ArticleScripture"/>
        <w:jc w:val="left"/>
      </w:pPr>
      <w:r>
        <w:rPr>
          <w:rFonts w:ascii="Times New Roman" w:hAnsi="Times New Roman" w:eastAsia="Times New Roman" w:cs="Times New Roman"/>
        </w:rPr>
        <w:t>Voyez, moi et les enfants que l’Éternel m’a donnés, nous sommes pour des signes et pour des prodiges en Israël, de la part de l’Éternel des armées, qui habite sur la montagne de Sion. Ésaïe 8:18.</w:t>
      </w:r>
    </w:p>
    <w:p>
      <w:pPr>
        <w:pStyle w:val="ArticleBody"/>
        <w:jc w:val="left"/>
      </w:pPr>
      <w:r>
        <w:rPr>
          <w:rFonts w:ascii="Times New Roman" w:hAnsi="Times New Roman" w:eastAsia="Times New Roman" w:cs="Times New Roman"/>
        </w:rPr>
        <w:t>Ésaïe et ses enfants sont des signes au sein des énigmes que l’on trouve aux chapitres sept à neuf. Les chapitres sept à neuf constituent le point de référence de toute la vision, pour ce qui concerne toute mention de « ce jour-là » ou de « ce temps-là ». Le verset dix-huit indique qu’Ésaïe et ses fils sont des signes, et les versets qui entourent le verset dix-huit précisent la période pendant laquelle ces signes doivent être reconnus.</w:t>
      </w:r>
    </w:p>
    <w:p>
      <w:pPr>
        <w:pStyle w:val="ArticleScripture"/>
        <w:jc w:val="left"/>
      </w:pPr>
      <w:r>
        <w:rPr>
          <w:rFonts w:ascii="Times New Roman" w:hAnsi="Times New Roman" w:eastAsia="Times New Roman" w:cs="Times New Roman"/>
        </w:rPr>
        <w:t>Et plusieurs parmi eux trébucheront, et tomberont, et seront brisés, et seront enlacés, et seront pris. Lie le témoignage, scelle la loi parmi mes disciples. Et moi, j’attendrai l’Éternel, qui cache sa face à la maison de Jacob, et je l’espérerai.</w:t>
      </w:r>
    </w:p>
    <w:p>
      <w:pPr>
        <w:pStyle w:val="ArticleScripture"/>
        <w:jc w:val="left"/>
      </w:pPr>
      <w:r>
        <w:rPr>
          <w:rFonts w:ascii="Times New Roman" w:hAnsi="Times New Roman" w:eastAsia="Times New Roman" w:cs="Times New Roman"/>
        </w:rPr>
        <w:t>Voyez, moi et les enfants que l’Éternel m’a donnés, nous sommes pour des signes et pour des prodiges en Israël, de la part de l’Éternel des armées, qui habite sur la montagne de Sion. Ésaïe 8:15–18.</w:t>
      </w:r>
    </w:p>
    <w:p>
      <w:pPr>
        <w:pStyle w:val="ArticleBody"/>
        <w:jc w:val="left"/>
      </w:pPr>
      <w:r>
        <w:rPr>
          <w:rFonts w:ascii="Times New Roman" w:hAnsi="Times New Roman" w:eastAsia="Times New Roman" w:cs="Times New Roman"/>
        </w:rPr>
        <w:t>Andiðir, sum “bíða eftir Harranum”, eru fyrimyndaðir við Jesaja og hansara báðar synir. Teir eru tey, sum Harrin hevði fjalt “andlit sítt” fyri, sum er eitt eyðkenni hjá teimum, ið vakna til krøvini í bønini í Triðju Mósebók kapittul 26, eftir juli 2023. Teir vakna til ta sannroynd, at játtan teirra má fevna um, at Harrin hevði gingið teimum ímóti, t.e. at hann hevði fjalt andlit sítt fyri teimum.</w:t>
      </w:r>
    </w:p>
    <w:p>
      <w:pPr>
        <w:pStyle w:val="ArticleBody"/>
        <w:jc w:val="left"/>
      </w:pPr>
      <w:r>
        <w:rPr>
          <w:rFonts w:ascii="Times New Roman" w:hAnsi="Times New Roman" w:eastAsia="Times New Roman" w:cs="Times New Roman"/>
        </w:rPr>
        <w:t>«Тасдиқни боғлаб, шариатни муҳрлаш» — бу «кўпчилик»ка қарама-қарши қўйилган бир юз қирқ тўрт минг кишининг муҳрланишидир. «Кўпчилик» даъват этилган, аммо танланганлар оздир. Кўпчилик Ишаъё ва унинг икки ўғлига қарши қўйилган бўлиб, улар озчиликни ифодалайди. «Кўпчилик» — бешта нодон бокира бўлиб, шу сабабли уларнинг бошига беш нарса келади: улар «қоқиладилар, йиқиладилар, синиб кетадилар, тузоққа илинадилар ва тутиб олинадилар». Улар қоқиладилар, чунки кейинги ёмғир ҳақидаги хабарни рад этганлар.</w:t>
      </w:r>
    </w:p>
    <w:p>
      <w:pPr>
        <w:pStyle w:val="ArticleScripture"/>
        <w:jc w:val="left"/>
      </w:pPr>
      <w:r>
        <w:rPr>
          <w:rFonts w:ascii="Times New Roman" w:hAnsi="Times New Roman" w:eastAsia="Times New Roman" w:cs="Times New Roman"/>
        </w:rPr>
        <w:t>Car avec des lèvres balbutiantes et dans une autre langue il parlera à ce peuple. Il leur avait dit: Voici le repos, laissez reposer celui qui est fatigué; voici le rafraîchissement. Mais ils n’ont pas voulu écouter. Et pour eux la parole de l’Éternel a été précepte sur précepte, précepte sur précepte; règle sur règle, règle sur règle; un peu ici, un peu là; afin qu’ils aillent, qu’ils tombent à la renverse, qu’ils soient brisés, enlacés, et pris. Ésaïe 28:11–13.</w:t>
      </w:r>
    </w:p>
    <w:p>
      <w:pPr>
        <w:pStyle w:val="ArticleBody"/>
        <w:jc w:val="left"/>
      </w:pPr>
      <w:r>
        <w:rPr>
          <w:rFonts w:ascii="Times New Roman" w:hAnsi="Times New Roman" w:eastAsia="Times New Roman" w:cs="Times New Roman"/>
        </w:rPr>
        <w:t>Dans le temps du scellement du chapitre huit, Ésaïe décrit la chute des méchants, typifiés par Achaz, et il identifie ce même groupe au verset treize du chapitre vingt-huit. La raison pour laquelle ils « tombent », c’est qu’ils rejettent le message de la pluie de l’arrière-saison, qui était pour eux « précepte sur précepte », et qui était présenté par ceux qui sont représentés comme ayant des lèvres balbutiantes. Les Juifs chicaneurs, à la Pentecôte, accusèrent les disciples d’ivresse, car ils ne pouvaient comprendre le message. Dans leur esprit, il était présenté par des lèvres balbutiantes.</w:t>
      </w:r>
    </w:p>
    <w:p>
      <w:pPr>
        <w:pStyle w:val="ArticleBody"/>
        <w:jc w:val="left"/>
      </w:pPr>
      <w:r>
        <w:rPr>
          <w:rFonts w:ascii="Times New Roman" w:hAnsi="Times New Roman" w:eastAsia="Times New Roman" w:cs="Times New Roman"/>
        </w:rPr>
        <w:t>در آیهٔ سومِ فصل هفتم، اشعیا در نسبت با پسرش شِعاریاشوب، آلفای نبوی است؛ و او نیز به نوبهٔ خود در نسبت با پدرش اُمگا است، اما همچنین در نسبت با برادرش آلفا نیز هست. آنان به‌عنوان نمایندگان آلفا و اُمگا در جایی می‌ایستند که دو لولهٔ زرّین از قُدسِ آسمانی حوضی پدید می‌آورند، درست بر کنار شاهراهِ راهِ کهنِ ارمیا در مزرعه‌ای که در آن کتان از لکه‌ها به سپیدیِ محض دگرگون می‌شود، آنگاه که رسولِ عهد پسران لاوی، و نیز اشعیا و شعاریاشوب را تطهیر می‌کند. چون به آنجا می‌رسد، او پیامِ راهِ کهنِ موسی را از «هفت بار» در لاویان بیست‌وشش به آحازِ پادشاهِ شریر و ابله عرضه می‌دارد؛ پیامی که در همان آیه مقرر می‌سازد که «سر» یا پادشاه است، یا پادشاهیِ پادشاه، یا شهرِ پایتختِ یک پادشاهی.</w:t>
      </w:r>
    </w:p>
    <w:p>
      <w:pPr>
        <w:pStyle w:val="ArticleBody"/>
        <w:jc w:val="left"/>
      </w:pPr>
      <w:r>
        <w:rPr>
          <w:rFonts w:ascii="Times New Roman" w:hAnsi="Times New Roman" w:eastAsia="Times New Roman" w:cs="Times New Roman"/>
        </w:rPr>
        <w:t>Nɔɔ sa dɔsriɔ nakiin yɛlɛlɛi ku ni Naa Loruŋ nɔɔ nwiɛ mii, ka ŋmɛ Ukraine Sɔŋkɔkɔŋɔɔ ni kaa bɛlɛ 2014 piri na puori la, mɛn mɔɔnɛ kɛrɛ bɔɔl sɛ Bible bɔɔn-nwɛi ŋun ni a yɛlɛ ka a laa pɛɛri laa mɛɛri ŋmɛ nɔɔgbanii yele ni kpiɛlɛi ŋmɛ one hundred and forty-four thousand laa nɔɔgbanii ni laa mɔɔri ŋmɛ United States wɔnɛ kpaasɛbɛlɛi bata. Latter rain laa yɛlɛ-sɔbɔŋ a Isaiah sɛbɛ chapters ten ni eleven nɔɔ, ka a yɛli laa zaa nɔɔ ni tɛɛri ni tɛɛri mɔɔri ŋmɛ Daniel eleven laa verses ayiisii tɔhɔɔŋ. Verse tɛɛŋa, verse forty, a Isaiah mii laa yɛlɛ chapters six kɛ chapters nine nɔɔ, ka mɔɔri la, chapters ten ni eleven nɔɔ, yɛlɛ laa pɛgri ni a kpiɛli 1989 nɔɔ laa zaa nɔɔ ni tɛɛri ni tɛɛri laa mɔɔri a tɛɛri. Latter rain laa yɛlɛ-sɔbɔŋ laa yeli tɛŋgbani zaa pɛri vision la nɔɔ.</w:t>
      </w:r>
    </w:p>
    <w:p>
      <w:pPr>
        <w:pStyle w:val="ArticleBody"/>
        <w:jc w:val="left"/>
      </w:pPr>
      <w:r>
        <w:rPr>
          <w:rFonts w:ascii="Times New Roman" w:hAnsi="Times New Roman" w:eastAsia="Times New Roman" w:cs="Times New Roman"/>
        </w:rPr>
        <w:t>Les derniers versets du chapitre dix désignent la même histoire prophétique que celle que représentent les derniers versets du chapitre onze. Le chapitre dix est l’externe, et le onze, l’interne. Dans le livre de l’Apocalypse, les sept Églises sont l’interne, et les sceaux, l’externe. Dans les derniers versets du chapitre dix, la puissance papale agite sa main contre Jérusalem, dans un passage parallèle à celui où la puissance papale arrive à sa fin sans que personne lui porte secours, au verset quarante-cinq de Daniel onze.</w:t>
      </w:r>
    </w:p>
    <w:p>
      <w:pPr>
        <w:pStyle w:val="ArticleScripture"/>
        <w:jc w:val="left"/>
      </w:pPr>
      <w:r>
        <w:rPr>
          <w:rFonts w:ascii="Times New Roman" w:hAnsi="Times New Roman" w:eastAsia="Times New Roman" w:cs="Times New Roman"/>
        </w:rPr>
        <w:t>Ikki asra bo‘lib, u o‘sha kuni Nobda turib qolur; u qo‘lini Sion qizining tog‘iga, Quddus tepaligiga qarshi silkitur. Mana, Sarvar — lashkarlar Egasi — dahshat ila shoxni kesib tashlaydur; bo‘yi baland bo‘lganlar qulatilur, mag‘rurlar esa past qilinur. U o‘rmon chakalakzorlarini temir bilan kesib tashlaydur, va Lubnon qudratli Zot tomonidan yiqilur. Ishayo 10:32–34.</w:t>
      </w:r>
    </w:p>
    <w:p>
      <w:pPr>
        <w:pStyle w:val="ArticleBody"/>
        <w:jc w:val="left"/>
      </w:pPr>
      <w:r>
        <w:rPr>
          <w:rFonts w:ascii="Times New Roman" w:hAnsi="Times New Roman" w:eastAsia="Times New Roman" w:cs="Times New Roman"/>
        </w:rPr>
        <w:t>Хорик 10-ви балха бини админи мумкинни тогу, кана дууги Даниел 11-ба хорихини тамам ба тогу ийнат</w:t>
      </w:r>
      <w:r>
        <w:rPr>
          <w:rFonts w:ascii="Nirmala UI" w:hAnsi="Nirmala UI" w:eastAsia="Nirmala UI" w:cs="Nirmala UI"/>
        </w:rPr>
        <w:t>।</w:t>
      </w:r>
    </w:p>
    <w:p>
      <w:pPr>
        <w:pStyle w:val="ArticleScripture"/>
        <w:jc w:val="left"/>
      </w:pPr>
      <w:r>
        <w:rPr>
          <w:rFonts w:ascii="Times New Roman" w:hAnsi="Times New Roman" w:eastAsia="Times New Roman" w:cs="Times New Roman"/>
        </w:rPr>
        <w:t>Et il dressera les tentes de son palais entre les mers, sur la montagne glorieuse et sainte; puis il arrivera à sa fin, et nul ne lui portera secours. En ce temps-là se lèvera Micaël, le grand chef qui se tient pour les enfants de ton peuple; et ce sera un temps de détresse tel qu’il n’y en a point eu depuis qu’il existe une nation jusqu’à ce temps-là. En ce temps-là, ceux de ton peuple qui seront trouvés inscrits dans le livre seront sauvés. Daniel 11:45; 12:1.</w:t>
      </w:r>
    </w:p>
    <w:p>
      <w:pPr>
        <w:pStyle w:val="ArticleBody"/>
        <w:jc w:val="left"/>
      </w:pPr>
      <w:r>
        <w:rPr>
          <w:rFonts w:ascii="Ebrima" w:hAnsi="Ebrima" w:eastAsia="Ebrima" w:cs="Ebrima"/>
        </w:rPr>
        <w:t>ዐሥረኛው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የሚጀምረው</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ትለይበታለች</w:t>
      </w:r>
      <w:r>
        <w:rPr>
          <w:rFonts w:ascii="Times New Roman" w:hAnsi="Times New Roman" w:eastAsia="Times New Roman" w:cs="Times New Roman"/>
        </w:rPr>
        <w:t xml:space="preserve"> </w:t>
      </w:r>
      <w:r>
        <w:rPr>
          <w:rFonts w:ascii="Ebrima" w:hAnsi="Ebrima" w:eastAsia="Ebrima" w:cs="Ebrima"/>
        </w:rPr>
        <w:t>ያለችውን</w:t>
      </w:r>
      <w:r>
        <w:rPr>
          <w:rFonts w:ascii="Times New Roman" w:hAnsi="Times New Roman" w:eastAsia="Times New Roman" w:cs="Times New Roman"/>
        </w:rPr>
        <w:t xml:space="preserve"> “</w:t>
      </w:r>
      <w:r>
        <w:rPr>
          <w:rFonts w:ascii="Ebrima" w:hAnsi="Ebrima" w:eastAsia="Ebrima" w:cs="Ebrima"/>
        </w:rPr>
        <w:t>ዓመፃዊ</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Malheur à ceux qui prononcent des décrets iniques, et qui rédigent des ordonnances oppressives qu’ils ont prescrites. Ésaïe 10:1.</w:t>
      </w:r>
    </w:p>
    <w:p>
      <w:pPr>
        <w:pStyle w:val="ArticleBody"/>
        <w:jc w:val="left"/>
      </w:pPr>
      <w:r>
        <w:rPr>
          <w:rFonts w:ascii="Times New Roman" w:hAnsi="Times New Roman" w:eastAsia="Times New Roman" w:cs="Times New Roman"/>
        </w:rPr>
        <w:t>Le chapitre dix commence avec la loi dominicale, qui correspond au verset quarante et un du chapitre onze de Daniel, et il s’achève par un parallèle avec le moment où Michel se lève dans l’histoire du verset quarante-cinq de Daniel onze.</w:t>
      </w:r>
    </w:p>
    <w:p>
      <w:pPr>
        <w:pStyle w:val="ArticleScripture"/>
        <w:jc w:val="left"/>
      </w:pPr>
      <w:r>
        <w:rPr>
          <w:rFonts w:ascii="Times New Roman" w:hAnsi="Times New Roman" w:eastAsia="Times New Roman" w:cs="Times New Roman"/>
        </w:rPr>
        <w:t>“Sanbata idolatria iray no naorina, tahaka ny nanorenana ilay sarin-volamena teo amin’ny lemaka Dora. Ary tahaka an’i Nebokadnezara, mpanjakan’i Babylona, izay namoaka didy fa izay rehetra tsy hiankohoka sy tsy hivavaka amin’io sary io dia hovonoina, dia hisy koa fanambarana havoaka fa izay rehetra tsy hanaja ny fanorenana ny Alahady dia hosazina amin’ny fanagadrana sy ny fahafatesana. Koa ny Sabatan’ny Tompo dia voahosihosy eo ambanin’ny tongotra. Nefa ny Tompo dia efa nanambara hoe: ‘Lozan’izay manao didy tsy marina sy manoratra fampahoriana izay efa nandidiany’ [Isaiah 10:1]. [Zephaniah 1:14–18; 2:1–3, quoted.]” Manuscript Releases, volume 14, 91.</w:t>
      </w:r>
    </w:p>
    <w:p>
      <w:pPr>
        <w:pStyle w:val="ArticleBody"/>
        <w:jc w:val="left"/>
      </w:pPr>
      <w:r>
        <w:rPr>
          <w:rFonts w:ascii="Nirmala UI" w:hAnsi="Nirmala UI" w:eastAsia="Nirmala UI" w:cs="Nirmala UI"/>
        </w:rPr>
        <w:t>ਫਫ</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“ff”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ਭਾਵ</w:t>
      </w:r>
      <w:r>
        <w:rPr>
          <w:rFonts w:ascii="Times New Roman" w:hAnsi="Times New Roman" w:eastAsia="Times New Roman" w:cs="Times New Roman"/>
        </w:rPr>
        <w:t xml:space="preserve"> </w:t>
      </w:r>
      <w:r>
        <w:rPr>
          <w:rFonts w:ascii="Nirmala UI" w:hAnsi="Nirmala UI" w:eastAsia="Nirmala UI" w:cs="Nirmala UI"/>
        </w:rPr>
        <w:t>ਕਿਹੜੀ</w:t>
      </w:r>
      <w:r>
        <w:rPr>
          <w:rFonts w:ascii="Times New Roman" w:hAnsi="Times New Roman" w:eastAsia="Times New Roman" w:cs="Times New Roman"/>
        </w:rPr>
        <w:t xml:space="preserve"> </w:t>
      </w:r>
      <w:r>
        <w:rPr>
          <w:rFonts w:ascii="Nirmala UI" w:hAnsi="Nirmala UI" w:eastAsia="Nirmala UI" w:cs="Nirmala UI"/>
        </w:rPr>
        <w:t>ਭਾਸ਼ਾ</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بوبو شاپتارلنا دانیال یازو اون بیرینچی بۆلوموندَه قیرخ بیرینجی آیه‌دن قیرخ بئشینجی آیه‌یه‌جه‌ک پاپالیق قدرتینی تصویر ائدیر؛ او زمانا قدر کی، پاپالیق سونونا گلیب چاتسین. قیرخینجی آیه اونونجو بۆلومده‌کی روایتین بیر پارچاسی دئییلدیر؛ چونکی اشعیا، آخاز ایله تمثیل اولونان مرتد کلیسایه آخیرکی باران پیامی تقدیم اولوندوغو تاریخده، قیرخینجی آیه‌نین «گیزلی تاریخ»ینی تصویر ائدیر. اون بیرینجی بۆلومون خاتمه‌سی ده، عینی تاریخده پاپالیق قدرتیندن قورتولوشو گؤستریر.</w:t>
      </w:r>
    </w:p>
    <w:p>
      <w:pPr>
        <w:pStyle w:val="ArticleScripture"/>
        <w:jc w:val="left"/>
      </w:pPr>
      <w:r>
        <w:rPr>
          <w:rFonts w:ascii="Times New Roman" w:hAnsi="Times New Roman" w:eastAsia="Times New Roman" w:cs="Times New Roman"/>
        </w:rPr>
        <w:t>Na Bwana atauangamiza kabisa ulimi wa bahari ya Misri; na kwa upepo wake wenye nguvu ataupeperusha mkono wake juu ya mto, naye ataupiga ukagawanyika katika vijito saba, na kuwafanya watu wavuke hali miguu yao ikiwa mikavu. Nayo kutakuwa na njia kuu kwa mabaki ya watu wake watakaosalia, kutoka Ashuru; kama ilivyokuwa kwa Israeli siku ile alipokwea kutoka nchi ya Misri. Isaya 11:15, 16.</w:t>
      </w:r>
    </w:p>
    <w:p>
      <w:pPr>
        <w:pStyle w:val="ArticleBody"/>
        <w:jc w:val="left"/>
      </w:pPr>
      <w:r>
        <w:rPr>
          <w:rFonts w:ascii="Times New Roman" w:hAnsi="Times New Roman" w:eastAsia="Times New Roman" w:cs="Times New Roman"/>
        </w:rPr>
        <w:t>Isaias kabanata dis amo an panlabas ngan an kabanata onse amo an panloob han amo gihapon nga kasaysayan. Damo an magkakapariho han panlabas ngan panloob ha Pulong han Dios, ngan ini nga duha nga magkapareho nga mga kabanata nagrirepresentar han pahamangno han ikatulo nga anghel sugad han iginrepresentar ni Isaias. An pahamangno han ikatulo nga anghel ginsumaryo na ha damu nga mga paagi pinaagi han inspirasyon, kondi an usa nga mapulsanon gud nga pagkabahin han pahamangno han ikatulo nga anghel amo nga nagrirepresentar ini han mga hitabo nga konektado ha pagtapos han panahon han grasya ngan iginpapabug-atan liwat hini an panginahanglan han personal nga pagpangandam. An Isaias dis amo an mga hitabo, ngan an kabanata onse amo an pagpangandam.</w:t>
      </w:r>
    </w:p>
    <w:p>
      <w:pPr>
        <w:pStyle w:val="ArticleScripture"/>
        <w:jc w:val="left"/>
      </w:pPr>
      <w:r>
        <w:rPr>
          <w:rFonts w:ascii="Times New Roman" w:hAnsi="Times New Roman" w:eastAsia="Times New Roman" w:cs="Times New Roman"/>
        </w:rPr>
        <w:t>“Matukio yanayohusiana na kufungwa kwa muda wa rehema na kazi ya matayarisho kwa ajili ya wakati wa taabu yamewasilishwa kwa uwazi. Lakini umati mkubwa hauna uelewa wowote wa kweli hizi muhimu kana kwamba hazikuwahi kamwe kufunuliwa. Shetani huotea ili kuondoa kila mguso wa moyoni ambao ungeweza kuwafanya wawe na hekima hata kuifikia wokovu, na wakati wa taabu utawakuta wakiwa hawajajiandaa.</w:t>
      </w:r>
    </w:p>
    <w:p>
      <w:pPr>
        <w:pStyle w:val="ArticleScripture"/>
        <w:jc w:val="left"/>
      </w:pPr>
      <w:r>
        <w:rPr>
          <w:rFonts w:ascii="Times New Roman" w:hAnsi="Times New Roman" w:eastAsia="Times New Roman" w:cs="Times New Roman"/>
        </w:rPr>
        <w:t>«Коли Бог посилає людям застереження настільки важливі, що вони представлені як звіщувані святими ангелами, які летять посеред неба, Він вимагає, щоб кожна людина, наділена розумовими здібностями, зважила на цю вістку. Страшні суди, проголошені проти поклоніння звірові та його образові (Об’явлення 14:9–11), мають спонукати всіх до пильного дослідження пророцтв, щоб дізнатися, що таке знамено звіра і як уникнути його прийняття. Але народні маси відвертають свій слух від істини й навертаються до байок. Апостол Павло, звертаючи погляд до останніх днів, проголосив: “Бо буде час, коли здорової науки не будуть терпіти”. 2 Тимофію 4:3. Цей час цілком настав. Безліч людей не бажає біблійної істини, бо вона суперечить пожаданням гріховного, світолюбного серця; і сатана постачає омани, які вони люблять.»</w:t>
      </w:r>
    </w:p>
    <w:p>
      <w:pPr>
        <w:pStyle w:val="ArticleScripture"/>
        <w:jc w:val="left"/>
      </w:pPr>
      <w:r>
        <w:rPr>
          <w:rFonts w:ascii="Times New Roman" w:hAnsi="Times New Roman" w:eastAsia="Times New Roman" w:cs="Times New Roman"/>
        </w:rPr>
        <w:t>“Lakin Allah yer üzündə elə bir xalq saxlayacaq ki, bütün təlimlərin meyarı və bütün islahatların əsası olaraq Müqəddəs Kitabı, yalnız Müqəddəs Kitabı qoruyub saxlasın. Alim adamların fikirləri, elmin nəticələri, kilsə məclislərinin etiqadları və ya qərarları—təmsil etdikləri kilsələr qədər çoxsaylı və bir-biri ilə uyğunsuz olduqları halda—çoxluğun səsi, bunlardan nə biri, nə də hamısı birlikdə dini imanla bağlı hər hansı bir məsələ üçün lehinə və ya əleyhinə dəlil sayılmamalıdır. Hər hansı bir təlimi və ya buyruğu qəbul etməzdən əvvəl, onun təsdiqi üçün açıq bir “Rəbb belə deyir” tələb etməliyik.”</w:t>
      </w:r>
    </w:p>
    <w:p>
      <w:pPr>
        <w:pStyle w:val="ArticleScripture"/>
        <w:jc w:val="left"/>
      </w:pPr>
      <w:r>
        <w:rPr>
          <w:rFonts w:ascii="Times New Roman" w:hAnsi="Times New Roman" w:eastAsia="Times New Roman" w:cs="Times New Roman"/>
        </w:rPr>
        <w:t>« Satan cherche constamment à détourner l’attention vers l’homme à la place de Dieu. Il conduit les gens à se tourner vers les évêques, vers les pasteurs, vers les professeurs de théologie, comme vers leurs guides, au lieu de sonder les Écritures afin d’y apprendre eux-mêmes leur devoir. Puis, en dominant l’esprit de ces chefs, il peut influencer les multitudes selon sa volonté. » The Great Controversy, 594, 595.</w:t>
      </w:r>
    </w:p>
    <w:p>
      <w:pPr>
        <w:pStyle w:val="ArticleBody"/>
        <w:jc w:val="left"/>
      </w:pPr>
      <w:r>
        <w:rPr>
          <w:rFonts w:ascii="Times New Roman" w:hAnsi="Times New Roman" w:eastAsia="Times New Roman" w:cs="Times New Roman"/>
        </w:rPr>
        <w:t>Mibinguni ketimo ano bakan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Yoeli na Kanisa la Waadventista Wasabato wa Laodikia - Nambari Kumi</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