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ya Yoeli na Kanisa la Waadventista Wasabato la Laodikia - Namba Kumi na Tatu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2025-12-18</w:t>
      </w:r>
    </w:p>
    <w:p>
      <w:pPr>
        <w:pStyle w:val="ArticleHeading"/>
        <w:jc w:val="left"/>
      </w:pPr>
      <w:r>
        <w:rPr>
          <w:rFonts w:ascii="Arial" w:hAnsi="Arial" w:eastAsia="Arial" w:cs="Arial"/>
        </w:rPr>
        <w:t>Số Mười Ba</w:t>
      </w:r>
    </w:p>
    <w:p>
      <w:pPr>
        <w:pStyle w:val="ArticleBody"/>
        <w:jc w:val="left"/>
      </w:pPr>
      <w:r>
        <w:rPr>
          <w:rFonts w:ascii="Times New Roman" w:hAnsi="Times New Roman" w:eastAsia="Times New Roman" w:cs="Times New Roman"/>
        </w:rPr>
        <w:t>Atualmente, estamos tratando do símbolo profético de 1863. Temos concentrado nossa atenção em Cades bíblica como o símbolo da rebelião do antigo Israel contra o “descanso”, rebelião essa que ocasionou a sua morte ao longo de um período que culminou em Cades, ilustrando assim a rejeição, em 1863, das “veredas antigas” de Jeremias, quando os “sete tempos” de Levítico vinte e seis foram rejeitados.</w:t>
      </w:r>
    </w:p>
    <w:p>
      <w:pPr>
        <w:pStyle w:val="ArticleBody"/>
        <w:jc w:val="left"/>
      </w:pPr>
      <w:r>
        <w:rPr>
          <w:rFonts w:ascii="Microsoft YaHei" w:hAnsi="Microsoft YaHei" w:eastAsia="Microsoft YaHei" w:cs="Microsoft YaHei"/>
        </w:rPr>
        <w:t>在寻求与加低斯和</w:t>
      </w:r>
      <w:r>
        <w:rPr>
          <w:rFonts w:ascii="Times New Roman" w:hAnsi="Times New Roman" w:eastAsia="Times New Roman" w:cs="Times New Roman"/>
        </w:rPr>
        <w:t>1863</w:t>
      </w:r>
      <w:r>
        <w:rPr>
          <w:rFonts w:ascii="Microsoft YaHei" w:hAnsi="Microsoft YaHei" w:eastAsia="Microsoft YaHei" w:cs="Microsoft YaHei"/>
        </w:rPr>
        <w:t>年相关的亮光之时</w:t>
      </w:r>
      <w:r>
        <w:rPr>
          <w:rFonts w:ascii="Times New Roman" w:hAnsi="Times New Roman" w:eastAsia="Times New Roman" w:cs="Times New Roman"/>
        </w:rPr>
        <w:t>,</w:t>
      </w:r>
      <w:r>
        <w:rPr>
          <w:rFonts w:ascii="Microsoft YaHei" w:hAnsi="Microsoft YaHei" w:eastAsia="Microsoft YaHei" w:cs="Microsoft YaHei"/>
        </w:rPr>
        <w:t>我们一直在辨识那通向加低斯的十次试验</w:t>
      </w:r>
      <w:r>
        <w:rPr>
          <w:rFonts w:ascii="Times New Roman" w:hAnsi="Times New Roman" w:eastAsia="Times New Roman" w:cs="Times New Roman"/>
        </w:rPr>
        <w:t>.</w:t>
      </w:r>
      <w:r>
        <w:rPr>
          <w:rFonts w:ascii="Microsoft YaHei" w:hAnsi="Microsoft YaHei" w:eastAsia="Microsoft YaHei" w:cs="Microsoft YaHei"/>
        </w:rPr>
        <w:t>我们已将前三次试验确定为吗哪的试验</w:t>
      </w:r>
      <w:r>
        <w:rPr>
          <w:rFonts w:ascii="Times New Roman" w:hAnsi="Times New Roman" w:eastAsia="Times New Roman" w:cs="Times New Roman"/>
        </w:rPr>
        <w:t>.</w:t>
      </w:r>
      <w:r>
        <w:rPr>
          <w:rFonts w:ascii="Microsoft YaHei" w:hAnsi="Microsoft YaHei" w:eastAsia="Microsoft YaHei" w:cs="Microsoft YaHei"/>
        </w:rPr>
        <w:t>这三个步骤可以表现为神迹或试验</w:t>
      </w:r>
      <w:r>
        <w:rPr>
          <w:rFonts w:ascii="Times New Roman" w:hAnsi="Times New Roman" w:eastAsia="Times New Roman" w:cs="Times New Roman"/>
        </w:rPr>
        <w:t>,</w:t>
      </w:r>
      <w:r>
        <w:rPr>
          <w:rFonts w:ascii="Microsoft YaHei" w:hAnsi="Microsoft YaHei" w:eastAsia="Microsoft YaHei" w:cs="Microsoft YaHei"/>
        </w:rPr>
        <w:t>而安息日的安息作为十次试验中的第一次</w:t>
      </w:r>
      <w:r>
        <w:rPr>
          <w:rFonts w:ascii="Times New Roman" w:hAnsi="Times New Roman" w:eastAsia="Times New Roman" w:cs="Times New Roman"/>
        </w:rPr>
        <w:t>,</w:t>
      </w:r>
      <w:r>
        <w:rPr>
          <w:rFonts w:ascii="Microsoft YaHei" w:hAnsi="Microsoft YaHei" w:eastAsia="Microsoft YaHei" w:cs="Microsoft YaHei"/>
        </w:rPr>
        <w:t>正对应于第十次试验</w:t>
      </w:r>
      <w:r>
        <w:rPr>
          <w:rFonts w:ascii="Times New Roman" w:hAnsi="Times New Roman" w:eastAsia="Times New Roman" w:cs="Times New Roman"/>
        </w:rPr>
        <w:t>;</w:t>
      </w:r>
      <w:r>
        <w:rPr>
          <w:rFonts w:ascii="Microsoft YaHei" w:hAnsi="Microsoft YaHei" w:eastAsia="Microsoft YaHei" w:cs="Microsoft YaHei"/>
        </w:rPr>
        <w:t>保罗在</w:t>
      </w:r>
      <w:r>
        <w:rPr>
          <w:rFonts w:ascii="Times New Roman" w:hAnsi="Times New Roman" w:eastAsia="Times New Roman" w:cs="Times New Roman"/>
        </w:rPr>
        <w:t>«</w:t>
      </w:r>
      <w:r>
        <w:rPr>
          <w:rFonts w:ascii="Microsoft YaHei" w:hAnsi="Microsoft YaHei" w:eastAsia="Microsoft YaHei" w:cs="Microsoft YaHei"/>
        </w:rPr>
        <w:t>希伯来书</w:t>
      </w:r>
      <w:r>
        <w:rPr>
          <w:rFonts w:ascii="Times New Roman" w:hAnsi="Times New Roman" w:eastAsia="Times New Roman" w:cs="Times New Roman"/>
        </w:rPr>
        <w:t>»</w:t>
      </w:r>
      <w:r>
        <w:rPr>
          <w:rFonts w:ascii="Microsoft YaHei" w:hAnsi="Microsoft YaHei" w:eastAsia="Microsoft YaHei" w:cs="Microsoft YaHei"/>
        </w:rPr>
        <w:t>中极其清楚地将其指认为</w:t>
      </w:r>
      <w:r>
        <w:rPr>
          <w:rFonts w:ascii="Times New Roman" w:hAnsi="Times New Roman" w:eastAsia="Times New Roman" w:cs="Times New Roman"/>
        </w:rPr>
        <w:t>“</w:t>
      </w:r>
      <w:r>
        <w:rPr>
          <w:rFonts w:ascii="Microsoft YaHei" w:hAnsi="Microsoft YaHei" w:eastAsia="Microsoft YaHei" w:cs="Microsoft YaHei"/>
        </w:rPr>
        <w:t>安息</w:t>
      </w:r>
      <w:r>
        <w:rPr>
          <w:rFonts w:ascii="Times New Roman" w:hAnsi="Times New Roman" w:eastAsia="Times New Roman" w:cs="Times New Roman"/>
        </w:rPr>
        <w:t>”.</w:t>
      </w:r>
      <w:r>
        <w:rPr>
          <w:rFonts w:ascii="Microsoft YaHei" w:hAnsi="Microsoft YaHei" w:eastAsia="Microsoft YaHei" w:cs="Microsoft YaHei"/>
        </w:rPr>
        <w:t>这十次试验具有一个阿拉法的安息</w:t>
      </w:r>
      <w:r>
        <w:rPr>
          <w:rFonts w:ascii="Times New Roman" w:hAnsi="Times New Roman" w:eastAsia="Times New Roman" w:cs="Times New Roman"/>
        </w:rPr>
        <w:t>,</w:t>
      </w:r>
      <w:r>
        <w:rPr>
          <w:rFonts w:ascii="Microsoft YaHei" w:hAnsi="Microsoft YaHei" w:eastAsia="Microsoft YaHei" w:cs="Microsoft YaHei"/>
        </w:rPr>
        <w:t>也具有一个欧米伽的安息</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مهما أراد دارس النبوّة أن يعرّف «الراحة» التي رفضها العبرانيون في قادش، فإن كل «راحة» نبويًا—سطرًا على سطر—تشير إلى «الراحة والطمأنينة» التي هي المطر المتأخر. وقادش رمزٌ بارز لرفض رسالة المطر المتأخر، وكذلك لاختبار المطر المتأخر أيضًا، لأن الختم الذي يُنجَز على المئة والأربعة والأربعين ألفًا في قادش هو رسوخٌ في الحق، ذهنيًا وروحيًا معًا.</w:t>
      </w:r>
    </w:p>
    <w:p>
      <w:pPr>
        <w:pStyle w:val="ArticleScripture"/>
        <w:jc w:val="left"/>
      </w:pPr>
      <w:r>
        <w:rPr>
          <w:rFonts w:ascii="Times New Roman" w:hAnsi="Times New Roman" w:eastAsia="Times New Roman" w:cs="Times New Roman"/>
        </w:rPr>
        <w:t>«Та худзейтэ, як народ Божы запячатлёны на сваіх ілбах, — гэта не нейкая пячатка ці знак, які можна ўбачыць, але ўсталяванне ў праўдзе, як разумовае, так і духоўнае, так што іх ужо нельга будзе пахіснуць, — тады ж, як толькі народ Божы будзе запячатлёны і падрыхтаваны да прасейвання, яно настане. Сапраўды, яно ўжо пачалося; суды Божыя ўжо сыходзяць на зямлю, каб даць нам папярэджанне, каб мы маглі ведаць, што набліжаецца». The Seventh-day Adventist Bible Commentary, volume 4, 1161.</w:t>
      </w:r>
    </w:p>
    <w:p>
      <w:pPr>
        <w:pStyle w:val="ArticleBody"/>
        <w:jc w:val="left"/>
      </w:pPr>
      <w:r>
        <w:rPr>
          <w:rFonts w:ascii="Times New Roman" w:hAnsi="Times New Roman" w:eastAsia="Times New Roman" w:cs="Times New Roman"/>
        </w:rPr>
        <w:t>“</w:t>
      </w:r>
      <w:r>
        <w:rPr>
          <w:rFonts w:ascii="Nirmala UI" w:hAnsi="Nirmala UI" w:eastAsia="Nirmala UI" w:cs="Nirmala UI"/>
        </w:rPr>
        <w:t>સત્યમાં</w:t>
      </w:r>
      <w:r>
        <w:rPr>
          <w:rFonts w:ascii="Times New Roman" w:hAnsi="Times New Roman" w:eastAsia="Times New Roman" w:cs="Times New Roman"/>
        </w:rPr>
        <w:t>” “</w:t>
      </w:r>
      <w:r>
        <w:rPr>
          <w:rFonts w:ascii="Nirmala UI" w:hAnsi="Nirmala UI" w:eastAsia="Nirmala UI" w:cs="Nirmala UI"/>
        </w:rPr>
        <w:t>બૌદ્ધિક</w:t>
      </w:r>
      <w:r>
        <w:rPr>
          <w:rFonts w:ascii="Times New Roman" w:hAnsi="Times New Roman" w:eastAsia="Times New Roman" w:cs="Times New Roman"/>
        </w:rPr>
        <w:t xml:space="preserve"> </w:t>
      </w:r>
      <w:r>
        <w:rPr>
          <w:rFonts w:ascii="Nirmala UI" w:hAnsi="Nirmala UI" w:eastAsia="Nirmala UI" w:cs="Nirmala UI"/>
        </w:rPr>
        <w:t>રીતે</w:t>
      </w:r>
      <w:r>
        <w:rPr>
          <w:rFonts w:ascii="Times New Roman" w:hAnsi="Times New Roman" w:eastAsia="Times New Roman" w:cs="Times New Roman"/>
        </w:rPr>
        <w:t xml:space="preserve">” </w:t>
      </w:r>
      <w:r>
        <w:rPr>
          <w:rFonts w:ascii="Nirmala UI" w:hAnsi="Nirmala UI" w:eastAsia="Nirmala UI" w:cs="Nirmala UI"/>
        </w:rPr>
        <w:t>સ્થિર</w:t>
      </w:r>
      <w:r>
        <w:rPr>
          <w:rFonts w:ascii="Times New Roman" w:hAnsi="Times New Roman" w:eastAsia="Times New Roman" w:cs="Times New Roman"/>
        </w:rPr>
        <w:t xml:space="preserve"> </w:t>
      </w:r>
      <w:r>
        <w:rPr>
          <w:rFonts w:ascii="Nirmala UI" w:hAnsi="Nirmala UI" w:eastAsia="Nirmala UI" w:cs="Nirmala UI"/>
        </w:rPr>
        <w:t>થવું</w:t>
      </w:r>
      <w:r>
        <w:rPr>
          <w:rFonts w:ascii="Times New Roman" w:hAnsi="Times New Roman" w:eastAsia="Times New Roman" w:cs="Times New Roman"/>
        </w:rPr>
        <w:t xml:space="preserve"> </w:t>
      </w:r>
      <w:r>
        <w:rPr>
          <w:rFonts w:ascii="Nirmala UI" w:hAnsi="Nirmala UI" w:eastAsia="Nirmala UI" w:cs="Nirmala UI"/>
        </w:rPr>
        <w:t>એટલે</w:t>
      </w:r>
      <w:r>
        <w:rPr>
          <w:rFonts w:ascii="Times New Roman" w:hAnsi="Times New Roman" w:eastAsia="Times New Roman" w:cs="Times New Roman"/>
        </w:rPr>
        <w:t xml:space="preserve"> </w:t>
      </w:r>
      <w:r>
        <w:rPr>
          <w:rFonts w:ascii="Nirmala UI" w:hAnsi="Nirmala UI" w:eastAsia="Nirmala UI" w:cs="Nirmala UI"/>
        </w:rPr>
        <w:t>ઈશ્વરના</w:t>
      </w:r>
      <w:r>
        <w:rPr>
          <w:rFonts w:ascii="Times New Roman" w:hAnsi="Times New Roman" w:eastAsia="Times New Roman" w:cs="Times New Roman"/>
        </w:rPr>
        <w:t xml:space="preserve"> </w:t>
      </w:r>
      <w:r>
        <w:rPr>
          <w:rFonts w:ascii="Nirmala UI" w:hAnsi="Nirmala UI" w:eastAsia="Nirmala UI" w:cs="Nirmala UI"/>
        </w:rPr>
        <w:t>વચનના</w:t>
      </w:r>
      <w:r>
        <w:rPr>
          <w:rFonts w:ascii="Times New Roman" w:hAnsi="Times New Roman" w:eastAsia="Times New Roman" w:cs="Times New Roman"/>
        </w:rPr>
        <w:t xml:space="preserve"> </w:t>
      </w:r>
      <w:r>
        <w:rPr>
          <w:rFonts w:ascii="Nirmala UI" w:hAnsi="Nirmala UI" w:eastAsia="Nirmala UI" w:cs="Nirmala UI"/>
        </w:rPr>
        <w:t>અભ્યાસમાં</w:t>
      </w:r>
      <w:r>
        <w:rPr>
          <w:rFonts w:ascii="Times New Roman" w:hAnsi="Times New Roman" w:eastAsia="Times New Roman" w:cs="Times New Roman"/>
        </w:rPr>
        <w:t xml:space="preserve"> “</w:t>
      </w:r>
      <w:r>
        <w:rPr>
          <w:rFonts w:ascii="Nirmala UI" w:hAnsi="Nirmala UI" w:eastAsia="Nirmala UI" w:cs="Nirmala UI"/>
        </w:rPr>
        <w:t>લાઇન</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લાઇન</w:t>
      </w:r>
      <w:r>
        <w:rPr>
          <w:rFonts w:ascii="Times New Roman" w:hAnsi="Times New Roman" w:eastAsia="Times New Roman" w:cs="Times New Roman"/>
        </w:rPr>
        <w:t>”</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પદ્ધતિને</w:t>
      </w:r>
      <w:r>
        <w:rPr>
          <w:rFonts w:ascii="Times New Roman" w:hAnsi="Times New Roman" w:eastAsia="Times New Roman" w:cs="Times New Roman"/>
        </w:rPr>
        <w:t xml:space="preserve"> </w:t>
      </w:r>
      <w:r>
        <w:rPr>
          <w:rFonts w:ascii="Nirmala UI" w:hAnsi="Nirmala UI" w:eastAsia="Nirmala UI" w:cs="Nirmala UI"/>
        </w:rPr>
        <w:t>એકમાત્ર</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માત્ર</w:t>
      </w:r>
      <w:r>
        <w:rPr>
          <w:rFonts w:ascii="Times New Roman" w:hAnsi="Times New Roman" w:eastAsia="Times New Roman" w:cs="Times New Roman"/>
        </w:rPr>
        <w:t xml:space="preserve"> </w:t>
      </w:r>
      <w:r>
        <w:rPr>
          <w:rFonts w:ascii="Nirmala UI" w:hAnsi="Nirmala UI" w:eastAsia="Nirmala UI" w:cs="Nirmala UI"/>
        </w:rPr>
        <w:t>પવિત્ર</w:t>
      </w:r>
      <w:r>
        <w:rPr>
          <w:rFonts w:ascii="Times New Roman" w:hAnsi="Times New Roman" w:eastAsia="Times New Roman" w:cs="Times New Roman"/>
        </w:rPr>
        <w:t xml:space="preserve"> </w:t>
      </w:r>
      <w:r>
        <w:rPr>
          <w:rFonts w:ascii="Nirmala UI" w:hAnsi="Nirmala UI" w:eastAsia="Nirmala UI" w:cs="Nirmala UI"/>
        </w:rPr>
        <w:t>કરાયેલ</w:t>
      </w:r>
      <w:r>
        <w:rPr>
          <w:rFonts w:ascii="Times New Roman" w:hAnsi="Times New Roman" w:eastAsia="Times New Roman" w:cs="Times New Roman"/>
        </w:rPr>
        <w:t xml:space="preserve"> </w:t>
      </w:r>
      <w:r>
        <w:rPr>
          <w:rFonts w:ascii="Nirmala UI" w:hAnsi="Nirmala UI" w:eastAsia="Nirmala UI" w:cs="Nirmala UI"/>
        </w:rPr>
        <w:t>અભિગમ</w:t>
      </w:r>
      <w:r>
        <w:rPr>
          <w:rFonts w:ascii="Times New Roman" w:hAnsi="Times New Roman" w:eastAsia="Times New Roman" w:cs="Times New Roman"/>
        </w:rPr>
        <w:t xml:space="preserve"> </w:t>
      </w:r>
      <w:r>
        <w:rPr>
          <w:rFonts w:ascii="Nirmala UI" w:hAnsi="Nirmala UI" w:eastAsia="Nirmala UI" w:cs="Nirmala UI"/>
        </w:rPr>
        <w:t>તરીકે</w:t>
      </w:r>
      <w:r>
        <w:rPr>
          <w:rFonts w:ascii="Times New Roman" w:hAnsi="Times New Roman" w:eastAsia="Times New Roman" w:cs="Times New Roman"/>
        </w:rPr>
        <w:t xml:space="preserve"> </w:t>
      </w:r>
      <w:r>
        <w:rPr>
          <w:rFonts w:ascii="Nirmala UI" w:hAnsi="Nirmala UI" w:eastAsia="Nirmala UI" w:cs="Nirmala UI"/>
        </w:rPr>
        <w:t>સ્વીકારવું</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સંકુચિત</w:t>
      </w:r>
      <w:r>
        <w:rPr>
          <w:rFonts w:ascii="Times New Roman" w:hAnsi="Times New Roman" w:eastAsia="Times New Roman" w:cs="Times New Roman"/>
        </w:rPr>
        <w:t xml:space="preserve"> </w:t>
      </w:r>
      <w:r>
        <w:rPr>
          <w:rFonts w:ascii="Nirmala UI" w:hAnsi="Nirmala UI" w:eastAsia="Nirmala UI" w:cs="Nirmala UI"/>
        </w:rPr>
        <w:t>અભિગમ</w:t>
      </w:r>
      <w:r>
        <w:rPr>
          <w:rFonts w:ascii="Times New Roman" w:hAnsi="Times New Roman" w:eastAsia="Times New Roman" w:cs="Times New Roman"/>
        </w:rPr>
        <w:t xml:space="preserve"> </w:t>
      </w:r>
      <w:r>
        <w:rPr>
          <w:rFonts w:ascii="Nirmala UI" w:hAnsi="Nirmala UI" w:eastAsia="Nirmala UI" w:cs="Nirmala UI"/>
        </w:rPr>
        <w:t>ઑગસ્ટ</w:t>
      </w:r>
      <w:r>
        <w:rPr>
          <w:rFonts w:ascii="Times New Roman" w:hAnsi="Times New Roman" w:eastAsia="Times New Roman" w:cs="Times New Roman"/>
        </w:rPr>
        <w:t xml:space="preserve"> 1840</w:t>
      </w:r>
      <w:r>
        <w:rPr>
          <w:rFonts w:ascii="Nirmala UI" w:hAnsi="Nirmala UI" w:eastAsia="Nirmala UI" w:cs="Nirmala UI"/>
        </w:rPr>
        <w:t>માં</w:t>
      </w:r>
      <w:r>
        <w:rPr>
          <w:rFonts w:ascii="Times New Roman" w:hAnsi="Times New Roman" w:eastAsia="Times New Roman" w:cs="Times New Roman"/>
        </w:rPr>
        <w:t xml:space="preserve"> </w:t>
      </w:r>
      <w:r>
        <w:rPr>
          <w:rFonts w:ascii="Nirmala UI" w:hAnsi="Nirmala UI" w:eastAsia="Nirmala UI" w:cs="Nirmala UI"/>
        </w:rPr>
        <w:t>યોગ્ય</w:t>
      </w:r>
      <w:r>
        <w:rPr>
          <w:rFonts w:ascii="Times New Roman" w:hAnsi="Times New Roman" w:eastAsia="Times New Roman" w:cs="Times New Roman"/>
        </w:rPr>
        <w:t xml:space="preserve"> </w:t>
      </w:r>
      <w:r>
        <w:rPr>
          <w:rFonts w:ascii="Nirmala UI" w:hAnsi="Nirmala UI" w:eastAsia="Nirmala UI" w:cs="Nirmala UI"/>
        </w:rPr>
        <w:t>અભિગમ</w:t>
      </w:r>
      <w:r>
        <w:rPr>
          <w:rFonts w:ascii="Times New Roman" w:hAnsi="Times New Roman" w:eastAsia="Times New Roman" w:cs="Times New Roman"/>
        </w:rPr>
        <w:t xml:space="preserve"> </w:t>
      </w:r>
      <w:r>
        <w:rPr>
          <w:rFonts w:ascii="Nirmala UI" w:hAnsi="Nirmala UI" w:eastAsia="Nirmala UI" w:cs="Nirmala UI"/>
        </w:rPr>
        <w:t>તરીકે</w:t>
      </w:r>
      <w:r>
        <w:rPr>
          <w:rFonts w:ascii="Times New Roman" w:hAnsi="Times New Roman" w:eastAsia="Times New Roman" w:cs="Times New Roman"/>
        </w:rPr>
        <w:t xml:space="preserve"> </w:t>
      </w:r>
      <w:r>
        <w:rPr>
          <w:rFonts w:ascii="Nirmala UI" w:hAnsi="Nirmala UI" w:eastAsia="Nirmala UI" w:cs="Nirmala UI"/>
        </w:rPr>
        <w:t>પુષ્ટિ</w:t>
      </w:r>
      <w:r>
        <w:rPr>
          <w:rFonts w:ascii="Times New Roman" w:hAnsi="Times New Roman" w:eastAsia="Times New Roman" w:cs="Times New Roman"/>
        </w:rPr>
        <w:t xml:space="preserve"> </w:t>
      </w:r>
      <w:r>
        <w:rPr>
          <w:rFonts w:ascii="Nirmala UI" w:hAnsi="Nirmala UI" w:eastAsia="Nirmala UI" w:cs="Nirmala UI"/>
        </w:rPr>
        <w:t>પામ્યો</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સંખ્યામાં</w:t>
      </w:r>
      <w:r>
        <w:rPr>
          <w:rFonts w:ascii="Times New Roman" w:hAnsi="Times New Roman" w:eastAsia="Times New Roman" w:cs="Times New Roman"/>
        </w:rPr>
        <w:t xml:space="preserve"> </w:t>
      </w:r>
      <w:r>
        <w:rPr>
          <w:rFonts w:ascii="Nirmala UI" w:hAnsi="Nirmala UI" w:eastAsia="Nirmala UI" w:cs="Nirmala UI"/>
        </w:rPr>
        <w:t>લોકો</w:t>
      </w:r>
      <w:r>
        <w:rPr>
          <w:rFonts w:ascii="Times New Roman" w:hAnsi="Times New Roman" w:eastAsia="Times New Roman" w:cs="Times New Roman"/>
        </w:rPr>
        <w:t xml:space="preserve"> </w:t>
      </w:r>
      <w:r>
        <w:rPr>
          <w:rFonts w:ascii="Nirmala UI" w:hAnsi="Nirmala UI" w:eastAsia="Nirmala UI" w:cs="Nirmala UI"/>
        </w:rPr>
        <w:t>મિલર</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સહકારીઓએ</w:t>
      </w:r>
      <w:r>
        <w:rPr>
          <w:rFonts w:ascii="Times New Roman" w:hAnsi="Times New Roman" w:eastAsia="Times New Roman" w:cs="Times New Roman"/>
        </w:rPr>
        <w:t xml:space="preserve"> </w:t>
      </w:r>
      <w:r>
        <w:rPr>
          <w:rFonts w:ascii="Nirmala UI" w:hAnsi="Nirmala UI" w:eastAsia="Nirmala UI" w:cs="Nirmala UI"/>
        </w:rPr>
        <w:t>અપનાવેલા</w:t>
      </w:r>
      <w:r>
        <w:rPr>
          <w:rFonts w:ascii="Times New Roman" w:hAnsi="Times New Roman" w:eastAsia="Times New Roman" w:cs="Times New Roman"/>
        </w:rPr>
        <w:t xml:space="preserve"> </w:t>
      </w:r>
      <w:r>
        <w:rPr>
          <w:rFonts w:ascii="Nirmala UI" w:hAnsi="Nirmala UI" w:eastAsia="Nirmala UI" w:cs="Nirmala UI"/>
        </w:rPr>
        <w:t>ભવિષ્યવાણીના</w:t>
      </w:r>
      <w:r>
        <w:rPr>
          <w:rFonts w:ascii="Times New Roman" w:hAnsi="Times New Roman" w:eastAsia="Times New Roman" w:cs="Times New Roman"/>
        </w:rPr>
        <w:t xml:space="preserve"> </w:t>
      </w:r>
      <w:r>
        <w:rPr>
          <w:rFonts w:ascii="Nirmala UI" w:hAnsi="Nirmala UI" w:eastAsia="Nirmala UI" w:cs="Nirmala UI"/>
        </w:rPr>
        <w:t>અર્થઘટનના</w:t>
      </w:r>
      <w:r>
        <w:rPr>
          <w:rFonts w:ascii="Times New Roman" w:hAnsi="Times New Roman" w:eastAsia="Times New Roman" w:cs="Times New Roman"/>
        </w:rPr>
        <w:t xml:space="preserve"> </w:t>
      </w:r>
      <w:r>
        <w:rPr>
          <w:rFonts w:ascii="Nirmala UI" w:hAnsi="Nirmala UI" w:eastAsia="Nirmala UI" w:cs="Nirmala UI"/>
        </w:rPr>
        <w:t>સિદ્ધાંતોની</w:t>
      </w:r>
      <w:r>
        <w:rPr>
          <w:rFonts w:ascii="Times New Roman" w:hAnsi="Times New Roman" w:eastAsia="Times New Roman" w:cs="Times New Roman"/>
        </w:rPr>
        <w:t xml:space="preserve"> </w:t>
      </w:r>
      <w:r>
        <w:rPr>
          <w:rFonts w:ascii="Nirmala UI" w:hAnsi="Nirmala UI" w:eastAsia="Nirmala UI" w:cs="Nirmala UI"/>
        </w:rPr>
        <w:t>યોગ્યતા</w:t>
      </w:r>
      <w:r>
        <w:rPr>
          <w:rFonts w:ascii="Times New Roman" w:hAnsi="Times New Roman" w:eastAsia="Times New Roman" w:cs="Times New Roman"/>
        </w:rPr>
        <w:t xml:space="preserve"> </w:t>
      </w:r>
      <w:r>
        <w:rPr>
          <w:rFonts w:ascii="Nirmala UI" w:hAnsi="Nirmala UI" w:eastAsia="Nirmala UI" w:cs="Nirmala UI"/>
        </w:rPr>
        <w:t>વિષે</w:t>
      </w:r>
      <w:r>
        <w:rPr>
          <w:rFonts w:ascii="Times New Roman" w:hAnsi="Times New Roman" w:eastAsia="Times New Roman" w:cs="Times New Roman"/>
        </w:rPr>
        <w:t xml:space="preserve"> </w:t>
      </w:r>
      <w:r>
        <w:rPr>
          <w:rFonts w:ascii="Nirmala UI" w:hAnsi="Nirmala UI" w:eastAsia="Nirmala UI" w:cs="Nirmala UI"/>
        </w:rPr>
        <w:t>વિશ્વાસ</w:t>
      </w:r>
      <w:r>
        <w:rPr>
          <w:rFonts w:ascii="Times New Roman" w:hAnsi="Times New Roman" w:eastAsia="Times New Roman" w:cs="Times New Roman"/>
        </w:rPr>
        <w:t xml:space="preserve"> </w:t>
      </w:r>
      <w:r>
        <w:rPr>
          <w:rFonts w:ascii="Nirmala UI" w:hAnsi="Nirmala UI" w:eastAsia="Nirmala UI" w:cs="Nirmala UI"/>
        </w:rPr>
        <w:t>પામ્યા</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એડવેન્ટ</w:t>
      </w:r>
      <w:r>
        <w:rPr>
          <w:rFonts w:ascii="Times New Roman" w:hAnsi="Times New Roman" w:eastAsia="Times New Roman" w:cs="Times New Roman"/>
        </w:rPr>
        <w:t xml:space="preserve"> </w:t>
      </w:r>
      <w:r>
        <w:rPr>
          <w:rFonts w:ascii="Nirmala UI" w:hAnsi="Nirmala UI" w:eastAsia="Nirmala UI" w:cs="Nirmala UI"/>
        </w:rPr>
        <w:t>ચળવળને</w:t>
      </w:r>
      <w:r>
        <w:rPr>
          <w:rFonts w:ascii="Times New Roman" w:hAnsi="Times New Roman" w:eastAsia="Times New Roman" w:cs="Times New Roman"/>
        </w:rPr>
        <w:t xml:space="preserve"> </w:t>
      </w:r>
      <w:r>
        <w:rPr>
          <w:rFonts w:ascii="Nirmala UI" w:hAnsi="Nirmala UI" w:eastAsia="Nirmala UI" w:cs="Nirmala UI"/>
        </w:rPr>
        <w:t>અદભૂત</w:t>
      </w:r>
      <w:r>
        <w:rPr>
          <w:rFonts w:ascii="Times New Roman" w:hAnsi="Times New Roman" w:eastAsia="Times New Roman" w:cs="Times New Roman"/>
        </w:rPr>
        <w:t xml:space="preserve"> </w:t>
      </w:r>
      <w:r>
        <w:rPr>
          <w:rFonts w:ascii="Nirmala UI" w:hAnsi="Nirmala UI" w:eastAsia="Nirmala UI" w:cs="Nirmala UI"/>
        </w:rPr>
        <w:t>પ્રેરણા</w:t>
      </w:r>
      <w:r>
        <w:rPr>
          <w:rFonts w:ascii="Times New Roman" w:hAnsi="Times New Roman" w:eastAsia="Times New Roman" w:cs="Times New Roman"/>
        </w:rPr>
        <w:t xml:space="preserve"> </w:t>
      </w:r>
      <w:r>
        <w:rPr>
          <w:rFonts w:ascii="Nirmala UI" w:hAnsi="Nirmala UI" w:eastAsia="Nirmala UI" w:cs="Nirmala UI"/>
        </w:rPr>
        <w:t>મળી</w:t>
      </w:r>
      <w:r>
        <w:rPr>
          <w:rFonts w:ascii="Times New Roman" w:hAnsi="Times New Roman" w:eastAsia="Times New Roman" w:cs="Times New Roman"/>
        </w:rPr>
        <w:t>.” “</w:t>
      </w:r>
      <w:r>
        <w:rPr>
          <w:rFonts w:ascii="Nirmala UI" w:hAnsi="Nirmala UI" w:eastAsia="Nirmala UI" w:cs="Nirmala UI"/>
        </w:rPr>
        <w:t>અદભૂત</w:t>
      </w:r>
      <w:r>
        <w:rPr>
          <w:rFonts w:ascii="Times New Roman" w:hAnsi="Times New Roman" w:eastAsia="Times New Roman" w:cs="Times New Roman"/>
        </w:rPr>
        <w:t xml:space="preserve"> </w:t>
      </w:r>
      <w:r>
        <w:rPr>
          <w:rFonts w:ascii="Nirmala UI" w:hAnsi="Nirmala UI" w:eastAsia="Nirmala UI" w:cs="Nirmala UI"/>
        </w:rPr>
        <w:t>પ્રેરણા</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પવિત્ર</w:t>
      </w:r>
      <w:r>
        <w:rPr>
          <w:rFonts w:ascii="Times New Roman" w:hAnsi="Times New Roman" w:eastAsia="Times New Roman" w:cs="Times New Roman"/>
        </w:rPr>
        <w:t xml:space="preserve"> </w:t>
      </w:r>
      <w:r>
        <w:rPr>
          <w:rFonts w:ascii="Nirmala UI" w:hAnsi="Nirmala UI" w:eastAsia="Nirmala UI" w:cs="Nirmala UI"/>
        </w:rPr>
        <w:t>આત્માની</w:t>
      </w:r>
      <w:r>
        <w:rPr>
          <w:rFonts w:ascii="Times New Roman" w:hAnsi="Times New Roman" w:eastAsia="Times New Roman" w:cs="Times New Roman"/>
        </w:rPr>
        <w:t xml:space="preserve"> </w:t>
      </w:r>
      <w:r>
        <w:rPr>
          <w:rFonts w:ascii="Nirmala UI" w:hAnsi="Nirmala UI" w:eastAsia="Nirmala UI" w:cs="Nirmala UI"/>
        </w:rPr>
        <w:t>શક્તિના</w:t>
      </w:r>
      <w:r>
        <w:rPr>
          <w:rFonts w:ascii="Times New Roman" w:hAnsi="Times New Roman" w:eastAsia="Times New Roman" w:cs="Times New Roman"/>
        </w:rPr>
        <w:t xml:space="preserve"> </w:t>
      </w:r>
      <w:r>
        <w:rPr>
          <w:rFonts w:ascii="Nirmala UI" w:hAnsi="Nirmala UI" w:eastAsia="Nirmala UI" w:cs="Nirmala UI"/>
        </w:rPr>
        <w:t>પ્રગટ</w:t>
      </w:r>
      <w:r>
        <w:rPr>
          <w:rFonts w:ascii="Times New Roman" w:hAnsi="Times New Roman" w:eastAsia="Times New Roman" w:cs="Times New Roman"/>
        </w:rPr>
        <w:t xml:space="preserve"> </w:t>
      </w:r>
      <w:r>
        <w:rPr>
          <w:rFonts w:ascii="Nirmala UI" w:hAnsi="Nirmala UI" w:eastAsia="Nirmala UI" w:cs="Nirmala UI"/>
        </w:rPr>
        <w:t>થવાનું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જેણે</w:t>
      </w:r>
      <w:r>
        <w:rPr>
          <w:rFonts w:ascii="Times New Roman" w:hAnsi="Times New Roman" w:eastAsia="Times New Roman" w:cs="Times New Roman"/>
        </w:rPr>
        <w:t xml:space="preserve"> 1840</w:t>
      </w:r>
      <w:r>
        <w:rPr>
          <w:rFonts w:ascii="Nirmala UI" w:hAnsi="Nirmala UI" w:eastAsia="Nirmala UI" w:cs="Nirmala UI"/>
        </w:rPr>
        <w:t>માં</w:t>
      </w:r>
      <w:r>
        <w:rPr>
          <w:rFonts w:ascii="Times New Roman" w:hAnsi="Times New Roman" w:eastAsia="Times New Roman" w:cs="Times New Roman"/>
        </w:rPr>
        <w:t xml:space="preserve"> </w:t>
      </w:r>
      <w:r>
        <w:rPr>
          <w:rFonts w:ascii="Nirmala UI" w:hAnsi="Nirmala UI" w:eastAsia="Nirmala UI" w:cs="Nirmala UI"/>
        </w:rPr>
        <w:t>પ્રથમ</w:t>
      </w:r>
      <w:r>
        <w:rPr>
          <w:rFonts w:ascii="Times New Roman" w:hAnsi="Times New Roman" w:eastAsia="Times New Roman" w:cs="Times New Roman"/>
        </w:rPr>
        <w:t xml:space="preserve"> </w:t>
      </w:r>
      <w:r>
        <w:rPr>
          <w:rFonts w:ascii="Nirmala UI" w:hAnsi="Nirmala UI" w:eastAsia="Nirmala UI" w:cs="Nirmala UI"/>
        </w:rPr>
        <w:t>દેવદૂતનો</w:t>
      </w:r>
      <w:r>
        <w:rPr>
          <w:rFonts w:ascii="Times New Roman" w:hAnsi="Times New Roman" w:eastAsia="Times New Roman" w:cs="Times New Roman"/>
        </w:rPr>
        <w:t xml:space="preserve"> </w:t>
      </w:r>
      <w:r>
        <w:rPr>
          <w:rFonts w:ascii="Nirmala UI" w:hAnsi="Nirmala UI" w:eastAsia="Nirmala UI" w:cs="Nirmala UI"/>
        </w:rPr>
        <w:t>સંદેશ</w:t>
      </w:r>
      <w:r>
        <w:rPr>
          <w:rFonts w:ascii="Times New Roman" w:hAnsi="Times New Roman" w:eastAsia="Times New Roman" w:cs="Times New Roman"/>
        </w:rPr>
        <w:t xml:space="preserve"> </w:t>
      </w:r>
      <w:r>
        <w:rPr>
          <w:rFonts w:ascii="Nirmala UI" w:hAnsi="Nirmala UI" w:eastAsia="Nirmala UI" w:cs="Nirmala UI"/>
        </w:rPr>
        <w:t>સમગ્ર</w:t>
      </w:r>
      <w:r>
        <w:rPr>
          <w:rFonts w:ascii="Times New Roman" w:hAnsi="Times New Roman" w:eastAsia="Times New Roman" w:cs="Times New Roman"/>
        </w:rPr>
        <w:t xml:space="preserve"> </w:t>
      </w:r>
      <w:r>
        <w:rPr>
          <w:rFonts w:ascii="Nirmala UI" w:hAnsi="Nirmala UI" w:eastAsia="Nirmala UI" w:cs="Nirmala UI"/>
        </w:rPr>
        <w:t>વિશ્વમાં</w:t>
      </w:r>
      <w:r>
        <w:rPr>
          <w:rFonts w:ascii="Times New Roman" w:hAnsi="Times New Roman" w:eastAsia="Times New Roman" w:cs="Times New Roman"/>
        </w:rPr>
        <w:t xml:space="preserve"> </w:t>
      </w:r>
      <w:r>
        <w:rPr>
          <w:rFonts w:ascii="Nirmala UI" w:hAnsi="Nirmala UI" w:eastAsia="Nirmala UI" w:cs="Nirmala UI"/>
        </w:rPr>
        <w:t>મોકલ્યો</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Ci, którzy uczestniczyli w dziele przedstawiającym „cudowny impuls”, zostali uzdolnieni do wykonania właśnie tego dzieła mocą Ducha Świętego. Duch Święty objawiał swoją moc jedynie pośród tych, którzy przyjęli świętą metodologię. Duch Święty objawiał swoją moc jedynie w tych, którzy przyjęli świętą metodologię.</w:t>
      </w:r>
    </w:p>
    <w:p>
      <w:pPr>
        <w:pStyle w:val="ArticleBody"/>
        <w:jc w:val="left"/>
      </w:pPr>
      <w:r>
        <w:rPr>
          <w:rFonts w:ascii="Times New Roman" w:hAnsi="Times New Roman" w:eastAsia="Times New Roman" w:cs="Times New Roman"/>
        </w:rPr>
        <w:t>خود را از لحاظ فکری در حقیقت مستقر ساختن، همان پذیرشِ روش‌شناسیِ «حکم بر حکم» است؛ و این «پذیرش»ِ روش‌شناسیِ «حکم بر حکم» برای یک لاودیکیّه‌ای به‌صورت گشودنِ درِ دل برای ورودِ رسولِ لاودیکیه در شخصِ روح‌القدس به تصویر کشیده شده است. پذیرشِ این روش‌شناسیِ مقدّس، قدرتِ روح‌القدس را به ذهنِ کسانی که از لحاظ فکری در حقیقت مستقر می‌شوند، وارد می‌سازد. پذیرشِ آن روش‌شناسی، روحانیتی را پدید می‌آورد که به‌صورت ترکیبِ الوهیت با انسانیت به تصویر کشیده شده است. به‌کارگیریِ روش‌شناسیِ کتاب‌مقدّسیِ «حکم بر حکم»، هنگامی که با ایمان درآمیزد، به‌صورت از لحاظ فکری در حقیقت مستقر شدن به تصویر کشیده می‌شود؛ و حقیقتی (پیامی) که این روش‌شناسی پدید می‌آورد، از عیسی، که کلمه است، قابل جدایی نیست. پذیرفتنِ پیامِ کلامِ او، همان پذیرفتنِ روح‌القدس در ذهنِ شماست. پس از لحاظ فکری در حقیقت مستقر شدن، آن تجربهٔ روحانی را پدید می‌آورد که مُهرِ تأییدِ خدا را دریافت می‌کند.</w:t>
      </w:r>
    </w:p>
    <w:p>
      <w:pPr>
        <w:pStyle w:val="ArticleBody"/>
        <w:jc w:val="left"/>
      </w:pPr>
      <w:r>
        <w:rPr>
          <w:rFonts w:ascii="Times New Roman" w:hAnsi="Times New Roman" w:eastAsia="Times New Roman" w:cs="Times New Roman"/>
        </w:rPr>
        <w:t>Cadés fue la prueba final para el antiguo Israel. Las dos clases de bebedores de vino en el libro de Joel están separadas y distinguidas entre sí sobre la base del rechazo o de la aceptación del mensaje de la lluvia tardía, que Joel identifica como “vino nuevo”, en contraste con el vino fermentado que consume la otra clase. El “vino nuevo” de Joel es el “reposo” de Pablo, en Hebreos tres y cuatro. Es también aquello que los “ebrios de Efraín” de Isaías rehúsan “oír”: “a los cuales él dijo: ‘Este es el reposo; dad reposo al cansado; y este es el refrigerio’; pero no quisieron oír. La palabra de Jehová, pues, les fue mandato tras mandato, mandato tras mandato, línea sobre línea, línea sobre línea, un poco aquí y un poco allí; para que vayan, y caigan hacia atrás, y sean quebrantados, y enlazados, y presos.”</w:t>
      </w:r>
    </w:p>
    <w:p>
      <w:pPr>
        <w:pStyle w:val="ArticleBody"/>
        <w:jc w:val="left"/>
      </w:pPr>
      <w:r>
        <w:rPr>
          <w:rFonts w:ascii="Times New Roman" w:hAnsi="Times New Roman" w:eastAsia="Times New Roman" w:cs="Times New Roman"/>
        </w:rPr>
        <w:t>Nous avons établi que la rébellion du veau d’or d’Aaron représente « deux » des dix épreuves qui s’achèvent à Kadès. La division de cette épreuve en deux épreuves s’accorde avec la période d’épreuve de la pluie de l’arrière-saison, laquelle est représentée par « l’épreuve de l’image de la bête », épreuve qui détermine la destinée du peuple de Dieu. Apocalypse treize identifie la « rébellion », car le nombre « treize » représente la rébellion.</w:t>
      </w:r>
    </w:p>
    <w:p>
      <w:pPr>
        <w:pStyle w:val="ArticleBody"/>
        <w:jc w:val="left"/>
      </w:pPr>
      <w:r>
        <w:rPr>
          <w:rFonts w:ascii="Times New Roman" w:hAnsi="Times New Roman" w:eastAsia="Times New Roman" w:cs="Times New Roman"/>
        </w:rPr>
        <w:t>Le chapitre commence par la bête papale qui monte de la mer, symbole suprême de la rébellion sur la terre, puisque Daniel l’identifie comme la puissance qui profère de grandes paroles contre le Très-Haut. Cette rébellion est suivie par la rébellion de la bête de la terre, les États-Unis, qui contraignent ensuite le monde entier à suivre leur exemple de rébellion. Le modèle de la troisième rébellion dans le chapitre se trouve dans la première des trois rébellions, représentée par la bête de la mer, symbole du Vatican. Au verset onze, les États-Unis parlent comme un dragon et forment ainsi une image à la bête — image du Vatican. À partir du verset douze, les États-Unis obligent le monde à faire de même. La rébellion d’Aaron est double, représentant la rébellion des États-Unis, puis celle du monde entier lorsque l’image mondiale du Vatican est imposée.</w:t>
      </w:r>
    </w:p>
    <w:p>
      <w:pPr>
        <w:pStyle w:val="ArticleBody"/>
        <w:jc w:val="left"/>
      </w:pPr>
      <w:r>
        <w:rPr>
          <w:rFonts w:ascii="Times New Roman" w:hAnsi="Times New Roman" w:eastAsia="Times New Roman" w:cs="Times New Roman"/>
        </w:rPr>
        <w:t>تمردُ هارون يحدِّد كلتا الفترتين، وقد مُثِّلتا بعبادةٍ للأوثان حين لم يكن موسى حاضرًا، تلتها عبادةٌ للأوثان حين كان موسى حاضرًا. وكان موسى قد كان يتلقّى الشريعة، ولذلك يمثّل شريعة الله بوصفها نقطةَ التحوّل في التمرّد. والامتحان الذي يمثّله تمثالُ هارون الذهبي لعجلٍ-وحشٍ هو امتحانُ سنة 1863.</w:t>
      </w:r>
    </w:p>
    <w:p>
      <w:pPr>
        <w:pStyle w:val="ArticleBody"/>
        <w:jc w:val="left"/>
      </w:pPr>
      <w:r>
        <w:rPr>
          <w:rFonts w:ascii="Times New Roman" w:hAnsi="Times New Roman" w:eastAsia="Times New Roman" w:cs="Times New Roman"/>
        </w:rPr>
        <w:t>Zwino ni mweso wa mulamulo wa Sondo, woyimira mzere wogawanitsa pakati pa moyo ndi imfa. Ndiwo mzere wogawanitsa pakati pa Dziko Lolonjezedwa kapena imfa m’chipululu, mzere wogawanitsa pakati pa chilembo cha chilombo kapena chisindikizo cha Mulungu, mzere wogawanitsa pakati pa tsogolo la Shebna wa ku Laodikea kapena Eliakimu wa ku Filadelfiya. Mayeso atatu oyambirira, oyimiridwa ndi mana, akuyimira mkangano wa Sabata kapena Sondo, monganso mweso wa khumi. Mzere wogawanitsa mu kupanduka kwa ng’ombe yagolide kwa Aroni, woyimira mayeso achisanu ndi achisanu ndi chimodzi—ndipo ndiwo mulamulo wa Sondo.</w:t>
      </w:r>
    </w:p>
    <w:p>
      <w:pPr>
        <w:pStyle w:val="ArticleBody"/>
        <w:jc w:val="left"/>
      </w:pPr>
      <w:r>
        <w:rPr>
          <w:rFonts w:ascii="Times New Roman" w:hAnsi="Times New Roman" w:eastAsia="Times New Roman" w:cs="Times New Roman"/>
        </w:rPr>
        <w:t>Jaribio la nne ni maji katika Masa, likimaanisha “kujaribu,” na Meriba, likimaanisha “bendera ya Yehova,” nalo linapatikana katika Kutoka 17:1–7, ambako linatambuliwa moja kwa moja kuwa ni “kumjaribu Bwana.”</w:t>
      </w:r>
    </w:p>
    <w:p>
      <w:pPr>
        <w:pStyle w:val="ArticleScripture"/>
        <w:jc w:val="left"/>
      </w:pPr>
      <w:r>
        <w:rPr>
          <w:rFonts w:ascii="Times New Roman" w:hAnsi="Times New Roman" w:eastAsia="Times New Roman" w:cs="Times New Roman"/>
        </w:rPr>
        <w:t>Puis toute l’assemblée des enfants d’Israël partit du désert de Sin, selon ses étapes, d’après le commandement de l’Éternel, et campa à Rephidim ; et il n’y avait point d’eau à boire pour le peuple. Alors le peuple querella Moïse, et dit : Donnez-nous de l’eau afin que nous buvions. Et Moïse leur dit : Pourquoi me querellez-vous ? Pourquoi tentez-vous l’Éternel ? Là, le peuple eut soif d’eau ; et le peuple murmura contre Moïse, et dit : Pourquoi nous as-tu fait monter hors d’Égypte, pour nous faire mourir de soif, nous, nos enfants et notre bétail ?</w:t>
      </w:r>
    </w:p>
    <w:p>
      <w:pPr>
        <w:pStyle w:val="ArticleScripture"/>
        <w:jc w:val="left"/>
      </w:pPr>
      <w:r>
        <w:rPr>
          <w:rFonts w:ascii="Times New Roman" w:hAnsi="Times New Roman" w:eastAsia="Times New Roman" w:cs="Times New Roman"/>
        </w:rPr>
        <w:t>Mose akapfuurira kuna Ishe, achiti, Ndichaita sei nevanhu ava? Vava pedyo nokunditema namabwe.</w:t>
      </w:r>
    </w:p>
    <w:p>
      <w:pPr>
        <w:pStyle w:val="ArticleScripture"/>
        <w:jc w:val="left"/>
      </w:pPr>
      <w:r>
        <w:rPr>
          <w:rFonts w:ascii="Times New Roman" w:hAnsi="Times New Roman" w:eastAsia="Times New Roman" w:cs="Times New Roman"/>
        </w:rPr>
        <w:t>Yahweh yi Musa nde: “Lekkal jiitu nit ñi, te ànd ak yenn ci magi Israyil; jël sa yat bi nga doon dóor dex bi, yor ko ci sa loxo, te dem. Xoolal, maa ngi di taxaw fa kanam sa bopp ci kaw xeer wa ca Horeb; nga dóor xeer wa, ndox di génn ci moom, ngir nit ñi naan.” Musa def na noonu ci gis-gisu magi Israyil.</w:t>
      </w:r>
    </w:p>
    <w:p>
      <w:pPr>
        <w:pStyle w:val="ArticleScripture"/>
        <w:jc w:val="left"/>
      </w:pPr>
      <w:r>
        <w:rPr>
          <w:rFonts w:ascii="Times New Roman" w:hAnsi="Times New Roman" w:eastAsia="Times New Roman" w:cs="Times New Roman"/>
        </w:rPr>
        <w:t>Na aita mahali pale jina la Masah, na Meriba, kwa sababu ya kushindana kwa wana wa Israeli, na kwa sababu walimjaribu Bwana, wakisema, Je, Bwana yupo kati yetu, au la? Kutoka 17:1–7.</w:t>
      </w:r>
    </w:p>
    <w:p>
      <w:pPr>
        <w:pStyle w:val="ArticleBody"/>
        <w:jc w:val="left"/>
      </w:pPr>
      <w:r>
        <w:rPr>
          <w:rFonts w:ascii="Times New Roman" w:hAnsi="Times New Roman" w:eastAsia="Times New Roman" w:cs="Times New Roman"/>
        </w:rPr>
        <w:t>آزمونی که به‌واسطۀ «Massah» نمادپردازی شده است، و عَلَمی که به‌واسطۀ «Meribah» نمادپردازی شده است، آلفای نبوّتی‌ای هستند که با اومگای نبوّتیِ خود تلاقی می‌کنند، آن‌گاه که موسی همان صخره را بارِ دوم می‌زند. این بدان معناست که چهارمینِ ده تحریک در قادِش نمایانده می‌شود، زیرا قادِشِ دوم همان‌جاست که موسی در عصیان صخره را می‌زند. این امر نشان می‌دهد که قادِش، به‌عنوان یک نماد، آزمونِ آب را که عَلَمی پدید می‌آورد، در بر می‌گیرد.</w:t>
      </w:r>
    </w:p>
    <w:p>
      <w:pPr>
        <w:pStyle w:val="ArticleBody"/>
        <w:jc w:val="left"/>
      </w:pPr>
      <w:r>
        <w:rPr>
          <w:rFonts w:ascii="Times New Roman" w:hAnsi="Times New Roman" w:eastAsia="Times New Roman" w:cs="Times New Roman"/>
        </w:rPr>
        <w:t>Ang pagsubok sa tubig na lumilikha ng watawat ay ang pagsubok ng mensahe ng huling ulan. Ang 1863 ang dako na sana’y pinagtaasan ng watawat, ngunit sa aba; ang 1863 ay ang unang Kades lamang, at ang ikalawang Kades ay nasa nalalapit nang kautusan ng Linggo. Ang Massah at Meribah ay kumakatawan sa pangwakas na pagsubok para sa isang daan at apatnapu’t apat na libo bago pa man sila itaas bilang isang watawat sa kautusan ng Linggo. Hindi ang kapamahalaan ng Roma, ni ang kapamahalaan ng mga Judio, ang nagsaayos ng kamatayan ni Cristo. Ang kapamahalaang iyon ay pinahintulutan sa kapulungan ng Langit maraming panahon bago ang krus. Ginamit ni Moises ang kaniyang tungkod, ang tungkod na pinahiran ng Diyos Mismo, upang hampasin ang Bato—ngunit isang ulit lamang. Ang Batong iyon, ayon sa inspirasyon, ay kumakatawan sa mga mensahe mula 1840 hanggang 1844, na siyang mga dating saligang katotohanan na kumakatawan sa landas ng mga matuwid. Sa pagsubok na kinakatawan ng Massah, ang tubig na nagliligtas ay ang tubig na lumalabas mula sa Bato ng mga dating landas. Ang tubig na iyon ay sumusubok at lumilikha ng dalawang uri; ang isa ay ukol sa tanda ng hayop at ang isa naman ay ukol sa tatak ng Diyos, gaya ng kinakatawan ng tatak ng Diyos sa mga itinaas bilang isang watawat, gaya ng kinakatawan ng Meribah.</w:t>
      </w:r>
    </w:p>
    <w:p>
      <w:pPr>
        <w:pStyle w:val="ArticleBody"/>
        <w:jc w:val="left"/>
      </w:pPr>
      <w:r>
        <w:rPr>
          <w:rFonts w:ascii="Times New Roman" w:hAnsi="Times New Roman" w:eastAsia="Times New Roman" w:cs="Times New Roman"/>
        </w:rPr>
        <w:t>Le temple fut achevé avant le troisième décret d’Artaxerxès, établissant que le temple millérite que Christ releva en 46 ans, de 1798 à 1844, fut achevé avant le troisième ange, représenté par l’arrivée du troisième décret. Les cent quarante-quatre mille sont scellés juste avant la loi du dimanche, où ils sont alors élevés comme une offrande-enseigne des prémices de la Pentecôte, comme aux jours d’autrefois. Massa et Meriba identifient l’épreuve de l’eau représentée par le message du Cri de Minuit dans l’histoire des premier et troisième anges.</w:t>
      </w:r>
    </w:p>
    <w:p>
      <w:pPr>
        <w:pStyle w:val="ArticleBody"/>
        <w:jc w:val="left"/>
      </w:pPr>
      <w:r>
        <w:rPr>
          <w:rFonts w:ascii="Times New Roman" w:hAnsi="Times New Roman" w:eastAsia="Times New Roman" w:cs="Times New Roman"/>
        </w:rPr>
        <w:t>L’œuvre qui consiste à unir la Divinité à l’humanité est aussi représentée comme l’union de deux temples. Elle est également représentée comme un mariage, dans lequel un homme et une femme, ou un temple féminin et un temple masculin, sont unis et deviennent une seule chair. Le Christ a édifié le temple millérite dans le but de les conduire dans Son temple céleste, où ils trouveraient le « repos », représenté, dans l’histoire de 1844, par le sabbat du septième jour.</w:t>
      </w:r>
    </w:p>
    <w:p>
      <w:pPr>
        <w:pStyle w:val="ArticleBody"/>
        <w:jc w:val="left"/>
      </w:pPr>
      <w:r>
        <w:rPr>
          <w:rFonts w:ascii="Times New Roman" w:hAnsi="Times New Roman" w:eastAsia="Times New Roman" w:cs="Times New Roman"/>
        </w:rPr>
        <w:t>Kapag ang pagkaunawang ito tungkol sa Massa at Meribah, bilang ikaapat na pagsubok, ay inilapat sa pagitan ng isang pambungad na pagsubok na kumakatawan din sa tatlong pagsubok, at na pagkatapos ay sinusundan ng kautusang ukol sa Linggo ng ikalima at ikaanim na mga pagsubok—makikita mo kung gayon, ngunit kung ikaw lamang ay handang makakita, na ang tatluhang pagsubok ng manna ang unang pagsubok, na sinusundan ng isang pagsubok na nauuna sa ikatlong dalawahang pagsubok ng gintong guya ni Aaron. Ang Massa at Meribah ay magkatuwang na kinakatawan, sapagkat tanging sa mensahe lamang ng ikalawang anghel matatagpuan ang isang propetikong “pagdodoble.” Ang unang tatlong pagsubok ng manna ay ang mensahe ng unang anghel. Ang pagsubok ng Massa at Meribah ay ang mensahe ng ikalawang anghel at ang paghihimagsik ni Aaron ay ang mensahe ng ikatlong anghel.</w:t>
      </w:r>
    </w:p>
    <w:p>
      <w:pPr>
        <w:pStyle w:val="ArticleBody"/>
        <w:jc w:val="left"/>
      </w:pPr>
      <w:r>
        <w:rPr>
          <w:rFonts w:ascii="Times New Roman" w:hAnsi="Times New Roman" w:eastAsia="Times New Roman" w:cs="Times New Roman"/>
        </w:rPr>
        <w:t>Тав дахь шалгалт нь Аароны алтан тугалын шалгалт бөгөөд энэ нь босогчид өөрсдийн нүцгэн тэрслүү байдлыг Бурханаас далд гэж бодсон үед илэрсэн шүтээн шүтлэгийн илрэлээр эхэлдэг.</w:t>
      </w:r>
    </w:p>
    <w:p>
      <w:pPr>
        <w:pStyle w:val="ArticleScripture"/>
        <w:jc w:val="left"/>
      </w:pP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पर्वत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उतरने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विलम्ब</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हारून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इकट्ठे</w:t>
      </w:r>
      <w:r>
        <w:rPr>
          <w:rFonts w:ascii="Times New Roman" w:hAnsi="Times New Roman" w:eastAsia="Times New Roman" w:cs="Times New Roman"/>
        </w:rPr>
        <w:t xml:space="preserve"> </w:t>
      </w:r>
      <w:r>
        <w:rPr>
          <w:rFonts w:ascii="Nirmala UI" w:hAnsi="Nirmala UI" w:eastAsia="Nirmala UI" w:cs="Nirmala UI"/>
        </w:rPr>
        <w:t>होकर</w:t>
      </w:r>
      <w:r>
        <w:rPr>
          <w:rFonts w:ascii="Times New Roman" w:hAnsi="Times New Roman" w:eastAsia="Times New Roman" w:cs="Times New Roman"/>
        </w:rPr>
        <w:t xml:space="preserve"> </w:t>
      </w:r>
      <w:r>
        <w:rPr>
          <w:rFonts w:ascii="Nirmala UI" w:hAnsi="Nirmala UI" w:eastAsia="Nirmala UI" w:cs="Nirmala UI"/>
        </w:rPr>
        <w:t>उससे</w:t>
      </w:r>
      <w:r>
        <w:rPr>
          <w:rFonts w:ascii="Times New Roman" w:hAnsi="Times New Roman" w:eastAsia="Times New Roman" w:cs="Times New Roman"/>
        </w:rPr>
        <w:t xml:space="preserve"> </w:t>
      </w:r>
      <w:r>
        <w:rPr>
          <w:rFonts w:ascii="Nirmala UI" w:hAnsi="Nirmala UI" w:eastAsia="Nirmala UI" w:cs="Nirmala UI"/>
        </w:rPr>
        <w:t>कहने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उठ</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देवताओं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मिस्र</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निकाल</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मालूम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हारून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उनसे</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पत्नियों</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पुत्रियों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कुण्डल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उतारकर</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आओ।</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कुण्डल</w:t>
      </w:r>
      <w:r>
        <w:rPr>
          <w:rFonts w:ascii="Times New Roman" w:hAnsi="Times New Roman" w:eastAsia="Times New Roman" w:cs="Times New Roman"/>
        </w:rPr>
        <w:t xml:space="preserve"> </w:t>
      </w:r>
      <w:r>
        <w:rPr>
          <w:rFonts w:ascii="Nirmala UI" w:hAnsi="Nirmala UI" w:eastAsia="Nirmala UI" w:cs="Nirmala UI"/>
        </w:rPr>
        <w:t>उतारकर</w:t>
      </w:r>
      <w:r>
        <w:rPr>
          <w:rFonts w:ascii="Times New Roman" w:hAnsi="Times New Roman" w:eastAsia="Times New Roman" w:cs="Times New Roman"/>
        </w:rPr>
        <w:t xml:space="preserve"> </w:t>
      </w:r>
      <w:r>
        <w:rPr>
          <w:rFonts w:ascii="Nirmala UI" w:hAnsi="Nirmala UI" w:eastAsia="Nirmala UI" w:cs="Nirmala UI"/>
        </w:rPr>
        <w:t>हारून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आए।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लेकर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नक्काशी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औज़ार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आकार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ढला</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बछड़ा</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कहने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देवता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तुझे</w:t>
      </w:r>
      <w:r>
        <w:rPr>
          <w:rFonts w:ascii="Times New Roman" w:hAnsi="Times New Roman" w:eastAsia="Times New Roman" w:cs="Times New Roman"/>
        </w:rPr>
        <w:t xml:space="preserve"> </w:t>
      </w:r>
      <w:r>
        <w:rPr>
          <w:rFonts w:ascii="Nirmala UI" w:hAnsi="Nirmala UI" w:eastAsia="Nirmala UI" w:cs="Nirmala UI"/>
        </w:rPr>
        <w:t>मिस्र</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निकाल</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देखकर</w:t>
      </w:r>
      <w:r>
        <w:rPr>
          <w:rFonts w:ascii="Times New Roman" w:hAnsi="Times New Roman" w:eastAsia="Times New Roman" w:cs="Times New Roman"/>
        </w:rPr>
        <w:t xml:space="preserve"> </w:t>
      </w:r>
      <w:r>
        <w:rPr>
          <w:rFonts w:ascii="Nirmala UI" w:hAnsi="Nirmala UI" w:eastAsia="Nirmala UI" w:cs="Nirmala UI"/>
        </w:rPr>
        <w:t>हारून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वेदी</w:t>
      </w:r>
      <w:r>
        <w:rPr>
          <w:rFonts w:ascii="Times New Roman" w:hAnsi="Times New Roman" w:eastAsia="Times New Roman" w:cs="Times New Roman"/>
        </w:rPr>
        <w:t xml:space="preserve"> </w:t>
      </w:r>
      <w:r>
        <w:rPr>
          <w:rFonts w:ascii="Nirmala UI" w:hAnsi="Nirmala UI" w:eastAsia="Nirmala UI" w:cs="Nirmala UI"/>
        </w:rPr>
        <w:t>बनाई</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हारून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करके</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होगा।</w:t>
      </w:r>
    </w:p>
    <w:p>
      <w:pPr>
        <w:pStyle w:val="ArticleScripture"/>
        <w:jc w:val="left"/>
      </w:pPr>
      <w:r>
        <w:rPr>
          <w:rFonts w:ascii="Times New Roman" w:hAnsi="Times New Roman" w:eastAsia="Times New Roman" w:cs="Times New Roman"/>
        </w:rPr>
        <w:t>اور اگلے دن وہ صبح سویرے اٹھے، اور سوختنی قربانیاں چڑھائیں، اور سلامتی کی قربانیاں پیش کیں؛ اور لوگ کھانے پینے کو بیٹھ گئے، اور کھیل کود کے لیے اٹھ کھڑے ہوئے۔ خروج 32:1–6۔</w:t>
      </w:r>
    </w:p>
    <w:p>
      <w:pPr>
        <w:pStyle w:val="ArticleBody"/>
        <w:jc w:val="left"/>
      </w:pPr>
      <w:r>
        <w:rPr>
          <w:rFonts w:ascii="Times New Roman" w:hAnsi="Times New Roman" w:eastAsia="Times New Roman" w:cs="Times New Roman"/>
        </w:rPr>
        <w:t>Alttawto enaŋu tɔ?</w:t>
      </w:r>
    </w:p>
    <w:p>
      <w:pPr>
        <w:pStyle w:val="ArticleBody"/>
        <w:jc w:val="left"/>
      </w:pPr>
      <w:r>
        <w:rPr>
          <w:rFonts w:ascii="Times New Roman" w:hAnsi="Times New Roman" w:eastAsia="Times New Roman" w:cs="Times New Roman"/>
        </w:rPr>
        <w:t>Равишҳои панҷум ва шашум ба таври равшан намунаи пешгӯёнаи қонуни якшанбе мебошанд ва бо он мутобиқат доранд. Илёс бар кӯҳи Кармил ҳамон гуна саволеро матраҳ мекунад, ки Мусо низ карда буд. «Имрӯз интихоб кунед, ки ба кӣ хизмат хоҳед кард», ба имтиҳони қонуни якшанбе ишора мекунад. Рамзшиносии имтиҳони сурати ҳайвон ба қонуни якшанбе ишора менамояд. Ҷудошавии левиён дар достони Ҳорун ва ҷудошавии дувоздаҳ сибт дар достони ду гӯсолаи тиллоии Ёробъом, ҷудо шудани хирадмандон ва ҷоҳилонро дар қонуни якшанбе муайян месозад. Лоудикиён бокирагони ҷоҳиланд, чунон ки Хоҳар Уайт ба он шаҳодат медиҳад, ва бинобар ин ҷудошавии бокирагон дар қонуни якшанбе ҷудошавии Лоудикиён ва Филаделфиён аст. Равишҳои панҷум ва шашум, ки як имтиҳони дуҷониба мебошанд, бо қонуни якшанбе мутобиқат доранд, ки ин маънои онро дорад, ки онҳо бо 1863 ва Қодеш низ мутобиқат доранд.</w:t>
      </w:r>
    </w:p>
    <w:p>
      <w:pPr>
        <w:pStyle w:val="ArticleBody"/>
        <w:jc w:val="left"/>
      </w:pPr>
      <w:r>
        <w:rPr>
          <w:rFonts w:ascii="Times New Roman" w:hAnsi="Times New Roman" w:eastAsia="Times New Roman" w:cs="Times New Roman"/>
        </w:rPr>
        <w:t>Exode, chapitres trente-deux et trente-trois, s’accomplissent le même jour, à quelques heures d’intervalle, et ce jour préfigure 1863 et Kadès. Au chapitre trente-trois, Moïse demande à voir la gloire de Dieu. Ainsi, nous voyons Moïse, dans la cinquième et la sixième provocation, être transformé en les cent quarante-quatre mille. Ce même Moïse est aussi à Kadès, frappant le Rocher une seconde fois, représentant ainsi une classe qui est brisée par le Rocher sur lequel elle a refusé de tomber. Ce Rocher est un message, et il y a donc à Kadès deux symboles de Moïse, l’un manifestant la gloire de Dieu et l’autre rejetant le Rocher.</w:t>
      </w:r>
    </w:p>
    <w:p>
      <w:pPr>
        <w:pStyle w:val="ArticleScripture"/>
        <w:jc w:val="left"/>
      </w:pPr>
      <w:r>
        <w:rPr>
          <w:rFonts w:ascii="Times New Roman" w:hAnsi="Times New Roman" w:eastAsia="Times New Roman" w:cs="Times New Roman"/>
        </w:rPr>
        <w:t>« Ceux qui se tiennent comme sentinelles de Dieu sur les murailles de Sion soient des hommes capables de discerner les dangers avant le peuple, — des hommes qui sachent distinguer entre la vérité et l’erreur, la justice et l’injustice. »</w:t>
      </w:r>
    </w:p>
    <w:p>
      <w:pPr>
        <w:pStyle w:val="ArticleScripture"/>
        <w:jc w:val="left"/>
      </w:pPr>
      <w:r>
        <w:rPr>
          <w:rFonts w:ascii="Times New Roman" w:hAnsi="Times New Roman" w:eastAsia="Times New Roman" w:cs="Times New Roman"/>
        </w:rPr>
        <w:t>“Ang babala ay dumating na: Walang anuman ang dapat pahintulutang pumasok na yuyugyog sa pundasyon ng pananampalataya na siyang aming pinagtatayuan mula pa nang dumating ang mensahe noong 1842, 1843, at 1844. Ako ay nasa mensaheng ito, at mula noon ay tumatayo ako sa harap ng sanlibutan, tapat sa liwanag na ibinigay sa atin ng Diyos. Hindi namin ipinanukalang alisin ang aming mga paa mula sa platapormang kinatatayuan nila, na pinaglagyan sa kanila habang araw-araw naming hinahanap ang Panginoon sa taimtim na panalangin, na humahanap ng liwanag. Inaakala ba ninyo na maipagpapalit ko ang liwanag na ibinigay sa akin ng Diyos? Ito ay magiging gaya ng Bato ng mga Kapanahunan. Ito ang umakay sa akin mula pa nang ito’y ibigay.” Review and Herald, Abril 14, 1903.</w:t>
      </w:r>
    </w:p>
    <w:p>
      <w:pPr>
        <w:pStyle w:val="ArticleBody"/>
        <w:jc w:val="left"/>
      </w:pPr>
      <w:r>
        <w:rPr>
          <w:rFonts w:ascii="Times New Roman" w:hAnsi="Times New Roman" w:eastAsia="Times New Roman" w:cs="Times New Roman"/>
        </w:rPr>
        <w:t>L’un des symboles de « Moïse à Kadès » est qu’il frappe le Rocher avec une verge, symbole d’autorité. La première fois, c’était l’autorité de Dieu, et la seconde fois, c’était l’autorité de l’homme. La catégorie représentée par Moïse lors du second Kadès est figurée comme les ivrognes d’Éphraïm, qui se servent de leur autorité théologique (verge) pour attaquer le message de la pluie de l’arrière-saison, lequel est le message des anciens sentiers de 1840 à 1844.</w:t>
      </w:r>
    </w:p>
    <w:p>
      <w:pPr>
        <w:pStyle w:val="ArticleScripture"/>
        <w:jc w:val="left"/>
      </w:pPr>
      <w:r>
        <w:rPr>
          <w:rFonts w:ascii="Times New Roman" w:hAnsi="Times New Roman" w:eastAsia="Times New Roman" w:cs="Times New Roman"/>
        </w:rPr>
        <w:t>« Tous les messages donnés de 1840 à 1844 doivent maintenant être rendus saisissants, car beaucoup de personnes ont perdu leurs repères. Les messages doivent parvenir à toutes les Églises. »</w:t>
      </w:r>
    </w:p>
    <w:p>
      <w:pPr>
        <w:pStyle w:val="ArticleScripture"/>
        <w:jc w:val="left"/>
      </w:pPr>
      <w:r>
        <w:rPr>
          <w:rFonts w:ascii="Times New Roman" w:hAnsi="Times New Roman" w:eastAsia="Times New Roman" w:cs="Times New Roman"/>
        </w:rPr>
        <w:t>Christ a dit : « Heureux vos yeux, parce qu’ils voient ; et vos oreilles, parce qu’elles entendent. Car je vous le dis en vérité, beaucoup de prophètes et de justes ont désiré voir les choses que vous voyez, et ne les ont point vues ; et entendre les choses que vous entendez, et ne les ont point entendues » [Matthieu 13:16, 17]. Heureux les yeux qui ont vu les choses qui ont été vues en 1843 et en 1844.</w:t>
      </w:r>
    </w:p>
    <w:p>
      <w:pPr>
        <w:pStyle w:val="ArticleScripture"/>
        <w:jc w:val="left"/>
      </w:pPr>
      <w:r>
        <w:rPr>
          <w:rFonts w:ascii="Times New Roman" w:hAnsi="Times New Roman" w:eastAsia="Times New Roman" w:cs="Times New Roman"/>
        </w:rPr>
        <w:t>“</w:t>
      </w:r>
      <w:r>
        <w:rPr>
          <w:rFonts w:ascii="Nirmala UI" w:hAnsi="Nirmala UI" w:eastAsia="Nirmala UI" w:cs="Nirmala UI"/>
        </w:rPr>
        <w:t>පණිවිඩය</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ලදී</w:t>
      </w:r>
      <w:r>
        <w:rPr>
          <w:rFonts w:ascii="Times New Roman" w:hAnsi="Times New Roman" w:eastAsia="Times New Roman" w:cs="Times New Roman"/>
        </w:rPr>
        <w:t xml:space="preserve">. </w:t>
      </w:r>
      <w:r>
        <w:rPr>
          <w:rFonts w:ascii="Nirmala UI" w:hAnsi="Nirmala UI" w:eastAsia="Nirmala UI" w:cs="Nirmala UI"/>
        </w:rPr>
        <w:t>තවද</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පණිවිඩය</w:t>
      </w:r>
      <w:r>
        <w:rPr>
          <w:rFonts w:ascii="Times New Roman" w:hAnsi="Times New Roman" w:eastAsia="Times New Roman" w:cs="Times New Roman"/>
        </w:rPr>
        <w:t xml:space="preserve"> </w:t>
      </w:r>
      <w:r>
        <w:rPr>
          <w:rFonts w:ascii="Nirmala UI" w:hAnsi="Nirmala UI" w:eastAsia="Nirmala UI" w:cs="Nirmala UI"/>
        </w:rPr>
        <w:t>නැවත</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w:t>
      </w:r>
      <w:r>
        <w:rPr>
          <w:rFonts w:ascii="Times New Roman" w:hAnsi="Times New Roman" w:eastAsia="Times New Roman" w:cs="Times New Roman"/>
        </w:rPr>
        <w:t xml:space="preserve"> </w:t>
      </w:r>
      <w:r>
        <w:rPr>
          <w:rFonts w:ascii="Nirmala UI" w:hAnsi="Nirmala UI" w:eastAsia="Nirmala UI" w:cs="Nirmala UI"/>
        </w:rPr>
        <w:t>කිරීමේදී</w:t>
      </w:r>
      <w:r>
        <w:rPr>
          <w:rFonts w:ascii="Times New Roman" w:hAnsi="Times New Roman" w:eastAsia="Times New Roman" w:cs="Times New Roman"/>
        </w:rPr>
        <w:t xml:space="preserve"> </w:t>
      </w:r>
      <w:r>
        <w:rPr>
          <w:rFonts w:ascii="Nirmala UI" w:hAnsi="Nirmala UI" w:eastAsia="Nirmala UI" w:cs="Nirmala UI"/>
        </w:rPr>
        <w:t>කිසිදු</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රමාදයක්</w:t>
      </w:r>
      <w:r>
        <w:rPr>
          <w:rFonts w:ascii="Times New Roman" w:hAnsi="Times New Roman" w:eastAsia="Times New Roman" w:cs="Times New Roman"/>
        </w:rPr>
        <w:t xml:space="preserve"> </w:t>
      </w:r>
      <w:r>
        <w:rPr>
          <w:rFonts w:ascii="Nirmala UI" w:hAnsi="Nirmala UI" w:eastAsia="Nirmala UI" w:cs="Nirmala UI"/>
        </w:rPr>
        <w:t>නොවිය</w:t>
      </w:r>
      <w:r>
        <w:rPr>
          <w:rFonts w:ascii="Times New Roman" w:hAnsi="Times New Roman" w:eastAsia="Times New Roman" w:cs="Times New Roman"/>
        </w:rPr>
        <w:t xml:space="preserve"> </w:t>
      </w:r>
      <w:r>
        <w:rPr>
          <w:rFonts w:ascii="Nirmala UI" w:hAnsi="Nirmala UI" w:eastAsia="Nirmala UI" w:cs="Nirmala UI"/>
        </w:rPr>
        <w:t>යුතුය</w:t>
      </w:r>
      <w:r>
        <w:rPr>
          <w:rFonts w:ascii="Times New Roman" w:hAnsi="Times New Roman" w:eastAsia="Times New Roman" w:cs="Times New Roman"/>
        </w:rPr>
        <w:t xml:space="preserve">; </w:t>
      </w:r>
      <w:r>
        <w:rPr>
          <w:rFonts w:ascii="Nirmala UI" w:hAnsi="Nirmala UI" w:eastAsia="Nirmala UI" w:cs="Nirmala UI"/>
        </w:rPr>
        <w:t>මක්නිසාද</w:t>
      </w:r>
      <w:r>
        <w:rPr>
          <w:rFonts w:ascii="Times New Roman" w:hAnsi="Times New Roman" w:eastAsia="Times New Roman" w:cs="Times New Roman"/>
        </w:rPr>
        <w:t xml:space="preserve"> </w:t>
      </w:r>
      <w:r>
        <w:rPr>
          <w:rFonts w:ascii="Nirmala UI" w:hAnsi="Nirmala UI" w:eastAsia="Nirmala UI" w:cs="Nirmala UI"/>
        </w:rPr>
        <w:t>කාලයේ</w:t>
      </w:r>
      <w:r>
        <w:rPr>
          <w:rFonts w:ascii="Times New Roman" w:hAnsi="Times New Roman" w:eastAsia="Times New Roman" w:cs="Times New Roman"/>
        </w:rPr>
        <w:t xml:space="preserve"> </w:t>
      </w:r>
      <w:r>
        <w:rPr>
          <w:rFonts w:ascii="Nirmala UI" w:hAnsi="Nirmala UI" w:eastAsia="Nirmala UI" w:cs="Nirmala UI"/>
        </w:rPr>
        <w:t>ලකුණු</w:t>
      </w:r>
      <w:r>
        <w:rPr>
          <w:rFonts w:ascii="Times New Roman" w:hAnsi="Times New Roman" w:eastAsia="Times New Roman" w:cs="Times New Roman"/>
        </w:rPr>
        <w:t xml:space="preserve"> </w:t>
      </w:r>
      <w:r>
        <w:rPr>
          <w:rFonts w:ascii="Nirmala UI" w:hAnsi="Nirmala UI" w:eastAsia="Nirmala UI" w:cs="Nirmala UI"/>
        </w:rPr>
        <w:t>ඉටු</w:t>
      </w:r>
      <w:r>
        <w:rPr>
          <w:rFonts w:ascii="Times New Roman" w:hAnsi="Times New Roman" w:eastAsia="Times New Roman" w:cs="Times New Roman"/>
        </w:rPr>
        <w:t xml:space="preserve"> </w:t>
      </w:r>
      <w:r>
        <w:rPr>
          <w:rFonts w:ascii="Nirmala UI" w:hAnsi="Nirmala UI" w:eastAsia="Nirmala UI" w:cs="Nirmala UI"/>
        </w:rPr>
        <w:t>වෙමින්</w:t>
      </w:r>
      <w:r>
        <w:rPr>
          <w:rFonts w:ascii="Times New Roman" w:hAnsi="Times New Roman" w:eastAsia="Times New Roman" w:cs="Times New Roman"/>
        </w:rPr>
        <w:t xml:space="preserve"> </w:t>
      </w:r>
      <w:r>
        <w:rPr>
          <w:rFonts w:ascii="Nirmala UI" w:hAnsi="Nirmala UI" w:eastAsia="Nirmala UI" w:cs="Nirmala UI"/>
        </w:rPr>
        <w:t>පවතින</w:t>
      </w:r>
      <w:r>
        <w:rPr>
          <w:rFonts w:ascii="Times New Roman" w:hAnsi="Times New Roman" w:eastAsia="Times New Roman" w:cs="Times New Roman"/>
        </w:rPr>
        <w:t xml:space="preserve"> </w:t>
      </w:r>
      <w:r>
        <w:rPr>
          <w:rFonts w:ascii="Nirmala UI" w:hAnsi="Nirmala UI" w:eastAsia="Nirmala UI" w:cs="Nirmala UI"/>
        </w:rPr>
        <w:t>බැවින්</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කාර්යය</w:t>
      </w:r>
      <w:r>
        <w:rPr>
          <w:rFonts w:ascii="Times New Roman" w:hAnsi="Times New Roman" w:eastAsia="Times New Roman" w:cs="Times New Roman"/>
        </w:rPr>
        <w:t xml:space="preserve"> </w:t>
      </w:r>
      <w:r>
        <w:rPr>
          <w:rFonts w:ascii="Nirmala UI" w:hAnsi="Nirmala UI" w:eastAsia="Nirmala UI" w:cs="Nirmala UI"/>
        </w:rPr>
        <w:t>සිදු</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ලැබිය</w:t>
      </w:r>
      <w:r>
        <w:rPr>
          <w:rFonts w:ascii="Times New Roman" w:hAnsi="Times New Roman" w:eastAsia="Times New Roman" w:cs="Times New Roman"/>
        </w:rPr>
        <w:t xml:space="preserve"> </w:t>
      </w:r>
      <w:r>
        <w:rPr>
          <w:rFonts w:ascii="Nirmala UI" w:hAnsi="Nirmala UI" w:eastAsia="Nirmala UI" w:cs="Nirmala UI"/>
        </w:rPr>
        <w:t>යුතුය</w:t>
      </w:r>
      <w:r>
        <w:rPr>
          <w:rFonts w:ascii="Times New Roman" w:hAnsi="Times New Roman" w:eastAsia="Times New Roman" w:cs="Times New Roman"/>
        </w:rPr>
        <w:t xml:space="preserve">. </w:t>
      </w:r>
      <w:r>
        <w:rPr>
          <w:rFonts w:ascii="Nirmala UI" w:hAnsi="Nirmala UI" w:eastAsia="Nirmala UI" w:cs="Nirmala UI"/>
        </w:rPr>
        <w:t>අල්ප</w:t>
      </w:r>
      <w:r>
        <w:rPr>
          <w:rFonts w:ascii="Times New Roman" w:hAnsi="Times New Roman" w:eastAsia="Times New Roman" w:cs="Times New Roman"/>
        </w:rPr>
        <w:t xml:space="preserve"> </w:t>
      </w:r>
      <w:r>
        <w:rPr>
          <w:rFonts w:ascii="Nirmala UI" w:hAnsi="Nirmala UI" w:eastAsia="Nirmala UI" w:cs="Nirmala UI"/>
        </w:rPr>
        <w:t>කාලයකදී</w:t>
      </w:r>
      <w:r>
        <w:rPr>
          <w:rFonts w:ascii="Times New Roman" w:hAnsi="Times New Roman" w:eastAsia="Times New Roman" w:cs="Times New Roman"/>
        </w:rPr>
        <w:t xml:space="preserve"> </w:t>
      </w:r>
      <w:r>
        <w:rPr>
          <w:rFonts w:ascii="Nirmala UI" w:hAnsi="Nirmala UI" w:eastAsia="Nirmala UI" w:cs="Nirmala UI"/>
        </w:rPr>
        <w:t>මහත්</w:t>
      </w:r>
      <w:r>
        <w:rPr>
          <w:rFonts w:ascii="Times New Roman" w:hAnsi="Times New Roman" w:eastAsia="Times New Roman" w:cs="Times New Roman"/>
        </w:rPr>
        <w:t xml:space="preserve"> </w:t>
      </w:r>
      <w:r>
        <w:rPr>
          <w:rFonts w:ascii="Nirmala UI" w:hAnsi="Nirmala UI" w:eastAsia="Nirmala UI" w:cs="Nirmala UI"/>
        </w:rPr>
        <w:t>කාර්යයක්</w:t>
      </w:r>
      <w:r>
        <w:rPr>
          <w:rFonts w:ascii="Times New Roman" w:hAnsi="Times New Roman" w:eastAsia="Times New Roman" w:cs="Times New Roman"/>
        </w:rPr>
        <w:t xml:space="preserve"> </w:t>
      </w:r>
      <w:r>
        <w:rPr>
          <w:rFonts w:ascii="Nirmala UI" w:hAnsi="Nirmala UI" w:eastAsia="Nirmala UI" w:cs="Nirmala UI"/>
        </w:rPr>
        <w:t>සිදු</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 xml:space="preserve">. </w:t>
      </w:r>
      <w:r>
        <w:rPr>
          <w:rFonts w:ascii="Nirmala UI" w:hAnsi="Nirmala UI" w:eastAsia="Nirmala UI" w:cs="Nirmala UI"/>
        </w:rPr>
        <w:t>ඉක්මනින්ම</w:t>
      </w:r>
      <w:r>
        <w:rPr>
          <w:rFonts w:ascii="Times New Roman" w:hAnsi="Times New Roman" w:eastAsia="Times New Roman" w:cs="Times New Roman"/>
        </w:rPr>
        <w:t xml:space="preserve"> </w:t>
      </w:r>
      <w:r>
        <w:rPr>
          <w:rFonts w:ascii="Nirmala UI" w:hAnsi="Nirmala UI" w:eastAsia="Nirmala UI" w:cs="Nirmala UI"/>
        </w:rPr>
        <w:t>දෙවියන්වහන්සේගේ</w:t>
      </w:r>
      <w:r>
        <w:rPr>
          <w:rFonts w:ascii="Times New Roman" w:hAnsi="Times New Roman" w:eastAsia="Times New Roman" w:cs="Times New Roman"/>
        </w:rPr>
        <w:t xml:space="preserve"> </w:t>
      </w:r>
      <w:r>
        <w:rPr>
          <w:rFonts w:ascii="Nirmala UI" w:hAnsi="Nirmala UI" w:eastAsia="Nirmala UI" w:cs="Nirmala UI"/>
        </w:rPr>
        <w:t>නියමය</w:t>
      </w:r>
      <w:r>
        <w:rPr>
          <w:rFonts w:ascii="Times New Roman" w:hAnsi="Times New Roman" w:eastAsia="Times New Roman" w:cs="Times New Roman"/>
        </w:rPr>
        <w:t xml:space="preserve"> </w:t>
      </w:r>
      <w:r>
        <w:rPr>
          <w:rFonts w:ascii="Nirmala UI" w:hAnsi="Nirmala UI" w:eastAsia="Nirmala UI" w:cs="Nirmala UI"/>
        </w:rPr>
        <w:t>අනුව</w:t>
      </w:r>
      <w:r>
        <w:rPr>
          <w:rFonts w:ascii="Times New Roman" w:hAnsi="Times New Roman" w:eastAsia="Times New Roman" w:cs="Times New Roman"/>
        </w:rPr>
        <w:t xml:space="preserve"> </w:t>
      </w:r>
      <w:r>
        <w:rPr>
          <w:rFonts w:ascii="Nirmala UI" w:hAnsi="Nirmala UI" w:eastAsia="Nirmala UI" w:cs="Nirmala UI"/>
        </w:rPr>
        <w:t>පණිවිඩයක්</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මහත්</w:t>
      </w:r>
      <w:r>
        <w:rPr>
          <w:rFonts w:ascii="Times New Roman" w:hAnsi="Times New Roman" w:eastAsia="Times New Roman" w:cs="Times New Roman"/>
        </w:rPr>
        <w:t xml:space="preserve"> </w:t>
      </w:r>
      <w:r>
        <w:rPr>
          <w:rFonts w:ascii="Nirmala UI" w:hAnsi="Nirmala UI" w:eastAsia="Nirmala UI" w:cs="Nirmala UI"/>
        </w:rPr>
        <w:t>ඝෝෂාවක්</w:t>
      </w:r>
      <w:r>
        <w:rPr>
          <w:rFonts w:ascii="Times New Roman" w:hAnsi="Times New Roman" w:eastAsia="Times New Roman" w:cs="Times New Roman"/>
        </w:rPr>
        <w:t xml:space="preserve"> </w:t>
      </w:r>
      <w:r>
        <w:rPr>
          <w:rFonts w:ascii="Nirmala UI" w:hAnsi="Nirmala UI" w:eastAsia="Nirmala UI" w:cs="Nirmala UI"/>
        </w:rPr>
        <w:t>බවට</w:t>
      </w:r>
      <w:r>
        <w:rPr>
          <w:rFonts w:ascii="Times New Roman" w:hAnsi="Times New Roman" w:eastAsia="Times New Roman" w:cs="Times New Roman"/>
        </w:rPr>
        <w:t xml:space="preserve"> </w:t>
      </w:r>
      <w:r>
        <w:rPr>
          <w:rFonts w:ascii="Nirmala UI" w:hAnsi="Nirmala UI" w:eastAsia="Nirmala UI" w:cs="Nirmala UI"/>
        </w:rPr>
        <w:t>වර්ධනය</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එවිට</w:t>
      </w:r>
      <w:r>
        <w:rPr>
          <w:rFonts w:ascii="Times New Roman" w:hAnsi="Times New Roman" w:eastAsia="Times New Roman" w:cs="Times New Roman"/>
        </w:rPr>
        <w:t xml:space="preserve"> </w:t>
      </w:r>
      <w:r>
        <w:rPr>
          <w:rFonts w:ascii="Nirmala UI" w:hAnsi="Nirmala UI" w:eastAsia="Nirmala UI" w:cs="Nirmala UI"/>
        </w:rPr>
        <w:t>දානියෙල්</w:t>
      </w:r>
      <w:r>
        <w:rPr>
          <w:rFonts w:ascii="Times New Roman" w:hAnsi="Times New Roman" w:eastAsia="Times New Roman" w:cs="Times New Roman"/>
        </w:rPr>
        <w:t xml:space="preserve"> </w:t>
      </w:r>
      <w:r>
        <w:rPr>
          <w:rFonts w:ascii="Nirmala UI" w:hAnsi="Nirmala UI" w:eastAsia="Nirmala UI" w:cs="Nirmala UI"/>
        </w:rPr>
        <w:t>තමන්ට</w:t>
      </w:r>
      <w:r>
        <w:rPr>
          <w:rFonts w:ascii="Times New Roman" w:hAnsi="Times New Roman" w:eastAsia="Times New Roman" w:cs="Times New Roman"/>
        </w:rPr>
        <w:t xml:space="preserve"> </w:t>
      </w:r>
      <w:r>
        <w:rPr>
          <w:rFonts w:ascii="Nirmala UI" w:hAnsi="Nirmala UI" w:eastAsia="Nirmala UI" w:cs="Nirmala UI"/>
        </w:rPr>
        <w:t>නියමිත</w:t>
      </w:r>
      <w:r>
        <w:rPr>
          <w:rFonts w:ascii="Times New Roman" w:hAnsi="Times New Roman" w:eastAsia="Times New Roman" w:cs="Times New Roman"/>
        </w:rPr>
        <w:t xml:space="preserve"> </w:t>
      </w:r>
      <w:r>
        <w:rPr>
          <w:rFonts w:ascii="Nirmala UI" w:hAnsi="Nirmala UI" w:eastAsia="Nirmala UI" w:cs="Nirmala UI"/>
        </w:rPr>
        <w:t>ස්ථානයේ</w:t>
      </w:r>
      <w:r>
        <w:rPr>
          <w:rFonts w:ascii="Times New Roman" w:hAnsi="Times New Roman" w:eastAsia="Times New Roman" w:cs="Times New Roman"/>
        </w:rPr>
        <w:t xml:space="preserve"> </w:t>
      </w:r>
      <w:r>
        <w:rPr>
          <w:rFonts w:ascii="Nirmala UI" w:hAnsi="Nirmala UI" w:eastAsia="Nirmala UI" w:cs="Nirmala UI"/>
        </w:rPr>
        <w:t>සිට</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සාක්ෂිය</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Manuscript Releases, volume 21, 437.</w:t>
      </w:r>
    </w:p>
    <w:p>
      <w:pPr>
        <w:pStyle w:val="ArticleBody"/>
        <w:jc w:val="left"/>
      </w:pPr>
      <w:r>
        <w:rPr>
          <w:rFonts w:ascii="Times New Roman" w:hAnsi="Times New Roman" w:eastAsia="Times New Roman" w:cs="Times New Roman"/>
        </w:rPr>
        <w:t>Jaribio la kwanza la mana ni majaribu matatu. Jaribio la mwisho kati ya majaribu kumi ni jaribio la malaika wa tatu. Vyote viwili, la kwanza na la mwisho, vinawakilisha “pumziko” kama ishara ya jaribio. Jaribio la kwanza ni majaribu matatu, likimwakilisha malaika wa kwanza anayefuatiwa na malaika wa pili; lakini jaribio la nne, ambamo kutiwa muhuri na kuinuliwa juu kama bendera kunawakilishwa na Massa na Meriba. Malaika wa tatu, anayewakilishwa na jaribio la tano na la sita, ndiye jaribio la tatu, lililofuata jaribio la pili la Massa na Meriba, na jaribio la kwanza la mana.</w:t>
      </w:r>
    </w:p>
    <w:p>
      <w:pPr>
        <w:pStyle w:val="ArticleBody"/>
        <w:jc w:val="left"/>
      </w:pPr>
      <w:r>
        <w:rPr>
          <w:rFonts w:ascii="Times New Roman" w:hAnsi="Times New Roman" w:eastAsia="Times New Roman" w:cs="Times New Roman"/>
        </w:rPr>
        <w:t>La provocation à Tabéra, exposée dans Nombres 11:1–3, constitue la septième mise à l’épreuve. Les versets qui introduisent l’épreuve ardente de la foi représentée par « Tabéra », qui signifie « lieu d’embrasement », sont précédés de versets qui décrivent la marche du peuple de Dieu à travers le désert. L’impatience manifestée au chapitre dix est mise en contraste avec les cent quarante-quatre mille qui suivent l’Agneau partout où Il va. Ce sont ceux qui ont la patience des saints ; mais l’ancien Israël manifestait, au chapitre dix, une impatience qui conduit à sa cuisante épreuve au chapitre onze.</w:t>
      </w:r>
    </w:p>
    <w:p>
      <w:pPr>
        <w:pStyle w:val="ArticleScripture"/>
        <w:jc w:val="left"/>
      </w:pPr>
      <w:r>
        <w:rPr>
          <w:rFonts w:ascii="Times New Roman" w:hAnsi="Times New Roman" w:eastAsia="Times New Roman" w:cs="Times New Roman"/>
        </w:rPr>
        <w:t>۽ اھي خداوند جي جبل کان ٽي ڏينھن جي مسافت تي روانا ٿيا؛ ۽ خداوند جي عهد جو صندوق انھن جي اڳيان انھن ٽن ڏينھن جي مسافت ۾ ھلندو ويو، تہ جيئن انھن لاءِ آرام جي جاءِ ڳولي ڪڍي. ۽ خداوند جو ڪڪر ڏينھن جو انھن تي ھوندو ھو، جڏھن اھي لشڪرگاهه مان نڪرندا ھئا. ۽ ائين ٿيو، جڏھن صندوق اڳتي وڌندو ھو، تہ موسى چوندو ھو، اٿي بيھ، اي خداوند، ۽ تنھنجا دشمن ٽڙي پکڙي وڃن؛ ۽ جيڪي توسان دشمني رکن ٿا سي تنھنجي حضور کان ڀڄي وڃن. ۽ جڏھن اھو بيھندو ھو، تڏھن ھو چوندو ھو، موٽي اچ، اي خداوند، اسرائيل جي بيشمار ھزارن ڏانھن. گنتي 10:33–36.</w:t>
      </w:r>
    </w:p>
    <w:p>
      <w:pPr>
        <w:pStyle w:val="ArticleBody"/>
        <w:jc w:val="left"/>
      </w:pPr>
      <w:r>
        <w:rPr>
          <w:rFonts w:ascii="Times New Roman" w:hAnsi="Times New Roman" w:eastAsia="Times New Roman" w:cs="Times New Roman"/>
        </w:rPr>
        <w:t>Ndime inayofuata yatanguliza uasi wa Tabera.</w:t>
      </w:r>
    </w:p>
    <w:p>
      <w:pPr>
        <w:pStyle w:val="ArticleScripture"/>
        <w:jc w:val="left"/>
      </w:pPr>
      <w:r>
        <w:rPr>
          <w:rFonts w:ascii="Times New Roman" w:hAnsi="Times New Roman" w:eastAsia="Times New Roman" w:cs="Times New Roman"/>
        </w:rPr>
        <w:t>Et quand le peuple se plaignit, cela déplut à l’Éternel ; et l’Éternel l’entendit ; et sa colère s’enflamma ; et le feu de l’Éternel s’alluma parmi eux et consuma ceux qui étaient aux extrémités du camp. Alors le peuple cria à Moïse ; et lorsque Moïse pria l’Éternel, le feu s’éteignit. Et il donna à ce lieu le nom de Tabéra, parce que le feu de l’Éternel avait brûlé parmi eux. Nombres 11:1–3.</w:t>
      </w:r>
    </w:p>
    <w:p>
      <w:pPr>
        <w:pStyle w:val="ArticleBody"/>
        <w:jc w:val="left"/>
      </w:pPr>
      <w:r>
        <w:rPr>
          <w:rFonts w:ascii="Times New Roman" w:hAnsi="Times New Roman" w:eastAsia="Times New Roman" w:cs="Times New Roman"/>
        </w:rPr>
        <w:t>Ka tsheh kaba bud hadien ka jingpaw pyrthei jong ka ding, ka long ka jingkwah doh ban bam bad kane ka long ka jingïaleh kaba phra. Kane ka don ha Numbers 11:4–34. Ka jingud ha Taberah ka pyni ïa ka jinglong ba halor kaba la pyut, ka jingbym lah jingïaishah, bad ka jingïaleh pyrshah jong ka jingkwah brai ïa ki fleshpots jong ka Egypt ka pyni ïa ka jinglong ba hapoh. Ka ding ka pyni ïa ka jingpynkhuid da ka ding jong u Messenger of the Covenant ha Malachi lynnong lai, namar ha ka jingïathuhlypa Taberah ka mut ka jaka thang, bad ka jaka thang ha ka Ktien jingïathuhlypa jong U Blei ka don ha Malachi lai ha kaba ka ding ka pynmih ïa ka kynhun bym lah jingïaishah kaba la bynta ban shah pynkhuid noh bad ïa ka kynhun ba lah jingïaishah kaba la shah pynkhuid kum ka jingïaisait ba la kyntiew.</w:t>
      </w:r>
    </w:p>
    <w:p>
      <w:pPr>
        <w:pStyle w:val="ArticleBody"/>
        <w:jc w:val="left"/>
      </w:pPr>
      <w:r>
        <w:rPr>
          <w:rFonts w:ascii="Times New Roman" w:hAnsi="Times New Roman" w:eastAsia="Times New Roman" w:cs="Times New Roman"/>
        </w:rPr>
        <w:t>Izo izay asehon’i Mosesy ao amin’ny fitsapana roa sosona momba ny toetra ambony sy ambany an’i Tabera dia ny iray hetsy sy efatra amby efapolo arivo, izay efa miorina tsara ao amin’ny fahamarinana, na ara-tsaina izany no sady ara-panahy koa. Ny saina no mamantatra ny toetra ambony, ary ara-panahy izany dia maneho ny firaisan’ny Maha-Andriamanitra amin’ny maha-olona. Tsy afaka mitambatra amin’ny maha-olona ny Maha-Andriamanitra raha tsy efa voahombo sy maty ny toetra ambany. Ny fahamiorenana ao amin’ny fahamarinana, na ara-tsaina na ara-panahy, dia maneho ny fanandraman’ny olona iray eo am-panombohana tombo-kase. Ny afon’i Tabera dia maneho ny fisarahana farany ny vary sy ny tsimparifary ao amin’ny asan’i Kristy amin’ny fananganana ny tempolin’ilay iray hetsy sy efatra amby efapolo arivo.</w:t>
      </w:r>
    </w:p>
    <w:p>
      <w:pPr>
        <w:pStyle w:val="ArticleBody"/>
        <w:jc w:val="left"/>
      </w:pPr>
      <w:r>
        <w:rPr>
          <w:rFonts w:ascii="Nirmala UI" w:hAnsi="Nirmala UI" w:eastAsia="Nirmala UI" w:cs="Nirmala UI"/>
        </w:rPr>
        <w:t>टेस्ट</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मिरियम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हारून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गिनती</w:t>
      </w:r>
      <w:r>
        <w:rPr>
          <w:rFonts w:ascii="Times New Roman" w:hAnsi="Times New Roman" w:eastAsia="Times New Roman" w:cs="Times New Roman"/>
        </w:rPr>
        <w:t xml:space="preserve"> 12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उकसावा</w:t>
      </w:r>
      <w:r>
        <w:rPr>
          <w:rFonts w:ascii="Times New Roman" w:hAnsi="Times New Roman" w:eastAsia="Times New Roman" w:cs="Times New Roman"/>
        </w:rPr>
        <w:t xml:space="preserve"> </w:t>
      </w:r>
      <w:r>
        <w:rPr>
          <w:rFonts w:ascii="Nirmala UI" w:hAnsi="Nirmala UI" w:eastAsia="Nirmala UI" w:cs="Nirmala UI"/>
        </w:rPr>
        <w:t>कोरह</w:t>
      </w:r>
      <w:r>
        <w:rPr>
          <w:rFonts w:ascii="Times New Roman" w:hAnsi="Times New Roman" w:eastAsia="Times New Roman" w:cs="Times New Roman"/>
        </w:rPr>
        <w:t xml:space="preserve">, </w:t>
      </w:r>
      <w:r>
        <w:rPr>
          <w:rFonts w:ascii="Nirmala UI" w:hAnsi="Nirmala UI" w:eastAsia="Nirmala UI" w:cs="Nirmala UI"/>
        </w:rPr>
        <w:t>दातान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अबीराम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उकसावे</w:t>
      </w:r>
      <w:r>
        <w:rPr>
          <w:rFonts w:ascii="Times New Roman" w:hAnsi="Times New Roman" w:eastAsia="Times New Roman" w:cs="Times New Roman"/>
        </w:rPr>
        <w:t xml:space="preserve">, </w:t>
      </w:r>
      <w:r>
        <w:rPr>
          <w:rFonts w:ascii="Nirmala UI" w:hAnsi="Nirmala UI" w:eastAsia="Nirmala UI" w:cs="Nirmala UI"/>
        </w:rPr>
        <w:t>अथवा</w:t>
      </w:r>
      <w:r>
        <w:rPr>
          <w:rFonts w:ascii="Times New Roman" w:hAnsi="Times New Roman" w:eastAsia="Times New Roman" w:cs="Times New Roman"/>
        </w:rPr>
        <w:t xml:space="preserve"> 1888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मिनियापोलिस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प्रश्न</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वरन्</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चुने</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नेतृत्व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था।</w:t>
      </w:r>
    </w:p>
    <w:p>
      <w:pPr>
        <w:pStyle w:val="ArticleBody"/>
        <w:jc w:val="left"/>
      </w:pPr>
      <w:r>
        <w:rPr>
          <w:rFonts w:ascii="Times New Roman" w:hAnsi="Times New Roman" w:eastAsia="Times New Roman" w:cs="Times New Roman"/>
        </w:rPr>
        <w:t>id-id Penghukuman terhadap para pemimpin yang menolak bukan saja pekabaran itu, melainkan juga pembawanya, mendahului ujian yang kesepuluh. Kepemimpinan itu menyatakan diri sebagai orang-orang murtad tepat sebelum undang-undang Hari Minggu, yang adalah ujian kesepuluh. Undang-undang Hari Minggu itu sejajar dengan salib, dan dalam perjalanan menuju salib, yaitu undang-undang Hari Minggu itu, para pemimpin memilih Barabas, seorang kristus palsu, sebab “bar” berarti ‘anak dari’ dan “abba” berarti ‘bapa.’ Menjelang salib (undang-undang Hari Minggu) atau Kadesh, kepemimpinan itu menyatakan kemurtadan yang sepenuhnya matang dengan memilih suatu kristus tandingan dan juga dengan secara langsung menyatakan kepada pihak-pihak berwenang sipil bahwa mereka tidak mempunyai raja selain Kaisar.</w:t>
      </w:r>
    </w:p>
    <w:p>
      <w:pPr>
        <w:pStyle w:val="ArticleBody"/>
        <w:jc w:val="left"/>
      </w:pPr>
      <w:r>
        <w:rPr>
          <w:rFonts w:ascii="Nirmala UI" w:hAnsi="Nirmala UI" w:eastAsia="Nirmala UI" w:cs="Nirmala UI"/>
        </w:rPr>
        <w:t>সপ্তম</w:t>
      </w:r>
      <w:r>
        <w:rPr>
          <w:rFonts w:ascii="Times New Roman" w:hAnsi="Times New Roman" w:eastAsia="Times New Roman" w:cs="Times New Roman"/>
        </w:rPr>
        <w:t xml:space="preserve">, </w:t>
      </w:r>
      <w:r>
        <w:rPr>
          <w:rFonts w:ascii="Nirmala UI" w:hAnsi="Nirmala UI" w:eastAsia="Nirmala UI" w:cs="Nirmala UI"/>
        </w:rPr>
        <w:t>অষ্টম</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নবম</w:t>
      </w:r>
      <w:r>
        <w:rPr>
          <w:rFonts w:ascii="Times New Roman" w:hAnsi="Times New Roman" w:eastAsia="Times New Roman" w:cs="Times New Roman"/>
        </w:rPr>
        <w:t xml:space="preserve"> </w:t>
      </w:r>
      <w:r>
        <w:rPr>
          <w:rFonts w:ascii="Nirmala UI" w:hAnsi="Nirmala UI" w:eastAsia="Nirmala UI" w:cs="Nirmala UI"/>
        </w:rPr>
        <w:t>পরীক্ষা</w:t>
      </w:r>
      <w:r>
        <w:rPr>
          <w:rFonts w:ascii="Times New Roman" w:hAnsi="Times New Roman" w:eastAsia="Times New Roman" w:cs="Times New Roman"/>
        </w:rPr>
        <w:t xml:space="preserve"> </w:t>
      </w:r>
      <w:r>
        <w:rPr>
          <w:rFonts w:ascii="Nirmala UI" w:hAnsi="Nirmala UI" w:eastAsia="Nirmala UI" w:cs="Nirmala UI"/>
        </w:rPr>
        <w:t>সীলমোহর</w:t>
      </w:r>
      <w:r>
        <w:rPr>
          <w:rFonts w:ascii="Times New Roman" w:hAnsi="Times New Roman" w:eastAsia="Times New Roman" w:cs="Times New Roman"/>
        </w:rPr>
        <w:t xml:space="preserve"> </w:t>
      </w:r>
      <w:r>
        <w:rPr>
          <w:rFonts w:ascii="Nirmala UI" w:hAnsi="Nirmala UI" w:eastAsia="Nirmala UI" w:cs="Nirmala UI"/>
        </w:rPr>
        <w:t>প্রক্রিয়াকে</w:t>
      </w:r>
      <w:r>
        <w:rPr>
          <w:rFonts w:ascii="Times New Roman" w:hAnsi="Times New Roman" w:eastAsia="Times New Roman" w:cs="Times New Roman"/>
        </w:rPr>
        <w:t xml:space="preserve"> </w:t>
      </w:r>
      <w:r>
        <w:rPr>
          <w:rFonts w:ascii="Nirmala UI" w:hAnsi="Nirmala UI" w:eastAsia="Nirmala UI" w:cs="Nirmala UI"/>
        </w:rPr>
        <w:t>শনাক্ত</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দৃষ্টান্তটি</w:t>
      </w:r>
      <w:r>
        <w:rPr>
          <w:rFonts w:ascii="Times New Roman" w:hAnsi="Times New Roman" w:eastAsia="Times New Roman" w:cs="Times New Roman"/>
        </w:rPr>
        <w:t xml:space="preserve"> </w:t>
      </w:r>
      <w:r>
        <w:rPr>
          <w:rFonts w:ascii="Nirmala UI" w:hAnsi="Nirmala UI" w:eastAsia="Nirmala UI" w:cs="Nirmala UI"/>
        </w:rPr>
        <w:t>মূর্খ</w:t>
      </w:r>
      <w:r>
        <w:rPr>
          <w:rFonts w:ascii="Times New Roman" w:hAnsi="Times New Roman" w:eastAsia="Times New Roman" w:cs="Times New Roman"/>
        </w:rPr>
        <w:t xml:space="preserve"> </w:t>
      </w:r>
      <w:r>
        <w:rPr>
          <w:rFonts w:ascii="Nirmala UI" w:hAnsi="Nirmala UI" w:eastAsia="Nirmala UI" w:cs="Nirmala UI"/>
        </w:rPr>
        <w:t>কুমারীদের</w:t>
      </w:r>
      <w:r>
        <w:rPr>
          <w:rFonts w:ascii="Times New Roman" w:hAnsi="Times New Roman" w:eastAsia="Times New Roman" w:cs="Times New Roman"/>
        </w:rPr>
        <w:t xml:space="preserve"> </w:t>
      </w:r>
      <w:r>
        <w:rPr>
          <w:rFonts w:ascii="Nirmala UI" w:hAnsi="Nirmala UI" w:eastAsia="Nirmala UI" w:cs="Nirmala UI"/>
        </w:rPr>
        <w:t>বিষয়ক।</w:t>
      </w:r>
      <w:r>
        <w:rPr>
          <w:rFonts w:ascii="Times New Roman" w:hAnsi="Times New Roman" w:eastAsia="Times New Roman" w:cs="Times New Roman"/>
        </w:rPr>
        <w:t xml:space="preserve"> </w:t>
      </w:r>
      <w:r>
        <w:rPr>
          <w:rFonts w:ascii="Nirmala UI" w:hAnsi="Nirmala UI" w:eastAsia="Nirmala UI" w:cs="Nirmala UI"/>
        </w:rPr>
        <w:t>ঐ</w:t>
      </w:r>
      <w:r>
        <w:rPr>
          <w:rFonts w:ascii="Times New Roman" w:hAnsi="Times New Roman" w:eastAsia="Times New Roman" w:cs="Times New Roman"/>
        </w:rPr>
        <w:t xml:space="preserve"> </w:t>
      </w:r>
      <w:r>
        <w:rPr>
          <w:rFonts w:ascii="Nirmala UI" w:hAnsi="Nirmala UI" w:eastAsia="Nirmala UI" w:cs="Nirmala UI"/>
        </w:rPr>
        <w:t>পরীক্ষাগুলির</w:t>
      </w:r>
      <w:r>
        <w:rPr>
          <w:rFonts w:ascii="Times New Roman" w:hAnsi="Times New Roman" w:eastAsia="Times New Roman" w:cs="Times New Roman"/>
        </w:rPr>
        <w:t xml:space="preserve"> </w:t>
      </w:r>
      <w:r>
        <w:rPr>
          <w:rFonts w:ascii="Nirmala UI" w:hAnsi="Nirmala UI" w:eastAsia="Nirmala UI" w:cs="Nirmala UI"/>
        </w:rPr>
        <w:t>দশমটি</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কাদেশের</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বিদ্রোহ</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1863 </w:t>
      </w:r>
      <w:r>
        <w:rPr>
          <w:rFonts w:ascii="Nirmala UI" w:hAnsi="Nirmala UI" w:eastAsia="Nirmala UI" w:cs="Nirmala UI"/>
        </w:rPr>
        <w:t>সালের</w:t>
      </w:r>
      <w:r>
        <w:rPr>
          <w:rFonts w:ascii="Times New Roman" w:hAnsi="Times New Roman" w:eastAsia="Times New Roman" w:cs="Times New Roman"/>
        </w:rPr>
        <w:t xml:space="preserve"> </w:t>
      </w:r>
      <w:r>
        <w:rPr>
          <w:rFonts w:ascii="Nirmala UI" w:hAnsi="Nirmala UI" w:eastAsia="Nirmala UI" w:cs="Nirmala UI"/>
        </w:rPr>
        <w:t>প্রতিরূপ।</w:t>
      </w:r>
      <w:r>
        <w:rPr>
          <w:rFonts w:ascii="Times New Roman" w:hAnsi="Times New Roman" w:eastAsia="Times New Roman" w:cs="Times New Roman"/>
        </w:rPr>
        <w:t xml:space="preserve"> 1846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ইব্রীয়দের</w:t>
      </w:r>
      <w:r>
        <w:rPr>
          <w:rFonts w:ascii="Times New Roman" w:hAnsi="Times New Roman" w:eastAsia="Times New Roman" w:cs="Times New Roman"/>
        </w:rPr>
        <w:t xml:space="preserve"> </w:t>
      </w:r>
      <w:r>
        <w:rPr>
          <w:rFonts w:ascii="Nirmala UI" w:hAnsi="Nirmala UI" w:eastAsia="Nirmala UI" w:cs="Nirmala UI"/>
        </w:rPr>
        <w:t>সিনাইয়ে</w:t>
      </w:r>
      <w:r>
        <w:rPr>
          <w:rFonts w:ascii="Times New Roman" w:hAnsi="Times New Roman" w:eastAsia="Times New Roman" w:cs="Times New Roman"/>
        </w:rPr>
        <w:t xml:space="preserve"> </w:t>
      </w:r>
      <w:r>
        <w:rPr>
          <w:rFonts w:ascii="Nirmala UI" w:hAnsi="Nirmala UI" w:eastAsia="Nirmala UI" w:cs="Nirmala UI"/>
        </w:rPr>
        <w:t>আনা</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ব্যবস্থা</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দশ</w:t>
      </w:r>
      <w:r>
        <w:rPr>
          <w:rFonts w:ascii="Times New Roman" w:hAnsi="Times New Roman" w:eastAsia="Times New Roman" w:cs="Times New Roman"/>
        </w:rPr>
        <w:t xml:space="preserve"> </w:t>
      </w:r>
      <w:r>
        <w:rPr>
          <w:rFonts w:ascii="Nirmala UI" w:hAnsi="Nirmala UI" w:eastAsia="Nirmala UI" w:cs="Nirmala UI"/>
        </w:rPr>
        <w:t>আজ্ঞার</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প্রস্তরফলক</w:t>
      </w:r>
      <w:r>
        <w:rPr>
          <w:rFonts w:ascii="Times New Roman" w:hAnsi="Times New Roman" w:eastAsia="Times New Roman" w:cs="Times New Roman"/>
        </w:rPr>
        <w:t xml:space="preserve"> </w:t>
      </w:r>
      <w:r>
        <w:rPr>
          <w:rFonts w:ascii="Nirmala UI" w:hAnsi="Nirmala UI" w:eastAsia="Nirmala UI" w:cs="Nirmala UI"/>
        </w:rPr>
        <w:t>প্রাচীন</w:t>
      </w:r>
      <w:r>
        <w:rPr>
          <w:rFonts w:ascii="Times New Roman" w:hAnsi="Times New Roman" w:eastAsia="Times New Roman" w:cs="Times New Roman"/>
        </w:rPr>
        <w:t xml:space="preserve"> </w:t>
      </w:r>
      <w:r>
        <w:rPr>
          <w:rFonts w:ascii="Nirmala UI" w:hAnsi="Nirmala UI" w:eastAsia="Nirmala UI" w:cs="Nirmala UI"/>
        </w:rPr>
        <w:t>আক্ষরিক</w:t>
      </w:r>
      <w:r>
        <w:rPr>
          <w:rFonts w:ascii="Times New Roman" w:hAnsi="Times New Roman" w:eastAsia="Times New Roman" w:cs="Times New Roman"/>
        </w:rPr>
        <w:t xml:space="preserve"> </w:t>
      </w:r>
      <w:r>
        <w:rPr>
          <w:rFonts w:ascii="Nirmala UI" w:hAnsi="Nirmala UI" w:eastAsia="Nirmala UI" w:cs="Nirmala UI"/>
        </w:rPr>
        <w:t>ইস্রায়েলের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চুক্তিগত</w:t>
      </w:r>
      <w:r>
        <w:rPr>
          <w:rFonts w:ascii="Times New Roman" w:hAnsi="Times New Roman" w:eastAsia="Times New Roman" w:cs="Times New Roman"/>
        </w:rPr>
        <w:t xml:space="preserve"> </w:t>
      </w:r>
      <w:r>
        <w:rPr>
          <w:rFonts w:ascii="Nirmala UI" w:hAnsi="Nirmala UI" w:eastAsia="Nirmala UI" w:cs="Nirmala UI"/>
        </w:rPr>
        <w:t>সম্পর্কের</w:t>
      </w:r>
      <w:r>
        <w:rPr>
          <w:rFonts w:ascii="Times New Roman" w:hAnsi="Times New Roman" w:eastAsia="Times New Roman" w:cs="Times New Roman"/>
        </w:rPr>
        <w:t xml:space="preserve"> </w:t>
      </w:r>
      <w:r>
        <w:rPr>
          <w:rFonts w:ascii="Nirmala UI" w:hAnsi="Nirmala UI" w:eastAsia="Nirmala UI" w:cs="Nirmala UI"/>
        </w:rPr>
        <w:t>প্রতীক</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হাবাক্কূকের</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ফলক</w:t>
      </w:r>
      <w:r>
        <w:rPr>
          <w:rFonts w:ascii="Times New Roman" w:hAnsi="Times New Roman" w:eastAsia="Times New Roman" w:cs="Times New Roman"/>
        </w:rPr>
        <w:t xml:space="preserve"> </w:t>
      </w:r>
      <w:r>
        <w:rPr>
          <w:rFonts w:ascii="Nirmala UI" w:hAnsi="Nirmala UI" w:eastAsia="Nirmala UI" w:cs="Nirmala UI"/>
        </w:rPr>
        <w:t>আধুনিক</w:t>
      </w:r>
      <w:r>
        <w:rPr>
          <w:rFonts w:ascii="Times New Roman" w:hAnsi="Times New Roman" w:eastAsia="Times New Roman" w:cs="Times New Roman"/>
        </w:rPr>
        <w:t xml:space="preserve"> </w:t>
      </w:r>
      <w:r>
        <w:rPr>
          <w:rFonts w:ascii="Nirmala UI" w:hAnsi="Nirmala UI" w:eastAsia="Nirmala UI" w:cs="Nirmala UI"/>
        </w:rPr>
        <w:t>আত্মিক</w:t>
      </w:r>
      <w:r>
        <w:rPr>
          <w:rFonts w:ascii="Times New Roman" w:hAnsi="Times New Roman" w:eastAsia="Times New Roman" w:cs="Times New Roman"/>
        </w:rPr>
        <w:t xml:space="preserve"> </w:t>
      </w:r>
      <w:r>
        <w:rPr>
          <w:rFonts w:ascii="Nirmala UI" w:hAnsi="Nirmala UI" w:eastAsia="Nirmala UI" w:cs="Nirmala UI"/>
        </w:rPr>
        <w:t>ইস্রায়েলের</w:t>
      </w:r>
      <w:r>
        <w:rPr>
          <w:rFonts w:ascii="Times New Roman" w:hAnsi="Times New Roman" w:eastAsia="Times New Roman" w:cs="Times New Roman"/>
        </w:rPr>
        <w:t xml:space="preserve"> </w:t>
      </w:r>
      <w:r>
        <w:rPr>
          <w:rFonts w:ascii="Nirmala UI" w:hAnsi="Nirmala UI" w:eastAsia="Nirmala UI" w:cs="Nirmala UI"/>
        </w:rPr>
        <w:t>চুক্তিগত</w:t>
      </w:r>
      <w:r>
        <w:rPr>
          <w:rFonts w:ascii="Times New Roman" w:hAnsi="Times New Roman" w:eastAsia="Times New Roman" w:cs="Times New Roman"/>
        </w:rPr>
        <w:t xml:space="preserve"> </w:t>
      </w:r>
      <w:r>
        <w:rPr>
          <w:rFonts w:ascii="Nirmala UI" w:hAnsi="Nirmala UI" w:eastAsia="Nirmala UI" w:cs="Nirmala UI"/>
        </w:rPr>
        <w:t>সম্পর্কের</w:t>
      </w:r>
      <w:r>
        <w:rPr>
          <w:rFonts w:ascii="Times New Roman" w:hAnsi="Times New Roman" w:eastAsia="Times New Roman" w:cs="Times New Roman"/>
        </w:rPr>
        <w:t xml:space="preserve"> </w:t>
      </w:r>
      <w:r>
        <w:rPr>
          <w:rFonts w:ascii="Nirmala UI" w:hAnsi="Nirmala UI" w:eastAsia="Nirmala UI" w:cs="Nirmala UI"/>
        </w:rPr>
        <w:t>প্রতীক।</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ফলকটি</w:t>
      </w:r>
      <w:r>
        <w:rPr>
          <w:rFonts w:ascii="Times New Roman" w:hAnsi="Times New Roman" w:eastAsia="Times New Roman" w:cs="Times New Roman"/>
        </w:rPr>
        <w:t xml:space="preserve"> 1850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উপস্থাপিত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প্রাচীন</w:t>
      </w:r>
      <w:r>
        <w:rPr>
          <w:rFonts w:ascii="Times New Roman" w:hAnsi="Times New Roman" w:eastAsia="Times New Roman" w:cs="Times New Roman"/>
        </w:rPr>
        <w:t xml:space="preserve"> </w:t>
      </w:r>
      <w:r>
        <w:rPr>
          <w:rFonts w:ascii="Nirmala UI" w:hAnsi="Nirmala UI" w:eastAsia="Nirmala UI" w:cs="Nirmala UI"/>
        </w:rPr>
        <w:t>ইস্রায়েল</w:t>
      </w:r>
      <w:r>
        <w:rPr>
          <w:rFonts w:ascii="Times New Roman" w:hAnsi="Times New Roman" w:eastAsia="Times New Roman" w:cs="Times New Roman"/>
        </w:rPr>
        <w:t xml:space="preserve"> </w:t>
      </w: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ব্যবস্থা</w:t>
      </w:r>
      <w:r>
        <w:rPr>
          <w:rFonts w:ascii="Times New Roman" w:hAnsi="Times New Roman" w:eastAsia="Times New Roman" w:cs="Times New Roman"/>
        </w:rPr>
        <w:t xml:space="preserve"> </w:t>
      </w:r>
      <w:r>
        <w:rPr>
          <w:rFonts w:ascii="Nirmala UI" w:hAnsi="Nirmala UI" w:eastAsia="Nirmala UI" w:cs="Nirmala UI"/>
        </w:rPr>
        <w:t>পালন</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অঙ্গীকার</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তেমনি</w:t>
      </w:r>
      <w:r>
        <w:rPr>
          <w:rFonts w:ascii="Times New Roman" w:hAnsi="Times New Roman" w:eastAsia="Times New Roman" w:cs="Times New Roman"/>
        </w:rPr>
        <w:t xml:space="preserve"> 1856 </w:t>
      </w:r>
      <w:r>
        <w:rPr>
          <w:rFonts w:ascii="Nirmala UI" w:hAnsi="Nirmala UI" w:eastAsia="Nirmala UI" w:cs="Nirmala UI"/>
        </w:rPr>
        <w:t>সালের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চূড়ান্ত</w:t>
      </w:r>
      <w:r>
        <w:rPr>
          <w:rFonts w:ascii="Times New Roman" w:hAnsi="Times New Roman" w:eastAsia="Times New Roman" w:cs="Times New Roman"/>
        </w:rPr>
        <w:t xml:space="preserve"> </w:t>
      </w:r>
      <w:r>
        <w:rPr>
          <w:rFonts w:ascii="Nirmala UI" w:hAnsi="Nirmala UI" w:eastAsia="Nirmala UI" w:cs="Nirmala UI"/>
        </w:rPr>
        <w:t>পরীক্ষা</w:t>
      </w:r>
      <w:r>
        <w:rPr>
          <w:rFonts w:ascii="Times New Roman" w:hAnsi="Times New Roman" w:eastAsia="Times New Roman" w:cs="Times New Roman"/>
        </w:rPr>
        <w:t xml:space="preserve"> </w:t>
      </w:r>
      <w:r>
        <w:rPr>
          <w:rFonts w:ascii="Nirmala UI" w:hAnsi="Nirmala UI" w:eastAsia="Nirmala UI" w:cs="Nirmala UI"/>
        </w:rPr>
        <w:t>উপস্থিত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প্রতিরূপ</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গুপ্তচরদের</w:t>
      </w:r>
      <w:r>
        <w:rPr>
          <w:rFonts w:ascii="Times New Roman" w:hAnsi="Times New Roman" w:eastAsia="Times New Roman" w:cs="Times New Roman"/>
        </w:rPr>
        <w:t xml:space="preserve"> </w:t>
      </w:r>
      <w:r>
        <w:rPr>
          <w:rFonts w:ascii="Nirmala UI" w:hAnsi="Nirmala UI" w:eastAsia="Nirmala UI" w:cs="Nirmala UI"/>
        </w:rPr>
        <w:t>প্রতিশ্রুত</w:t>
      </w:r>
      <w:r>
        <w:rPr>
          <w:rFonts w:ascii="Times New Roman" w:hAnsi="Times New Roman" w:eastAsia="Times New Roman" w:cs="Times New Roman"/>
        </w:rPr>
        <w:t xml:space="preserve"> </w:t>
      </w:r>
      <w:r>
        <w:rPr>
          <w:rFonts w:ascii="Nirmala UI" w:hAnsi="Nirmala UI" w:eastAsia="Nirmala UI" w:cs="Nirmala UI"/>
        </w:rPr>
        <w:t>দেশে</w:t>
      </w:r>
      <w:r>
        <w:rPr>
          <w:rFonts w:ascii="Times New Roman" w:hAnsi="Times New Roman" w:eastAsia="Times New Roman" w:cs="Times New Roman"/>
        </w:rPr>
        <w:t xml:space="preserve"> </w:t>
      </w:r>
      <w:r>
        <w:rPr>
          <w:rFonts w:ascii="Nirmala UI" w:hAnsi="Nirmala UI" w:eastAsia="Nirmala UI" w:cs="Nirmala UI"/>
        </w:rPr>
        <w:t>গমন।</w:t>
      </w:r>
      <w:r>
        <w:rPr>
          <w:rFonts w:ascii="Times New Roman" w:hAnsi="Times New Roman" w:eastAsia="Times New Roman" w:cs="Times New Roman"/>
        </w:rPr>
        <w:t xml:space="preserve"> 1856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1863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সাত</w:t>
      </w:r>
      <w:r>
        <w:rPr>
          <w:rFonts w:ascii="Times New Roman" w:hAnsi="Times New Roman" w:eastAsia="Times New Roman" w:cs="Times New Roman"/>
        </w:rPr>
        <w:t xml:space="preserve"> </w:t>
      </w:r>
      <w:r>
        <w:rPr>
          <w:rFonts w:ascii="Nirmala UI" w:hAnsi="Nirmala UI" w:eastAsia="Nirmala UI" w:cs="Nirmala UI"/>
        </w:rPr>
        <w:t>বছরে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সংখ্যাগরিষ্ঠ</w:t>
      </w:r>
      <w:r>
        <w:rPr>
          <w:rFonts w:ascii="Times New Roman" w:hAnsi="Times New Roman" w:eastAsia="Times New Roman" w:cs="Times New Roman"/>
        </w:rPr>
        <w:t xml:space="preserve"> </w:t>
      </w:r>
      <w:r>
        <w:rPr>
          <w:rFonts w:ascii="Nirmala UI" w:hAnsi="Nirmala UI" w:eastAsia="Nirmala UI" w:cs="Nirmala UI"/>
        </w:rPr>
        <w:t>মত</w:t>
      </w:r>
      <w:r>
        <w:rPr>
          <w:rFonts w:ascii="Times New Roman" w:hAnsi="Times New Roman" w:eastAsia="Times New Roman" w:cs="Times New Roman"/>
        </w:rPr>
        <w:t xml:space="preserve"> </w:t>
      </w:r>
      <w:r>
        <w:rPr>
          <w:rFonts w:ascii="Nirmala UI" w:hAnsi="Nirmala UI" w:eastAsia="Nirmala UI" w:cs="Nirmala UI"/>
        </w:rPr>
        <w:t>গঠিত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লাওদিকেয়ার</w:t>
      </w:r>
      <w:r>
        <w:rPr>
          <w:rFonts w:ascii="Times New Roman" w:hAnsi="Times New Roman" w:eastAsia="Times New Roman" w:cs="Times New Roman"/>
        </w:rPr>
        <w:t xml:space="preserve"> </w:t>
      </w:r>
      <w:r>
        <w:rPr>
          <w:rFonts w:ascii="Nirmala UI" w:hAnsi="Nirmala UI" w:eastAsia="Nirmala UI" w:cs="Nirmala UI"/>
        </w:rPr>
        <w:t>মরুভূমিই</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স্থান</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মরতে</w:t>
      </w:r>
      <w:r>
        <w:rPr>
          <w:rFonts w:ascii="Times New Roman" w:hAnsi="Times New Roman" w:eastAsia="Times New Roman" w:cs="Times New Roman"/>
        </w:rPr>
        <w:t xml:space="preserve"> </w:t>
      </w:r>
      <w:r>
        <w:rPr>
          <w:rFonts w:ascii="Nirmala UI" w:hAnsi="Nirmala UI" w:eastAsia="Nirmala UI" w:cs="Nirmala UI"/>
        </w:rPr>
        <w:t>চেয়েছিল।</w:t>
      </w:r>
    </w:p>
    <w:p>
      <w:pPr>
        <w:pStyle w:val="ArticleBody"/>
        <w:jc w:val="left"/>
      </w:pPr>
      <w:r>
        <w:rPr>
          <w:rFonts w:ascii="Times New Roman" w:hAnsi="Times New Roman" w:eastAsia="Times New Roman" w:cs="Times New Roman"/>
        </w:rPr>
        <w:t>دورانِ 1844 تا 1863 با آن دوره‌ای نمونه‌وار متناظر است که با تعمید در دریای سرخ آغاز شد و با تعمیدی دیگر در رود اردن پایان یافت؛ در همان مکانِ عیناً یکسانی که عیسی بعدها، هنگامی که به دست یحیی تعمید یافت، مسیح گردید. تعمید در دریای سرخ، رابطه‌ای عهدی با اسرائیلِ کهن را مشخص ساخت. آن رابطه با ازدواجی آغاز شد که هم‌زمان فرایند آزمونیِ ده‌مرحله‌ای را به جریان انداخت. سپس آنان به سینا آورده شدند و وعده دادند که شریعت او را نگاه دارند، اما نگاه نداشتند، و آنگاه در دهمین و آخرین آزمون، در نخستین شورشِ قادِش، شکست خوردند. پس از چهل سال، و پس از دومین و بزرگ‌ترِ شورش در قادِش، با تعمید یافتن در رود اردن، به سرزمین موعود داخل شدند.</w:t>
      </w:r>
    </w:p>
    <w:p>
      <w:pPr>
        <w:pStyle w:val="ArticleBody"/>
        <w:jc w:val="left"/>
      </w:pPr>
      <w:r>
        <w:rPr>
          <w:rFonts w:ascii="Microsoft YaHei" w:hAnsi="Microsoft YaHei" w:eastAsia="Microsoft YaHei" w:cs="Microsoft YaHei"/>
        </w:rPr>
        <w:t>我々</w:t>
      </w:r>
      <w:r>
        <w:rPr>
          <w:rFonts w:ascii="MS Gothic" w:hAnsi="MS Gothic" w:eastAsia="MS Gothic" w:cs="MS Gothic"/>
        </w:rPr>
        <w:t>がバプテスマにおいて</w:t>
      </w:r>
      <w:r>
        <w:rPr>
          <w:rFonts w:ascii="Microsoft YaHei" w:hAnsi="Microsoft YaHei" w:eastAsia="Microsoft YaHei" w:cs="Microsoft YaHei"/>
        </w:rPr>
        <w:t>通過</w:t>
      </w:r>
      <w:r>
        <w:rPr>
          <w:rFonts w:ascii="MS Gothic" w:hAnsi="MS Gothic" w:eastAsia="MS Gothic" w:cs="MS Gothic"/>
        </w:rPr>
        <w:t>するすべての</w:t>
      </w:r>
      <w:r>
        <w:rPr>
          <w:rFonts w:ascii="Microsoft YaHei" w:hAnsi="Microsoft YaHei" w:eastAsia="Microsoft YaHei" w:cs="Microsoft YaHei"/>
        </w:rPr>
        <w:t>道標</w:t>
      </w:r>
      <w:r>
        <w:rPr>
          <w:rFonts w:ascii="MS Gothic" w:hAnsi="MS Gothic" w:eastAsia="MS Gothic" w:cs="MS Gothic"/>
        </w:rPr>
        <w:t>は</w:t>
      </w:r>
      <w:r>
        <w:rPr>
          <w:rFonts w:ascii="Microsoft YaHei" w:hAnsi="Microsoft YaHei" w:eastAsia="Microsoft YaHei" w:cs="Microsoft YaHei"/>
        </w:rPr>
        <w:t>、契約</w:t>
      </w:r>
      <w:r>
        <w:rPr>
          <w:rFonts w:ascii="MS Gothic" w:hAnsi="MS Gothic" w:eastAsia="MS Gothic" w:cs="MS Gothic"/>
        </w:rPr>
        <w:t>と</w:t>
      </w:r>
      <w:r>
        <w:rPr>
          <w:rFonts w:ascii="Microsoft YaHei" w:hAnsi="Microsoft YaHei" w:eastAsia="Microsoft YaHei" w:cs="Microsoft YaHei"/>
        </w:rPr>
        <w:t>結</w:t>
      </w:r>
      <w:r>
        <w:rPr>
          <w:rFonts w:ascii="MS Gothic" w:hAnsi="MS Gothic" w:eastAsia="MS Gothic" w:cs="MS Gothic"/>
        </w:rPr>
        <w:t>び</w:t>
      </w:r>
      <w:r>
        <w:rPr>
          <w:rFonts w:ascii="Microsoft YaHei" w:hAnsi="Microsoft YaHei" w:eastAsia="Microsoft YaHei" w:cs="Microsoft YaHei"/>
        </w:rPr>
        <w:t>合</w:t>
      </w:r>
      <w:r>
        <w:rPr>
          <w:rFonts w:ascii="MS Gothic" w:hAnsi="MS Gothic" w:eastAsia="MS Gothic" w:cs="MS Gothic"/>
        </w:rPr>
        <w:t>わされている</w:t>
      </w:r>
      <w:r>
        <w:rPr>
          <w:rFonts w:ascii="Times New Roman" w:hAnsi="Times New Roman" w:eastAsia="Times New Roman" w:cs="Times New Roman"/>
        </w:rPr>
        <w:t>.</w:t>
      </w:r>
      <w:r>
        <w:rPr>
          <w:rFonts w:ascii="MS Gothic" w:hAnsi="MS Gothic" w:eastAsia="MS Gothic" w:cs="MS Gothic"/>
        </w:rPr>
        <w:t>オメガと</w:t>
      </w:r>
      <w:r>
        <w:rPr>
          <w:rFonts w:ascii="Microsoft YaHei" w:hAnsi="Microsoft YaHei" w:eastAsia="Microsoft YaHei" w:cs="Microsoft YaHei"/>
        </w:rPr>
        <w:t>第二</w:t>
      </w:r>
      <w:r>
        <w:rPr>
          <w:rFonts w:ascii="MS Gothic" w:hAnsi="MS Gothic" w:eastAsia="MS Gothic" w:cs="MS Gothic"/>
        </w:rPr>
        <w:t>のカデシュの</w:t>
      </w:r>
      <w:r>
        <w:rPr>
          <w:rFonts w:ascii="Microsoft YaHei" w:hAnsi="Microsoft YaHei" w:eastAsia="Microsoft YaHei" w:cs="Microsoft YaHei"/>
        </w:rPr>
        <w:t>歴史</w:t>
      </w:r>
      <w:r>
        <w:rPr>
          <w:rFonts w:ascii="MS Gothic" w:hAnsi="MS Gothic" w:eastAsia="MS Gothic" w:cs="MS Gothic"/>
        </w:rPr>
        <w:t>は</w:t>
      </w:r>
      <w:r>
        <w:rPr>
          <w:rFonts w:ascii="Microsoft YaHei" w:hAnsi="Microsoft YaHei" w:eastAsia="Microsoft YaHei" w:cs="Microsoft YaHei"/>
        </w:rPr>
        <w:t>、最初</w:t>
      </w:r>
      <w:r>
        <w:rPr>
          <w:rFonts w:ascii="MS Gothic" w:hAnsi="MS Gothic" w:eastAsia="MS Gothic" w:cs="MS Gothic"/>
        </w:rPr>
        <w:t>のアルファのカデシュの</w:t>
      </w:r>
      <w:r>
        <w:rPr>
          <w:rFonts w:ascii="Microsoft YaHei" w:hAnsi="Microsoft YaHei" w:eastAsia="Microsoft YaHei" w:cs="Microsoft YaHei"/>
        </w:rPr>
        <w:t>歴史</w:t>
      </w:r>
      <w:r>
        <w:rPr>
          <w:rFonts w:ascii="MS Gothic" w:hAnsi="MS Gothic" w:eastAsia="MS Gothic" w:cs="MS Gothic"/>
        </w:rPr>
        <w:t>と</w:t>
      </w:r>
      <w:r>
        <w:rPr>
          <w:rFonts w:ascii="Microsoft YaHei" w:hAnsi="Microsoft YaHei" w:eastAsia="Microsoft YaHei" w:cs="Microsoft YaHei"/>
        </w:rPr>
        <w:t>一致</w:t>
      </w:r>
      <w:r>
        <w:rPr>
          <w:rFonts w:ascii="MS Gothic" w:hAnsi="MS Gothic" w:eastAsia="MS Gothic" w:cs="MS Gothic"/>
        </w:rPr>
        <w:t>している</w:t>
      </w:r>
      <w:r>
        <w:rPr>
          <w:rFonts w:ascii="Times New Roman" w:hAnsi="Times New Roman" w:eastAsia="Times New Roman" w:cs="Times New Roman"/>
        </w:rPr>
        <w:t>.</w:t>
      </w:r>
      <w:r>
        <w:rPr>
          <w:rFonts w:ascii="MS Gothic" w:hAnsi="MS Gothic" w:eastAsia="MS Gothic" w:cs="MS Gothic"/>
        </w:rPr>
        <w:t>モーセのオメガにおける</w:t>
      </w:r>
      <w:r>
        <w:rPr>
          <w:rFonts w:ascii="Microsoft YaHei" w:hAnsi="Microsoft YaHei" w:eastAsia="Microsoft YaHei" w:cs="Microsoft YaHei"/>
        </w:rPr>
        <w:t>反逆</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アルファのカデシュの</w:t>
      </w:r>
      <w:r>
        <w:rPr>
          <w:rFonts w:ascii="Microsoft YaHei" w:hAnsi="Microsoft YaHei" w:eastAsia="Microsoft YaHei" w:cs="Microsoft YaHei"/>
        </w:rPr>
        <w:t>反逆</w:t>
      </w:r>
      <w:r>
        <w:rPr>
          <w:rFonts w:ascii="MS Gothic" w:hAnsi="MS Gothic" w:eastAsia="MS Gothic" w:cs="MS Gothic"/>
        </w:rPr>
        <w:t>における</w:t>
      </w:r>
      <w:r>
        <w:rPr>
          <w:rFonts w:ascii="Microsoft YaHei" w:hAnsi="Microsoft YaHei" w:eastAsia="Microsoft YaHei" w:cs="Microsoft YaHei"/>
        </w:rPr>
        <w:t>国民全体</w:t>
      </w:r>
      <w:r>
        <w:rPr>
          <w:rFonts w:ascii="MS Gothic" w:hAnsi="MS Gothic" w:eastAsia="MS Gothic" w:cs="MS Gothic"/>
        </w:rPr>
        <w:t>の</w:t>
      </w:r>
      <w:r>
        <w:rPr>
          <w:rFonts w:ascii="Microsoft YaHei" w:hAnsi="Microsoft YaHei" w:eastAsia="Microsoft YaHei" w:cs="Microsoft YaHei"/>
        </w:rPr>
        <w:t>反逆</w:t>
      </w:r>
      <w:r>
        <w:rPr>
          <w:rFonts w:ascii="MS Gothic" w:hAnsi="MS Gothic" w:eastAsia="MS Gothic" w:cs="MS Gothic"/>
        </w:rPr>
        <w:t>よりも</w:t>
      </w:r>
      <w:r>
        <w:rPr>
          <w:rFonts w:ascii="Microsoft YaHei" w:hAnsi="Microsoft YaHei" w:eastAsia="Microsoft YaHei" w:cs="Microsoft YaHei"/>
        </w:rPr>
        <w:t>、</w:t>
      </w:r>
      <w:r>
        <w:rPr>
          <w:rFonts w:ascii="MS Gothic" w:hAnsi="MS Gothic" w:eastAsia="MS Gothic" w:cs="MS Gothic"/>
        </w:rPr>
        <w:t>はるかに</w:t>
      </w:r>
      <w:r>
        <w:rPr>
          <w:rFonts w:ascii="Microsoft YaHei" w:hAnsi="Microsoft YaHei" w:eastAsia="Microsoft YaHei" w:cs="Microsoft YaHei"/>
        </w:rPr>
        <w:t>大</w:t>
      </w:r>
      <w:r>
        <w:rPr>
          <w:rFonts w:ascii="MS Gothic" w:hAnsi="MS Gothic" w:eastAsia="MS Gothic" w:cs="MS Gothic"/>
        </w:rPr>
        <w:t>きなものであった</w:t>
      </w:r>
      <w:r>
        <w:rPr>
          <w:rFonts w:ascii="Times New Roman" w:hAnsi="Times New Roman" w:eastAsia="Times New Roman" w:cs="Times New Roman"/>
        </w:rPr>
        <w:t>.</w:t>
      </w:r>
      <w:r>
        <w:rPr>
          <w:rFonts w:ascii="MS Gothic" w:hAnsi="MS Gothic" w:eastAsia="MS Gothic" w:cs="MS Gothic"/>
        </w:rPr>
        <w:t>オメガは</w:t>
      </w:r>
      <w:r>
        <w:rPr>
          <w:rFonts w:ascii="Microsoft YaHei" w:hAnsi="Microsoft YaHei" w:eastAsia="Microsoft YaHei" w:cs="Microsoft YaHei"/>
        </w:rPr>
        <w:t>常</w:t>
      </w:r>
      <w:r>
        <w:rPr>
          <w:rFonts w:ascii="MS Gothic" w:hAnsi="MS Gothic" w:eastAsia="MS Gothic" w:cs="MS Gothic"/>
        </w:rPr>
        <w:t>により</w:t>
      </w:r>
      <w:r>
        <w:rPr>
          <w:rFonts w:ascii="Microsoft YaHei" w:hAnsi="Microsoft YaHei" w:eastAsia="Microsoft YaHei" w:cs="Microsoft YaHei"/>
        </w:rPr>
        <w:t>大</w:t>
      </w:r>
      <w:r>
        <w:rPr>
          <w:rFonts w:ascii="MS Gothic" w:hAnsi="MS Gothic" w:eastAsia="MS Gothic" w:cs="MS Gothic"/>
        </w:rPr>
        <w:t>きい</w:t>
      </w:r>
      <w:r>
        <w:rPr>
          <w:rFonts w:ascii="Times New Roman" w:hAnsi="Times New Roman" w:eastAsia="Times New Roman" w:cs="Times New Roman"/>
        </w:rPr>
        <w:t>.</w:t>
      </w:r>
      <w:r>
        <w:rPr>
          <w:rFonts w:ascii="MS Gothic" w:hAnsi="MS Gothic" w:eastAsia="MS Gothic" w:cs="MS Gothic"/>
        </w:rPr>
        <w:t>これら</w:t>
      </w:r>
      <w:r>
        <w:rPr>
          <w:rFonts w:ascii="Microsoft YaHei" w:hAnsi="Microsoft YaHei" w:eastAsia="Microsoft YaHei" w:cs="Microsoft YaHei"/>
        </w:rPr>
        <w:t>二</w:t>
      </w:r>
      <w:r>
        <w:rPr>
          <w:rFonts w:ascii="MS Gothic" w:hAnsi="MS Gothic" w:eastAsia="MS Gothic" w:cs="MS Gothic"/>
        </w:rPr>
        <w:t>つの</w:t>
      </w:r>
      <w:r>
        <w:rPr>
          <w:rFonts w:ascii="Microsoft YaHei" w:hAnsi="Microsoft YaHei" w:eastAsia="Microsoft YaHei" w:cs="Microsoft YaHei"/>
        </w:rPr>
        <w:t>反逆</w:t>
      </w:r>
      <w:r>
        <w:rPr>
          <w:rFonts w:ascii="MS Gothic" w:hAnsi="MS Gothic" w:eastAsia="MS Gothic" w:cs="MS Gothic"/>
        </w:rPr>
        <w:t>は</w:t>
      </w:r>
      <w:r>
        <w:rPr>
          <w:rFonts w:ascii="Microsoft YaHei" w:hAnsi="Microsoft YaHei" w:eastAsia="Microsoft YaHei" w:cs="Microsoft YaHei"/>
        </w:rPr>
        <w:t>共</w:t>
      </w:r>
      <w:r>
        <w:rPr>
          <w:rFonts w:ascii="MS Gothic" w:hAnsi="MS Gothic" w:eastAsia="MS Gothic" w:cs="MS Gothic"/>
        </w:rPr>
        <w:t>に</w:t>
      </w:r>
      <w:r>
        <w:rPr>
          <w:rFonts w:ascii="Microsoft YaHei" w:hAnsi="Microsoft YaHei" w:eastAsia="Microsoft YaHei" w:cs="Microsoft YaHei"/>
        </w:rPr>
        <w:t>、後</w:t>
      </w:r>
      <w:r>
        <w:rPr>
          <w:rFonts w:ascii="MS Gothic" w:hAnsi="MS Gothic" w:eastAsia="MS Gothic" w:cs="MS Gothic"/>
        </w:rPr>
        <w:t>の</w:t>
      </w:r>
      <w:r>
        <w:rPr>
          <w:rFonts w:ascii="Microsoft YaHei" w:hAnsi="Microsoft YaHei" w:eastAsia="Microsoft YaHei" w:cs="Microsoft YaHei"/>
        </w:rPr>
        <w:t>雨</w:t>
      </w:r>
      <w:r>
        <w:rPr>
          <w:rFonts w:ascii="MS Gothic" w:hAnsi="MS Gothic" w:eastAsia="MS Gothic" w:cs="MS Gothic"/>
        </w:rPr>
        <w:t>のメッセージの</w:t>
      </w:r>
      <w:r>
        <w:rPr>
          <w:rFonts w:ascii="Microsoft YaHei" w:hAnsi="Microsoft YaHei" w:eastAsia="Microsoft YaHei" w:cs="Microsoft YaHei"/>
        </w:rPr>
        <w:t>安息</w:t>
      </w:r>
      <w:r>
        <w:rPr>
          <w:rFonts w:ascii="MS Gothic" w:hAnsi="MS Gothic" w:eastAsia="MS Gothic" w:cs="MS Gothic"/>
        </w:rPr>
        <w:t>に</w:t>
      </w:r>
      <w:r>
        <w:rPr>
          <w:rFonts w:ascii="Microsoft YaHei" w:hAnsi="Microsoft YaHei" w:eastAsia="Microsoft YaHei" w:cs="Microsoft YaHei"/>
        </w:rPr>
        <w:t>入</w:t>
      </w:r>
      <w:r>
        <w:rPr>
          <w:rFonts w:ascii="MS Gothic" w:hAnsi="MS Gothic" w:eastAsia="MS Gothic" w:cs="MS Gothic"/>
        </w:rPr>
        <w:t>ることを</w:t>
      </w:r>
      <w:r>
        <w:rPr>
          <w:rFonts w:ascii="Microsoft YaHei" w:hAnsi="Microsoft YaHei" w:eastAsia="Microsoft YaHei" w:cs="Microsoft YaHei"/>
        </w:rPr>
        <w:t>拒</w:t>
      </w:r>
      <w:r>
        <w:rPr>
          <w:rFonts w:ascii="MS Gothic" w:hAnsi="MS Gothic" w:eastAsia="MS Gothic" w:cs="MS Gothic"/>
        </w:rPr>
        <w:t>む</w:t>
      </w:r>
      <w:r>
        <w:rPr>
          <w:rFonts w:ascii="Microsoft YaHei" w:hAnsi="Microsoft YaHei" w:eastAsia="Microsoft YaHei" w:cs="Microsoft YaHei"/>
        </w:rPr>
        <w:t>、</w:t>
      </w:r>
      <w:r>
        <w:rPr>
          <w:rFonts w:ascii="MS Gothic" w:hAnsi="MS Gothic" w:eastAsia="MS Gothic" w:cs="MS Gothic"/>
        </w:rPr>
        <w:t>イザヤの</w:t>
      </w:r>
      <w:r>
        <w:rPr>
          <w:rFonts w:ascii="Microsoft YaHei" w:hAnsi="Microsoft YaHei" w:eastAsia="Microsoft YaHei" w:cs="Microsoft YaHei"/>
        </w:rPr>
        <w:t>学</w:t>
      </w:r>
      <w:r>
        <w:rPr>
          <w:rFonts w:ascii="MS Gothic" w:hAnsi="MS Gothic" w:eastAsia="MS Gothic" w:cs="MS Gothic"/>
        </w:rPr>
        <w:t>ある</w:t>
      </w:r>
      <w:r>
        <w:rPr>
          <w:rFonts w:ascii="Microsoft YaHei" w:hAnsi="Microsoft YaHei" w:eastAsia="Microsoft YaHei" w:cs="Microsoft YaHei"/>
        </w:rPr>
        <w:t>者</w:t>
      </w:r>
      <w:r>
        <w:rPr>
          <w:rFonts w:ascii="MS Gothic" w:hAnsi="MS Gothic" w:eastAsia="MS Gothic" w:cs="MS Gothic"/>
        </w:rPr>
        <w:t>と</w:t>
      </w:r>
      <w:r>
        <w:rPr>
          <w:rFonts w:ascii="Microsoft YaHei" w:hAnsi="Microsoft YaHei" w:eastAsia="Microsoft YaHei" w:cs="Microsoft YaHei"/>
        </w:rPr>
        <w:t>学</w:t>
      </w:r>
      <w:r>
        <w:rPr>
          <w:rFonts w:ascii="MS Gothic" w:hAnsi="MS Gothic" w:eastAsia="MS Gothic" w:cs="MS Gothic"/>
        </w:rPr>
        <w:t>なき</w:t>
      </w:r>
      <w:r>
        <w:rPr>
          <w:rFonts w:ascii="Microsoft YaHei" w:hAnsi="Microsoft YaHei" w:eastAsia="Microsoft YaHei" w:cs="Microsoft YaHei"/>
        </w:rPr>
        <w:t>者</w:t>
      </w:r>
      <w:r>
        <w:rPr>
          <w:rFonts w:ascii="MS Gothic" w:hAnsi="MS Gothic" w:eastAsia="MS Gothic" w:cs="MS Gothic"/>
        </w:rPr>
        <w:t>との</w:t>
      </w:r>
      <w:r>
        <w:rPr>
          <w:rFonts w:ascii="Microsoft YaHei" w:hAnsi="Microsoft YaHei" w:eastAsia="Microsoft YaHei" w:cs="Microsoft YaHei"/>
        </w:rPr>
        <w:t>反逆</w:t>
      </w:r>
      <w:r>
        <w:rPr>
          <w:rFonts w:ascii="MS Gothic" w:hAnsi="MS Gothic" w:eastAsia="MS Gothic" w:cs="MS Gothic"/>
        </w:rPr>
        <w:t>を</w:t>
      </w:r>
      <w:r>
        <w:rPr>
          <w:rFonts w:ascii="Microsoft YaHei" w:hAnsi="Microsoft YaHei" w:eastAsia="Microsoft YaHei" w:cs="Microsoft YaHei"/>
        </w:rPr>
        <w:t>表</w:t>
      </w:r>
      <w:r>
        <w:rPr>
          <w:rFonts w:ascii="MS Gothic" w:hAnsi="MS Gothic" w:eastAsia="MS Gothic" w:cs="MS Gothic"/>
        </w:rPr>
        <w:t>している</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ورود تعمید (دریای سرخ، رود اردن و رود اردن)، نخستین از آنِ موسی و آخرین از آنِ مسیح؛ پس موسی آلفا است و مسیح اُمگا. حرفِ میانِ نخستین و بیست‌ودومین حروفِ الفبای عبری، یعنی حرف سیزدهم، چون پیوسته شود و در پیِ حرفِ نخست قرار گیرد، و آن‌گاه به حرفِ آخر و بیست‌ودوم نیز متصل گردد، واژهٔ عبریِ «حقیقت» را پدید می‌آورد. تعمید میانی، رود اردن و قادش بود. تعمید نخست در دریای سرخ، با تعمید در اردن دنبال شد. اما نخستین تعمید در اردن تا چهل سال به تعویق افتاد، تا دیدار دوم از قادش و تعمید واقعیِ اردن. تعمید سوم، که نمایانگر زمانِ تفقد از یهودیان بود، فرارسیده بود، آنگاه که مسیح کار خویش را در استوار ساختن عهد برای یک هفته، در تحقق دانیال باب نهم و آیهٔ بیست‌وهفت، آغاز کرد؛ و آن، ساعتِ داوری برای اسرائیلِ باستان بود.</w:t>
      </w:r>
    </w:p>
    <w:p>
      <w:pPr>
        <w:pStyle w:val="ArticleBody"/>
        <w:jc w:val="left"/>
      </w:pPr>
      <w:r>
        <w:rPr>
          <w:rFonts w:ascii="Times New Roman" w:hAnsi="Times New Roman" w:eastAsia="Times New Roman" w:cs="Times New Roman"/>
        </w:rPr>
        <w:t>Baptisma ea pele Leoatleng le Lefubelu ke molaetsa oa lengeloi la pele, ’me maeto a mabeli a ho ea Kadeshe a emela “ho menahana habeli”, hobane ketelo ea pele ea Kadeshe le Nōka ea Jordane ke moo borabele ba batho ba selekane sa Molimo bo emeloang teng, ’me Kadesheng ea bobeli borabele ba boetapele bo bonahatsoa. Kadeshe le maeto ao a mabeli li emela ho menahana habeli ha molaetsa oa lengeloi la bobeli moo lihlopha tse peli li bonahatsoang, ’me lihlopha tseo ka bobeli li emeloa ka baahi hape le ka boetapele. Kolobetso ea Kreste ke molaetsa oa lengeloi la boraro ha koro le mofoka li aroloa joalokaha Iseraele ea boholo-holo e ile ea aroloa ho monyaluoa oa Bokreste eo Kreste a ileng a mo nyala nakong ea hora ea kahlolo ea Iseraele ea boholo-holo.</w:t>
      </w:r>
    </w:p>
    <w:p>
      <w:pPr>
        <w:pStyle w:val="ArticleBody"/>
        <w:jc w:val="left"/>
      </w:pPr>
      <w:r>
        <w:rPr>
          <w:rFonts w:ascii="Times New Roman" w:hAnsi="Times New Roman" w:eastAsia="Times New Roman" w:cs="Times New Roman"/>
        </w:rPr>
        <w:t>Le temps allant de 1844 à 1863 correspond à la mer Rouge jusqu’à la première rébellion à Kadès. 1844 est le passage de la mer Rouge, 1846 est la manne, symbole de l’épreuve du sabbat que les White ont traversée avec succès en 1846, lorsqu’ils se marièrent. En 1849, le Seigneur étendit sa main une seconde fois pour rassembler son peuple. Il l’avait rassemblé durant le message du premier ange, lorsque la première des tables de Habacuc apparut dans l’histoire, et la seconde table fut destinée au même dessein.</w:t>
      </w:r>
    </w:p>
    <w:p>
      <w:pPr>
        <w:pStyle w:val="ArticleBody"/>
        <w:jc w:val="left"/>
      </w:pPr>
      <w:r>
        <w:rPr>
          <w:rFonts w:ascii="Times New Roman" w:hAnsi="Times New Roman" w:eastAsia="Times New Roman" w:cs="Times New Roman"/>
        </w:rPr>
        <w:t>Tau omega 1850 zedna varka koirend maip sind jurn, aev for that is what tau alpha 1843 zedna varka did. Tau first aengel had a zedna varka, an tau third aengel also had a zedna varka, for tau first is tau alpha an tau third is tau omega. Tau “two tables” are waymarks of tau first an third aengel’s—not tau second. Tau prophetic period of tau “tables” begins with a zedna varka with error an ends with a zedna varka with no error. Tau history between tau two tables is tau history of tau second aengel, where tau chart is set aside until 1850.</w:t>
      </w:r>
    </w:p>
    <w:p>
      <w:pPr>
        <w:pStyle w:val="ArticleBody"/>
        <w:jc w:val="left"/>
      </w:pPr>
      <w:r>
        <w:rPr>
          <w:rFonts w:ascii="Times New Roman" w:hAnsi="Times New Roman" w:eastAsia="Times New Roman" w:cs="Times New Roman"/>
        </w:rPr>
        <w:t xml:space="preserve">1843 </w:t>
      </w:r>
      <w:r>
        <w:rPr>
          <w:rFonts w:ascii="Sylfaen" w:hAnsi="Sylfaen" w:eastAsia="Sylfaen" w:cs="Sylfaen"/>
        </w:rPr>
        <w:t>წლის</w:t>
      </w:r>
      <w:r>
        <w:rPr>
          <w:rFonts w:ascii="Times New Roman" w:hAnsi="Times New Roman" w:eastAsia="Times New Roman" w:cs="Times New Roman"/>
        </w:rPr>
        <w:t xml:space="preserve"> </w:t>
      </w:r>
      <w:r>
        <w:rPr>
          <w:rFonts w:ascii="Sylfaen" w:hAnsi="Sylfaen" w:eastAsia="Sylfaen" w:cs="Sylfaen"/>
        </w:rPr>
        <w:t>დასრულების</w:t>
      </w:r>
      <w:r>
        <w:rPr>
          <w:rFonts w:ascii="Times New Roman" w:hAnsi="Times New Roman" w:eastAsia="Times New Roman" w:cs="Times New Roman"/>
        </w:rPr>
        <w:t xml:space="preserve"> </w:t>
      </w:r>
      <w:r>
        <w:rPr>
          <w:rFonts w:ascii="Sylfaen" w:hAnsi="Sylfaen" w:eastAsia="Sylfaen" w:cs="Sylfaen"/>
        </w:rPr>
        <w:t>შემდეგ</w:t>
      </w:r>
      <w:r>
        <w:rPr>
          <w:rFonts w:ascii="Times New Roman" w:hAnsi="Times New Roman" w:eastAsia="Times New Roman" w:cs="Times New Roman"/>
        </w:rPr>
        <w:t xml:space="preserve">, 1844 </w:t>
      </w:r>
      <w:r>
        <w:rPr>
          <w:rFonts w:ascii="Sylfaen" w:hAnsi="Sylfaen" w:eastAsia="Sylfaen" w:cs="Sylfaen"/>
        </w:rPr>
        <w:t>წლის</w:t>
      </w:r>
      <w:r>
        <w:rPr>
          <w:rFonts w:ascii="Times New Roman" w:hAnsi="Times New Roman" w:eastAsia="Times New Roman" w:cs="Times New Roman"/>
        </w:rPr>
        <w:t xml:space="preserve"> 19 </w:t>
      </w:r>
      <w:r>
        <w:rPr>
          <w:rFonts w:ascii="Sylfaen" w:hAnsi="Sylfaen" w:eastAsia="Sylfaen" w:cs="Sylfaen"/>
        </w:rPr>
        <w:t>აპრილს</w:t>
      </w:r>
      <w:r>
        <w:rPr>
          <w:rFonts w:ascii="Times New Roman" w:hAnsi="Times New Roman" w:eastAsia="Times New Roman" w:cs="Times New Roman"/>
        </w:rPr>
        <w:t xml:space="preserve">, 1843 </w:t>
      </w:r>
      <w:r>
        <w:rPr>
          <w:rFonts w:ascii="Sylfaen" w:hAnsi="Sylfaen" w:eastAsia="Sylfaen" w:cs="Sylfaen"/>
        </w:rPr>
        <w:t>წლის</w:t>
      </w:r>
      <w:r>
        <w:rPr>
          <w:rFonts w:ascii="Times New Roman" w:hAnsi="Times New Roman" w:eastAsia="Times New Roman" w:cs="Times New Roman"/>
        </w:rPr>
        <w:t xml:space="preserve"> </w:t>
      </w:r>
      <w:r>
        <w:rPr>
          <w:rFonts w:ascii="Sylfaen" w:hAnsi="Sylfaen" w:eastAsia="Sylfaen" w:cs="Sylfaen"/>
        </w:rPr>
        <w:t>დიაგრამა</w:t>
      </w:r>
      <w:r>
        <w:rPr>
          <w:rFonts w:ascii="Times New Roman" w:hAnsi="Times New Roman" w:eastAsia="Times New Roman" w:cs="Times New Roman"/>
        </w:rPr>
        <w:t xml:space="preserve"> </w:t>
      </w:r>
      <w:r>
        <w:rPr>
          <w:rFonts w:ascii="Sylfaen" w:hAnsi="Sylfaen" w:eastAsia="Sylfaen" w:cs="Sylfaen"/>
        </w:rPr>
        <w:t>გვერდზე</w:t>
      </w:r>
      <w:r>
        <w:rPr>
          <w:rFonts w:ascii="Times New Roman" w:hAnsi="Times New Roman" w:eastAsia="Times New Roman" w:cs="Times New Roman"/>
        </w:rPr>
        <w:t xml:space="preserve"> </w:t>
      </w:r>
      <w:r>
        <w:rPr>
          <w:rFonts w:ascii="Sylfaen" w:hAnsi="Sylfaen" w:eastAsia="Sylfaen" w:cs="Sylfaen"/>
        </w:rPr>
        <w:t>გადაიდო</w:t>
      </w:r>
      <w:r>
        <w:rPr>
          <w:rFonts w:ascii="Times New Roman" w:hAnsi="Times New Roman" w:eastAsia="Times New Roman" w:cs="Times New Roman"/>
        </w:rPr>
        <w:t xml:space="preserve">, </w:t>
      </w:r>
      <w:r>
        <w:rPr>
          <w:rFonts w:ascii="Sylfaen" w:hAnsi="Sylfaen" w:eastAsia="Sylfaen" w:cs="Sylfaen"/>
        </w:rPr>
        <w:t>რადგან</w:t>
      </w:r>
      <w:r>
        <w:rPr>
          <w:rFonts w:ascii="Times New Roman" w:hAnsi="Times New Roman" w:eastAsia="Times New Roman" w:cs="Times New Roman"/>
        </w:rPr>
        <w:t xml:space="preserve"> </w:t>
      </w:r>
      <w:r>
        <w:rPr>
          <w:rFonts w:ascii="Sylfaen" w:hAnsi="Sylfaen" w:eastAsia="Sylfaen" w:cs="Sylfaen"/>
        </w:rPr>
        <w:t>მან</w:t>
      </w:r>
      <w:r>
        <w:rPr>
          <w:rFonts w:ascii="Times New Roman" w:hAnsi="Times New Roman" w:eastAsia="Times New Roman" w:cs="Times New Roman"/>
        </w:rPr>
        <w:t xml:space="preserve"> </w:t>
      </w:r>
      <w:r>
        <w:rPr>
          <w:rFonts w:ascii="Sylfaen" w:hAnsi="Sylfaen" w:eastAsia="Sylfaen" w:cs="Sylfaen"/>
        </w:rPr>
        <w:t>მაშინ</w:t>
      </w:r>
      <w:r>
        <w:rPr>
          <w:rFonts w:ascii="Times New Roman" w:hAnsi="Times New Roman" w:eastAsia="Times New Roman" w:cs="Times New Roman"/>
        </w:rPr>
        <w:t xml:space="preserve"> </w:t>
      </w:r>
      <w:r>
        <w:rPr>
          <w:rFonts w:ascii="Sylfaen" w:hAnsi="Sylfaen" w:eastAsia="Sylfaen" w:cs="Sylfaen"/>
        </w:rPr>
        <w:t>შეცდომით</w:t>
      </w:r>
      <w:r>
        <w:rPr>
          <w:rFonts w:ascii="Times New Roman" w:hAnsi="Times New Roman" w:eastAsia="Times New Roman" w:cs="Times New Roman"/>
        </w:rPr>
        <w:t xml:space="preserve"> </w:t>
      </w:r>
      <w:r>
        <w:rPr>
          <w:rFonts w:ascii="Sylfaen" w:hAnsi="Sylfaen" w:eastAsia="Sylfaen" w:cs="Sylfaen"/>
        </w:rPr>
        <w:t>იწინასწარმეტყველა</w:t>
      </w:r>
      <w:r>
        <w:rPr>
          <w:rFonts w:ascii="Times New Roman" w:hAnsi="Times New Roman" w:eastAsia="Times New Roman" w:cs="Times New Roman"/>
        </w:rPr>
        <w:t xml:space="preserve"> 1843 </w:t>
      </w:r>
      <w:r>
        <w:rPr>
          <w:rFonts w:ascii="Sylfaen" w:hAnsi="Sylfaen" w:eastAsia="Sylfaen" w:cs="Sylfaen"/>
        </w:rPr>
        <w:t>წელი</w:t>
      </w:r>
      <w:r>
        <w:rPr>
          <w:rFonts w:ascii="Times New Roman" w:hAnsi="Times New Roman" w:eastAsia="Times New Roman" w:cs="Times New Roman"/>
        </w:rPr>
        <w:t xml:space="preserve">. 1844 </w:t>
      </w:r>
      <w:r>
        <w:rPr>
          <w:rFonts w:ascii="Sylfaen" w:hAnsi="Sylfaen" w:eastAsia="Sylfaen" w:cs="Sylfaen"/>
        </w:rPr>
        <w:t>წლის</w:t>
      </w:r>
      <w:r>
        <w:rPr>
          <w:rFonts w:ascii="Times New Roman" w:hAnsi="Times New Roman" w:eastAsia="Times New Roman" w:cs="Times New Roman"/>
        </w:rPr>
        <w:t xml:space="preserve"> 19 </w:t>
      </w:r>
      <w:r>
        <w:rPr>
          <w:rFonts w:ascii="Sylfaen" w:hAnsi="Sylfaen" w:eastAsia="Sylfaen" w:cs="Sylfaen"/>
        </w:rPr>
        <w:t>აპრილიდან</w:t>
      </w:r>
      <w:r>
        <w:rPr>
          <w:rFonts w:ascii="Times New Roman" w:hAnsi="Times New Roman" w:eastAsia="Times New Roman" w:cs="Times New Roman"/>
        </w:rPr>
        <w:t xml:space="preserve"> 1850 </w:t>
      </w:r>
      <w:r>
        <w:rPr>
          <w:rFonts w:ascii="Sylfaen" w:hAnsi="Sylfaen" w:eastAsia="Sylfaen" w:cs="Sylfaen"/>
        </w:rPr>
        <w:t>წლამდე</w:t>
      </w:r>
      <w:r>
        <w:rPr>
          <w:rFonts w:ascii="Times New Roman" w:hAnsi="Times New Roman" w:eastAsia="Times New Roman" w:cs="Times New Roman"/>
        </w:rPr>
        <w:t xml:space="preserve"> </w:t>
      </w:r>
      <w:r>
        <w:rPr>
          <w:rFonts w:ascii="Sylfaen" w:hAnsi="Sylfaen" w:eastAsia="Sylfaen" w:cs="Sylfaen"/>
        </w:rPr>
        <w:t>არ</w:t>
      </w:r>
      <w:r>
        <w:rPr>
          <w:rFonts w:ascii="Times New Roman" w:hAnsi="Times New Roman" w:eastAsia="Times New Roman" w:cs="Times New Roman"/>
        </w:rPr>
        <w:t xml:space="preserve"> </w:t>
      </w:r>
      <w:r>
        <w:rPr>
          <w:rFonts w:ascii="Sylfaen" w:hAnsi="Sylfaen" w:eastAsia="Sylfaen" w:cs="Sylfaen"/>
        </w:rPr>
        <w:t>არსებობს</w:t>
      </w:r>
      <w:r>
        <w:rPr>
          <w:rFonts w:ascii="Times New Roman" w:hAnsi="Times New Roman" w:eastAsia="Times New Roman" w:cs="Times New Roman"/>
        </w:rPr>
        <w:t xml:space="preserve"> </w:t>
      </w:r>
      <w:r>
        <w:rPr>
          <w:rFonts w:ascii="Sylfaen" w:hAnsi="Sylfaen" w:eastAsia="Sylfaen" w:cs="Sylfaen"/>
        </w:rPr>
        <w:t>აბაკუმის</w:t>
      </w:r>
      <w:r>
        <w:rPr>
          <w:rFonts w:ascii="Times New Roman" w:hAnsi="Times New Roman" w:eastAsia="Times New Roman" w:cs="Times New Roman"/>
        </w:rPr>
        <w:t xml:space="preserve"> </w:t>
      </w:r>
      <w:r>
        <w:rPr>
          <w:rFonts w:ascii="Sylfaen" w:hAnsi="Sylfaen" w:eastAsia="Sylfaen" w:cs="Sylfaen"/>
        </w:rPr>
        <w:t>ტაბულა</w:t>
      </w:r>
      <w:r>
        <w:rPr>
          <w:rFonts w:ascii="Times New Roman" w:hAnsi="Times New Roman" w:eastAsia="Times New Roman" w:cs="Times New Roman"/>
        </w:rPr>
        <w:t xml:space="preserve">. </w:t>
      </w:r>
      <w:r>
        <w:rPr>
          <w:rFonts w:ascii="Sylfaen" w:hAnsi="Sylfaen" w:eastAsia="Sylfaen" w:cs="Sylfaen"/>
        </w:rPr>
        <w:t>მეორე</w:t>
      </w:r>
      <w:r>
        <w:rPr>
          <w:rFonts w:ascii="Times New Roman" w:hAnsi="Times New Roman" w:eastAsia="Times New Roman" w:cs="Times New Roman"/>
        </w:rPr>
        <w:t xml:space="preserve"> </w:t>
      </w:r>
      <w:r>
        <w:rPr>
          <w:rFonts w:ascii="Sylfaen" w:hAnsi="Sylfaen" w:eastAsia="Sylfaen" w:cs="Sylfaen"/>
        </w:rPr>
        <w:t>ანგელოზის</w:t>
      </w:r>
      <w:r>
        <w:rPr>
          <w:rFonts w:ascii="Times New Roman" w:hAnsi="Times New Roman" w:eastAsia="Times New Roman" w:cs="Times New Roman"/>
        </w:rPr>
        <w:t xml:space="preserve"> </w:t>
      </w:r>
      <w:r>
        <w:rPr>
          <w:rFonts w:ascii="Sylfaen" w:hAnsi="Sylfaen" w:eastAsia="Sylfaen" w:cs="Sylfaen"/>
        </w:rPr>
        <w:t>ისტორიაში</w:t>
      </w:r>
      <w:r>
        <w:rPr>
          <w:rFonts w:ascii="Times New Roman" w:hAnsi="Times New Roman" w:eastAsia="Times New Roman" w:cs="Times New Roman"/>
        </w:rPr>
        <w:t xml:space="preserve"> </w:t>
      </w:r>
      <w:r>
        <w:rPr>
          <w:rFonts w:ascii="Sylfaen" w:hAnsi="Sylfaen" w:eastAsia="Sylfaen" w:cs="Sylfaen"/>
        </w:rPr>
        <w:t>არ</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დიაგრამა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w:t>
      </w:r>
      <w:r>
        <w:rPr>
          <w:rFonts w:ascii="Sylfaen" w:hAnsi="Sylfaen" w:eastAsia="Sylfaen" w:cs="Sylfaen"/>
        </w:rPr>
        <w:t>ბაბილონი</w:t>
      </w:r>
      <w:r>
        <w:rPr>
          <w:rFonts w:ascii="Times New Roman" w:hAnsi="Times New Roman" w:eastAsia="Times New Roman" w:cs="Times New Roman"/>
        </w:rPr>
        <w:t xml:space="preserve"> </w:t>
      </w:r>
      <w:r>
        <w:rPr>
          <w:rFonts w:ascii="Sylfaen" w:hAnsi="Sylfaen" w:eastAsia="Sylfaen" w:cs="Sylfaen"/>
        </w:rPr>
        <w:t>დაეცა</w:t>
      </w:r>
      <w:r>
        <w:rPr>
          <w:rFonts w:ascii="Times New Roman" w:hAnsi="Times New Roman" w:eastAsia="Times New Roman" w:cs="Times New Roman"/>
        </w:rPr>
        <w:t xml:space="preserve">. </w:t>
      </w:r>
      <w:r>
        <w:rPr>
          <w:rFonts w:ascii="Sylfaen" w:hAnsi="Sylfaen" w:eastAsia="Sylfaen" w:cs="Sylfaen"/>
        </w:rPr>
        <w:t>ალფა</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ტაბულა</w:t>
      </w:r>
      <w:r>
        <w:rPr>
          <w:rFonts w:ascii="Times New Roman" w:hAnsi="Times New Roman" w:eastAsia="Times New Roman" w:cs="Times New Roman"/>
        </w:rPr>
        <w:t xml:space="preserve">, </w:t>
      </w:r>
      <w:r>
        <w:rPr>
          <w:rFonts w:ascii="Sylfaen" w:hAnsi="Sylfaen" w:eastAsia="Sylfaen" w:cs="Sylfaen"/>
        </w:rPr>
        <w:t>ომეგა</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ტაბულა</w:t>
      </w:r>
      <w:r>
        <w:rPr>
          <w:rFonts w:ascii="Times New Roman" w:hAnsi="Times New Roman" w:eastAsia="Times New Roman" w:cs="Times New Roman"/>
        </w:rPr>
        <w:t xml:space="preserve">, </w:t>
      </w:r>
      <w:r>
        <w:rPr>
          <w:rFonts w:ascii="Sylfaen" w:hAnsi="Sylfaen" w:eastAsia="Sylfaen" w:cs="Sylfaen"/>
        </w:rPr>
        <w:t>ხოლო</w:t>
      </w:r>
      <w:r>
        <w:rPr>
          <w:rFonts w:ascii="Times New Roman" w:hAnsi="Times New Roman" w:eastAsia="Times New Roman" w:cs="Times New Roman"/>
        </w:rPr>
        <w:t xml:space="preserve"> </w:t>
      </w:r>
      <w:r>
        <w:rPr>
          <w:rFonts w:ascii="Sylfaen" w:hAnsi="Sylfaen" w:eastAsia="Sylfaen" w:cs="Sylfaen"/>
        </w:rPr>
        <w:t>შუაგული</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ბაბილონის</w:t>
      </w:r>
      <w:r>
        <w:rPr>
          <w:rFonts w:ascii="Times New Roman" w:hAnsi="Times New Roman" w:eastAsia="Times New Roman" w:cs="Times New Roman"/>
        </w:rPr>
        <w:t xml:space="preserve"> </w:t>
      </w:r>
      <w:r>
        <w:rPr>
          <w:rFonts w:ascii="Sylfaen" w:hAnsi="Sylfaen" w:eastAsia="Sylfaen" w:cs="Sylfaen"/>
        </w:rPr>
        <w:t>დაცემა</w:t>
      </w:r>
      <w:r>
        <w:rPr>
          <w:rFonts w:ascii="Times New Roman" w:hAnsi="Times New Roman" w:eastAsia="Times New Roman" w:cs="Times New Roman"/>
        </w:rPr>
        <w:t xml:space="preserve">; </w:t>
      </w:r>
      <w:r>
        <w:rPr>
          <w:rFonts w:ascii="Sylfaen" w:hAnsi="Sylfaen" w:eastAsia="Sylfaen" w:cs="Sylfaen"/>
        </w:rPr>
        <w:t>აჯანყების</w:t>
      </w:r>
      <w:r>
        <w:rPr>
          <w:rFonts w:ascii="Times New Roman" w:hAnsi="Times New Roman" w:eastAsia="Times New Roman" w:cs="Times New Roman"/>
        </w:rPr>
        <w:t xml:space="preserve"> </w:t>
      </w:r>
      <w:r>
        <w:rPr>
          <w:rFonts w:ascii="Sylfaen" w:hAnsi="Sylfaen" w:eastAsia="Sylfaen" w:cs="Sylfaen"/>
        </w:rPr>
        <w:t>სიმბოლო</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დაკავშირებულია</w:t>
      </w:r>
      <w:r>
        <w:rPr>
          <w:rFonts w:ascii="Times New Roman" w:hAnsi="Times New Roman" w:eastAsia="Times New Roman" w:cs="Times New Roman"/>
        </w:rPr>
        <w:t xml:space="preserve"> </w:t>
      </w:r>
      <w:r>
        <w:rPr>
          <w:rFonts w:ascii="Sylfaen" w:hAnsi="Sylfaen" w:eastAsia="Sylfaen" w:cs="Sylfaen"/>
        </w:rPr>
        <w:t>იმ</w:t>
      </w:r>
      <w:r>
        <w:rPr>
          <w:rFonts w:ascii="Times New Roman" w:hAnsi="Times New Roman" w:eastAsia="Times New Roman" w:cs="Times New Roman"/>
        </w:rPr>
        <w:t xml:space="preserve"> </w:t>
      </w:r>
      <w:r>
        <w:rPr>
          <w:rFonts w:ascii="Sylfaen" w:hAnsi="Sylfaen" w:eastAsia="Sylfaen" w:cs="Sylfaen"/>
        </w:rPr>
        <w:t>პერიოდთან</w:t>
      </w:r>
      <w:r>
        <w:rPr>
          <w:rFonts w:ascii="Times New Roman" w:hAnsi="Times New Roman" w:eastAsia="Times New Roman" w:cs="Times New Roman"/>
        </w:rPr>
        <w:t xml:space="preserve">, </w:t>
      </w:r>
      <w:r>
        <w:rPr>
          <w:rFonts w:ascii="Sylfaen" w:hAnsi="Sylfaen" w:eastAsia="Sylfaen" w:cs="Sylfaen"/>
        </w:rPr>
        <w:t>როცა</w:t>
      </w:r>
      <w:r>
        <w:rPr>
          <w:rFonts w:ascii="Times New Roman" w:hAnsi="Times New Roman" w:eastAsia="Times New Roman" w:cs="Times New Roman"/>
        </w:rPr>
        <w:t xml:space="preserve"> </w:t>
      </w:r>
      <w:r>
        <w:rPr>
          <w:rFonts w:ascii="Sylfaen" w:hAnsi="Sylfaen" w:eastAsia="Sylfaen" w:cs="Sylfaen"/>
        </w:rPr>
        <w:t>ტაბულა</w:t>
      </w:r>
      <w:r>
        <w:rPr>
          <w:rFonts w:ascii="Times New Roman" w:hAnsi="Times New Roman" w:eastAsia="Times New Roman" w:cs="Times New Roman"/>
        </w:rPr>
        <w:t xml:space="preserve"> </w:t>
      </w:r>
      <w:r>
        <w:rPr>
          <w:rFonts w:ascii="Sylfaen" w:hAnsi="Sylfaen" w:eastAsia="Sylfaen" w:cs="Sylfaen"/>
        </w:rPr>
        <w:t>არ</w:t>
      </w:r>
      <w:r>
        <w:rPr>
          <w:rFonts w:ascii="Times New Roman" w:hAnsi="Times New Roman" w:eastAsia="Times New Roman" w:cs="Times New Roman"/>
        </w:rPr>
        <w:t xml:space="preserve"> </w:t>
      </w:r>
      <w:r>
        <w:rPr>
          <w:rFonts w:ascii="Sylfaen" w:hAnsi="Sylfaen" w:eastAsia="Sylfaen" w:cs="Sylfaen"/>
        </w:rPr>
        <w:t>არსებობდა</w:t>
      </w:r>
      <w:r>
        <w:rPr>
          <w:rFonts w:ascii="Times New Roman" w:hAnsi="Times New Roman" w:eastAsia="Times New Roman" w:cs="Times New Roman"/>
        </w:rPr>
        <w:t xml:space="preserve">. </w:t>
      </w:r>
      <w:r>
        <w:rPr>
          <w:rFonts w:ascii="Sylfaen" w:hAnsi="Sylfaen" w:eastAsia="Sylfaen" w:cs="Sylfaen"/>
        </w:rPr>
        <w:t>აბაკუმის</w:t>
      </w:r>
      <w:r>
        <w:rPr>
          <w:rFonts w:ascii="Times New Roman" w:hAnsi="Times New Roman" w:eastAsia="Times New Roman" w:cs="Times New Roman"/>
        </w:rPr>
        <w:t xml:space="preserve"> </w:t>
      </w:r>
      <w:r>
        <w:rPr>
          <w:rFonts w:ascii="Sylfaen" w:hAnsi="Sylfaen" w:eastAsia="Sylfaen" w:cs="Sylfaen"/>
        </w:rPr>
        <w:t>ტაბულების</w:t>
      </w:r>
      <w:r>
        <w:rPr>
          <w:rFonts w:ascii="Times New Roman" w:hAnsi="Times New Roman" w:eastAsia="Times New Roman" w:cs="Times New Roman"/>
        </w:rPr>
        <w:t xml:space="preserve"> </w:t>
      </w:r>
      <w:r>
        <w:rPr>
          <w:rFonts w:ascii="Sylfaen" w:hAnsi="Sylfaen" w:eastAsia="Sylfaen" w:cs="Sylfaen"/>
        </w:rPr>
        <w:t>ისტორიულ</w:t>
      </w:r>
      <w:r>
        <w:rPr>
          <w:rFonts w:ascii="Times New Roman" w:hAnsi="Times New Roman" w:eastAsia="Times New Roman" w:cs="Times New Roman"/>
        </w:rPr>
        <w:t xml:space="preserve"> </w:t>
      </w:r>
      <w:r>
        <w:rPr>
          <w:rFonts w:ascii="Sylfaen" w:hAnsi="Sylfaen" w:eastAsia="Sylfaen" w:cs="Sylfaen"/>
        </w:rPr>
        <w:t>პერიოდს</w:t>
      </w:r>
      <w:r>
        <w:rPr>
          <w:rFonts w:ascii="Times New Roman" w:hAnsi="Times New Roman" w:eastAsia="Times New Roman" w:cs="Times New Roman"/>
        </w:rPr>
        <w:t xml:space="preserve"> </w:t>
      </w:r>
      <w:r>
        <w:rPr>
          <w:rFonts w:ascii="Sylfaen" w:hAnsi="Sylfaen" w:eastAsia="Sylfaen" w:cs="Sylfaen"/>
        </w:rPr>
        <w:t>ჭეშმარიტების</w:t>
      </w:r>
      <w:r>
        <w:rPr>
          <w:rFonts w:ascii="Times New Roman" w:hAnsi="Times New Roman" w:eastAsia="Times New Roman" w:cs="Times New Roman"/>
        </w:rPr>
        <w:t xml:space="preserve"> </w:t>
      </w:r>
      <w:r>
        <w:rPr>
          <w:rFonts w:ascii="Sylfaen" w:hAnsi="Sylfaen" w:eastAsia="Sylfaen" w:cs="Sylfaen"/>
        </w:rPr>
        <w:t>ხელწერა</w:t>
      </w:r>
      <w:r>
        <w:rPr>
          <w:rFonts w:ascii="Times New Roman" w:hAnsi="Times New Roman" w:eastAsia="Times New Roman" w:cs="Times New Roman"/>
        </w:rPr>
        <w:t xml:space="preserve"> </w:t>
      </w:r>
      <w:r>
        <w:rPr>
          <w:rFonts w:ascii="Sylfaen" w:hAnsi="Sylfaen" w:eastAsia="Sylfaen" w:cs="Sylfaen"/>
        </w:rPr>
        <w:t>ატყვია</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1850 mii fakkeenya Tulluu Siinaayiifi kenniinsa Seeraatiin bakka buufame. Taatee san Ayyaana Phanqosxeetti yaadatamee kabajame; yeroo sanatti buddeenoowwan raafaman lama ol kaafaman. Adeemsi buddeenoowwan raafaman ol kaasu, maxxansaa fi beeksisa gabatee sanaa Caamsaa 1842 keessatti, akkasumas seenaan bara 1849 yeroo gabateen lammaffaan qophaa’e fi bara 1850 yeroo inni argamu danda’e, isaaniin bakka buufama. Yeroon sun sarara Kiristoos keessatti guyyoota shantama du’aa ka’uu Isaa irraa jalqabee hamma Phanqosxeetti jiranidhaan bakka buufama; yeroo kun guyyoota afurtama, itti aansuunis kudhanitti qoodama.</w:t>
      </w:r>
    </w:p>
    <w:p>
      <w:pPr>
        <w:pStyle w:val="ArticleBody"/>
        <w:jc w:val="left"/>
      </w:pPr>
      <w:r>
        <w:rPr>
          <w:rFonts w:ascii="Times New Roman" w:hAnsi="Times New Roman" w:eastAsia="Times New Roman" w:cs="Times New Roman"/>
        </w:rPr>
        <w:t>En 1849, Christ étendait sa main une seconde fois, et en 1850 la seconde table de Habacuc était disponible, et le processus d’épreuve conduisant à Kadès avançait. En 1856 survint la dernière des dix épreuves de l’ancien Israël, lorsqu’une lumière nouvelle sur la révélation prophétique fondamentale de Miller fut publiée dans le périodique du mouvement. Pendant deux mille cinq cent vingt jours prophétiques, de 1856 à 1863, les espions entrèrent pour explorer le pays. En 1863, ils choisirent un nouveau chef pour les ramener en Égypte.</w:t>
      </w:r>
    </w:p>
    <w:p>
      <w:pPr>
        <w:pStyle w:val="ArticleBody"/>
        <w:jc w:val="left"/>
      </w:pPr>
      <w:r>
        <w:rPr>
          <w:rFonts w:ascii="Times New Roman" w:hAnsi="Times New Roman" w:eastAsia="Times New Roman" w:cs="Times New Roman"/>
        </w:rPr>
        <w:t>Nous poursuivrons ces vérités dans le prochain article.</w:t>
      </w:r>
    </w:p>
    <w:p>
      <w:pPr>
        <w:pStyle w:val="ArticleScripture"/>
        <w:jc w:val="left"/>
      </w:pPr>
      <w:r>
        <w:rPr>
          <w:rFonts w:ascii="Times New Roman" w:hAnsi="Times New Roman" w:eastAsia="Times New Roman" w:cs="Times New Roman"/>
        </w:rPr>
        <w:t>«У виђењу које ми је дато у Бордовилу, Вермонт, 10. децембра 1871, показано ми је да је положај мога мужа био веома тежак. На њему је почивао притисак бриге и рада. Његова браћа у служби нису имала да носе та бремена, и нису ценили његове трудове. Стални притисак на њега исцрпљивао га је умно и телесно. Показано ми је да је његов однос према Божјем народу био, у извесним погледима, сличан односу Мојсија према Израиљу. Било је оних који су роптали против Мојсија када су околности биле неповољне, а било је и оних који су роптали против њега.» Testimonies, volume 3, 85.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ya Yoeli na Kanisa la Waadventista Wasabato la Laodikia - Namba Kumi na Tatu</dc:title>
  <dc:subject/>
  <dc:creator>Jeff Pippenger</dc:creator>
  <cp:keywords/>
  <dc:description>Generated by ArticleDigger from joel\13_joel.json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