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Livre de Joël et l’Église adventiste du septième jour de Laodicée - Numéro quatorze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Nummer Fjorten</w:t>
      </w:r>
    </w:p>
    <w:p>
      <w:pPr>
        <w:pStyle w:val="ArticleBody"/>
        <w:jc w:val="left"/>
      </w:pPr>
      <w:r>
        <w:rPr>
          <w:rFonts w:ascii="Times New Roman" w:hAnsi="Times New Roman" w:eastAsia="Times New Roman" w:cs="Times New Roman"/>
        </w:rPr>
        <w:t>L’histoire des « œuvres merveilleuses de Dieu » est aussi représentée par la question prophétique : « jusqu’à quand ? » L’histoire figurée par ces deux symboles, ainsi que par beaucoup d’autres, représente le temps du scellement des cent quarante-quatre mille. Durant cette période, il y a un débat au sujet du véritable message de la pluie de l’arrière-saison et des nombreux autres faux messages de la pluie de l’arrière-saison. Il n’existe qu’un seul véritable message de la pluie de l’arrière-saison. Le fil narratif de l’histoire sacrée, dans laquelle Dieu accomplit Ses œuvres merveilleuses, est placé dans le contexte du livre de Joël, où le « vin nouveau » est retranché à une classe tandis qu’il est répandu sur l’autre classe.</w:t>
      </w:r>
    </w:p>
    <w:p>
      <w:pPr>
        <w:pStyle w:val="ArticleBody"/>
        <w:jc w:val="left"/>
      </w:pPr>
      <w:r>
        <w:rPr>
          <w:rFonts w:ascii="Times New Roman" w:hAnsi="Times New Roman" w:eastAsia="Times New Roman" w:cs="Times New Roman"/>
        </w:rPr>
        <w:t>Dans le livre de Joël se trouvent quelques contrastes qu’il convient de relever. La racine du mot « parabole » signifie « mettre à côté » et implique intrinsèquement un contraste entre deux catégories. Nous avons déjà abordé certains des « contrastes » dans le livre de Joël, en faisant remarquer que la couronne d’orgueil portée par les ivrognes qui gouvernent Jérusalem est mise en contraste avec ceux qui portent la couronne de gloire. Nous n’avons pas encore exposé en quoi le symbole de la joie est l’opposé, tout en étant la contrepartie, du fait d’être couvert de honte, mais il en est ainsi, et nous avons l’intention de le montrer. Le sujet de l’alpha et de l’oméga se trouve également dans le livre de Joël, et ce principe selon lequel le premier illustre le dernier est aussi confirmé par les deux sermons de Pierre dans le livre des Actes.</w:t>
      </w:r>
    </w:p>
    <w:p>
      <w:pPr>
        <w:pStyle w:val="ArticleBody"/>
        <w:jc w:val="left"/>
      </w:pPr>
      <w:r>
        <w:rPr>
          <w:rFonts w:ascii="Times New Roman" w:hAnsi="Times New Roman" w:eastAsia="Times New Roman" w:cs="Times New Roman"/>
        </w:rPr>
        <w:t>پەڕەی دووەمی کارەکانی نێردراوان لە ڕۆژی پەنجاکۆستا لە کاتژمێر 9ی بەیانی (کاتژمێری سێیەم) ڕوودەدات، و پەڕەی سێیەم کاتژمێری نۆیەمە (3ی دوای نیوەڕۆ)، کاتی قوربانیی ئێوارە. لە کارەکانی نێردراوان 2دا ئەو پەیامەی پەترۆس ڕایدەگەیەنێت لە ژووری سەرەوەی ماڵێکی تایبەتدا دەدرێت، بەڵام ووتارەکەی لە پەڕەی 3دا لە پەرستگادا پێشکەش دەکرێت. هەردووکیان بە بانگەواز بۆ تەوبە لە هەردوو کۆبوونەوەکەدا بە یەکەوە گرێدراون. هەمان پەیامە، لە دوو شوێنی جوگرافیایی، کە نیشانەی دووبارەبوونەوەیەک لەناو پەیامی پەنجاکۆستیدا پێشکەش دەکەن، ئەو پەیامەی کە لەنێوان حەوشە و پەرستگا دابەش بووە. لە ئاشکراکردنی 11دا، بە یوحەنا دەوترێت پەرستگا بپێوێت، بەڵام حەوشە بەجێبهێڵێت، چونکە دراوە بە نەتەوەکان.</w:t>
      </w:r>
    </w:p>
    <w:p>
      <w:pPr>
        <w:pStyle w:val="ArticleScripture"/>
        <w:jc w:val="left"/>
      </w:pPr>
      <w:r>
        <w:rPr>
          <w:rFonts w:ascii="Times New Roman" w:hAnsi="Times New Roman" w:eastAsia="Times New Roman" w:cs="Times New Roman"/>
        </w:rPr>
        <w:t>Ja minulle annettiin ruokoa muistuttava mittakeppi; ja enkeli seisoi sanoen: Nouse ja mittaa Jumalan temppeli ja alttari sekä ne, jotka siinä kumartaen palvovat. Mutta temppelin ulkopuolella oleva esipiha jätä pois äläkä mittaa sitä, sillä se on annettu pakanoille; ja pyhää kaupunkia he tallaavat jalkoihinsa neljäkymmentä kaksi kuukautta. Ilmestys 11:1, 2.</w:t>
      </w:r>
    </w:p>
    <w:p>
      <w:pPr>
        <w:pStyle w:val="ArticleBody"/>
        <w:jc w:val="left"/>
      </w:pPr>
      <w:r>
        <w:rPr>
          <w:rFonts w:ascii="Times New Roman" w:hAnsi="Times New Roman" w:eastAsia="Times New Roman" w:cs="Times New Roman"/>
        </w:rPr>
        <w:t>Aisa, ang pagdodoble ng dalawang sermon at ang paghahati ng kinalalagyan ng dalawang sermon ay kumikilala sa dalawang tagapakinig para sa huling ulan sa aklat ni Joel. Ang isang tagapakinig ay ang mga Gentil sa labas ng templo at ang isa naman ay ang mga Judio sa loob ng templo. Sa paghuhukom sa mga buhay, nauunang hatulan ang sambahayan ng Diyos, at mula 9/11 hanggang sa batas ng Linggo ang templo ang hinahatulan, at mula sa batas ng Linggo hanggang sa pagsasara ng palugit ng tao ang mga Gentil ang hinahatulan. Ang paghuhukom na iyon ay nagaganap sa panahon ng huling ulan na ipinakilala ni Pedro bilang inilahad sa aklat ni Joel. Kung ano ang kinakatawan ng looban (ang mga Gentil) at ng templo (ang iglesia ng Diyos) sa paghahating inilarawan sa Mga Gawa kabanata dalawa at tatlo, iyon din ang pagkakaibang makikita sa Joel ng unang ulan at ng huling ulan. Ang unang ulan ay dumating noong 9/11 at ibinubuhos habang ang templo ng Diyos ay hinahatulan. Kapag natapos ang prosesong iyon, ang huling ulan ay ibinubuhos sa mga Gentil sa looban.</w:t>
      </w:r>
    </w:p>
    <w:p>
      <w:pPr>
        <w:pStyle w:val="ArticleScripture"/>
        <w:jc w:val="left"/>
      </w:pPr>
      <w:r>
        <w:rPr>
          <w:rFonts w:ascii="Times New Roman" w:hAnsi="Times New Roman" w:eastAsia="Times New Roman" w:cs="Times New Roman"/>
        </w:rPr>
        <w:t>Réjouissez-vous donc, enfants de Sion, et soyez dans l’allégresse en l’Éternel, votre Dieu; car il vous a donné la première pluie dans une juste mesure, et il fera descendre pour vous la pluie, la première pluie et la dernière pluie, au premier mois. Joël 2:23.</w:t>
      </w:r>
    </w:p>
    <w:p>
      <w:pPr>
        <w:pStyle w:val="ArticleBody"/>
        <w:jc w:val="left"/>
      </w:pPr>
      <w:r>
        <w:rPr>
          <w:rFonts w:ascii="Times New Roman" w:hAnsi="Times New Roman" w:eastAsia="Times New Roman" w:cs="Times New Roman"/>
        </w:rPr>
        <w:t>Ce n’est pas ici mon propos d’identifier la distinction prophétique entre la joie et le fait d’avoir honte, mais le verset informe le peuple de Dieu de « se réjouir » à cause du message de la pluie de l’arrière-saison. Le message de la pluie de l’arrière-saison produit une joie prophétique dans le peuple de Dieu. Cela étant dit, le sujet de la première pluie, ou pluie de la saison hâtive, suivie de la pluie de l’arrière-saison, est une illustration de la pierre d’achoppement qui a été mise de côté et devant laquelle on s’est émerveillé. Le symbole de la pierre angulaire qui devient finalement la pierre de faîte est ce qui est merveilleux aux yeux de Dieu et de Son peuple.</w:t>
      </w:r>
    </w:p>
    <w:p>
      <w:pPr>
        <w:pStyle w:val="ArticleBody"/>
        <w:jc w:val="left"/>
      </w:pPr>
      <w:r>
        <w:rPr>
          <w:rFonts w:ascii="Microsoft YaHei" w:hAnsi="Microsoft YaHei" w:eastAsia="Microsoft YaHei" w:cs="Microsoft YaHei"/>
        </w:rPr>
        <w:t>复</w:t>
      </w:r>
      <w:r>
        <w:rPr>
          <w:rFonts w:ascii="Times New Roman" w:hAnsi="Times New Roman" w:eastAsia="Times New Roman" w:cs="Times New Roman"/>
        </w:rPr>
        <w:t xml:space="preserve"> عجیب کی سنگِ پیشن گوئی کے الفا اور اومیگا کی نمائندگی کرتی ہے۔ نبوتی اطلاق کے اعتبار سے الفا اور اومیگا کے اصول کی شناخت اُس کے کلام میں بار بار الفا اور اومیگا کے طور پر کی گئی ہے، اور وہی کلام ہے۔ اسی سبب سے، اس اصول کے متعلق جو کچھ ظاہر کیا گیا ہے، وہ ہم پر اور ہماری اولاد پر ہمیشہ کے لیے ظاہر کیا گیا ہے۔ سنہ 1863 بائبل کی پیشن گوئی کا سرے کا پتھر ہے، اور وہ 1844 سے 1863 تک تیسرے فرشتے کے دور کا بھی سرے کا پتھر ہے۔ 1844 بنیاد کا پتھر تھا، اور 1863 اُس نبوتی دور کا سرے کا پتھر۔ 1844 سے 1863 تک ایک قائم شدہ نبوتی دور ہے، بالکل اسی طرح قائم شدہ جیسے 538 سے 1798 تک۔ یہ حقیقت کہ نوعِ انسان کسی ایسی بات کو نہیں جانتا جسے خدا نے قائم کیا ہے، اُس چیز کو غیر قائم شدہ نہیں بنا دیتی!</w:t>
      </w:r>
    </w:p>
    <w:p>
      <w:pPr>
        <w:pStyle w:val="ArticleBody"/>
        <w:jc w:val="left"/>
      </w:pPr>
      <w:r>
        <w:rPr>
          <w:rFonts w:ascii="Times New Roman" w:hAnsi="Times New Roman" w:eastAsia="Times New Roman" w:cs="Times New Roman"/>
        </w:rPr>
        <w:t>Mi feni e pasin i bin go pas wantaim dispela tok i stap daunbilo.</w:t>
      </w:r>
    </w:p>
    <w:p>
      <w:pPr>
        <w:pStyle w:val="ArticleScripture"/>
        <w:jc w:val="left"/>
      </w:pPr>
      <w:r>
        <w:rPr>
          <w:rFonts w:ascii="Times New Roman" w:hAnsi="Times New Roman" w:eastAsia="Times New Roman" w:cs="Times New Roman"/>
        </w:rPr>
        <w:t>« On m’a montré que sa relation avec le peuple de Dieu était, à certains égards, semblable à celle de Moïse envers Israël. Il y eut des murmures contre Moïse, lorsque les circonstances étaient défavorables, et il y a eu des murmures contre lui. » Testimonies, volume 3, 85.</w:t>
      </w:r>
    </w:p>
    <w:p>
      <w:pPr>
        <w:pStyle w:val="ArticleBody"/>
        <w:jc w:val="left"/>
      </w:pPr>
      <w:r>
        <w:rPr>
          <w:rFonts w:ascii="Times New Roman" w:hAnsi="Times New Roman" w:eastAsia="Times New Roman" w:cs="Times New Roman"/>
        </w:rPr>
        <w:t>Em 1863, James White representava “em certos aspectos” “Moisés para Israel”.</w:t>
      </w:r>
    </w:p>
    <w:p>
      <w:pPr>
        <w:pStyle w:val="ArticleBody"/>
        <w:jc w:val="left"/>
      </w:pPr>
      <w:r>
        <w:rPr>
          <w:rFonts w:ascii="Times New Roman" w:hAnsi="Times New Roman" w:eastAsia="Times New Roman" w:cs="Times New Roman"/>
        </w:rPr>
        <w:t>Заман аз соли 1844 то 1863 дар давраи наҷот аз баҳри Сурх то Қодеши аввал намуна ёфта буд. Қодеши аввал алфа аст ва Қодеши дуюм омега — ва ин ду давраи чиҳилсоларо нишон медиҳад, ки ба Қодеш мерасанд ва ҳар ду бо исён анҷом ёфтанд.</w:t>
      </w:r>
    </w:p>
    <w:p>
      <w:pPr>
        <w:pStyle w:val="ArticleBody"/>
        <w:jc w:val="left"/>
      </w:pPr>
      <w:r>
        <w:rPr>
          <w:rFonts w:ascii="Times New Roman" w:hAnsi="Times New Roman" w:eastAsia="Times New Roman" w:cs="Times New Roman"/>
        </w:rPr>
        <w:t>Le véritable don de prophétie met en parallèle le passage de la mer Rouge avec la grande déception de 1844. La Bible met en parallèle le passage de la mer Rouge avec la croix, et Sœur White confirme que la déception des disciples à la croix préfigurait la grande déception de 1844. La volonté du Seigneur était d’entrer directement dans la Terre promise, et le repère géographique de l’entrée dans la Terre promise était Jéricho, où, en cette deuxième semaine de décembre 2025, les archéologues viennent précisément de mettre au jour l’ancienne Jéricho — pour constater avec consternation que les murailles écroulées qu’ils y ont découvertes étaient toutes tombées vers l’extérieur, et non vers l’intérieur, comme cela se produit toujours lors d’un siège. Dans un siège antique, les murailles étaient battues, renversées et poussées vers l’intérieur. Il n’en fut pas ainsi pour Jéricho.</w:t>
      </w:r>
    </w:p>
    <w:p>
      <w:pPr>
        <w:pStyle w:val="ArticleScripture"/>
        <w:jc w:val="left"/>
      </w:pPr>
      <w:r>
        <w:rPr>
          <w:rFonts w:ascii="Times New Roman" w:hAnsi="Times New Roman" w:eastAsia="Times New Roman" w:cs="Times New Roman"/>
        </w:rPr>
        <w:t>Acchaan yeroo luboonni malakata afuufanitti namoonni iyyan; yeroo namoonni sagalee malakataa dhaga’anitti, namoonnis iyyata guddaadhaan iyyan; dallaan sunis diriiree ni kufe; kanaaf namoonni hundinuu tokkoon tokkoon isaanii kallattii isaanii duratti qajeelanii gara magaalaatti ol ba’an, magaalattis ni qabatan. Iyyaasuu 6:20.</w:t>
      </w:r>
    </w:p>
    <w:p>
      <w:pPr>
        <w:pStyle w:val="ArticleBody"/>
        <w:jc w:val="left"/>
      </w:pPr>
      <w:r>
        <w:rPr>
          <w:rFonts w:ascii="Times New Roman" w:hAnsi="Times New Roman" w:eastAsia="Times New Roman" w:cs="Times New Roman"/>
        </w:rPr>
        <w:t>Arkeologerna fann också krukor med mat, vilket visar att när murarna föll var det inte fråga om någon långvarig belägring. Detta besvarade även en fråga inom den arkeologiska gruppen om varför den bibliska skildringen av Jerikos fall beskriver att de gick ”upp” in i Jeriko över en kulle eller ramp, vilken man nu vet uppstod när murarna föll utåt.</w:t>
      </w:r>
    </w:p>
    <w:p>
      <w:pPr>
        <w:pStyle w:val="ArticleBody"/>
        <w:jc w:val="left"/>
      </w:pPr>
      <w:r>
        <w:rPr>
          <w:rFonts w:ascii="Times New Roman" w:hAnsi="Times New Roman" w:eastAsia="Times New Roman" w:cs="Times New Roman"/>
        </w:rPr>
        <w:t>A primeira barreira que anunciou a entrada na Terra Prometida foi Jericó, uma cidade de influência e riqueza. Jericó é 1863, e Jericó é um tema da profecia bíblica, não apenas como ilustração do período da lei dominical, mas também em conexão com a sua queda e o seu levantamento. Jericó também tinha a sua própria maldição profética específica pronunciada contra ela. Josué pronunciou uma maldição sobre o homem que reedificasse Jericó, e, ao fazê-lo, identificou que o homem que reedificasse Jericó perderia seus filhos mais novo e mais velho na reedificação daquela cidade amaldiçoada. Um filho seria perdido no lançamento do fundamento, e o outro, no levantamento da porta. Essa profecia se cumpriu, e o registro do seu cumprimento está consignado na Bíblia, fazendo de Jericó um símbolo bíblico estabelecido.</w:t>
      </w:r>
    </w:p>
    <w:p>
      <w:pPr>
        <w:pStyle w:val="ArticleBody"/>
        <w:jc w:val="left"/>
      </w:pPr>
      <w:r>
        <w:rPr>
          <w:rFonts w:ascii="Times New Roman" w:hAnsi="Times New Roman" w:eastAsia="Times New Roman" w:cs="Times New Roman"/>
        </w:rPr>
        <w:t>Nan lanmò istorik li a, ak nan madichon pwofetik li a, ki te swiv pa akonplisman istorik pwofesi sa a, nou jwenn twa temwen k ap pale konsènan Jeriko an 1863. Tout twa temwayaj sa yo dwe aplike a 1863. Twa temwen sa yo kanpe ansanm menm jan twa Moyiz kanpe ansanm pwofetikman nan fen peryòd karant ane pa yo. Youn nan peryòd karant ane sa yo byen klè aliyen ak istwa Millerit la, sa ki etabli ke tout twa reprezantasyon Moyiz yo nan fen chak peryòd karant ane aliyen ak istwa 1863 la—istwa twazyèm zanj lan.</w:t>
      </w:r>
    </w:p>
    <w:p>
      <w:pPr>
        <w:pStyle w:val="ArticleBody"/>
        <w:jc w:val="left"/>
      </w:pPr>
      <w:r>
        <w:rPr>
          <w:rFonts w:ascii="Times New Roman" w:hAnsi="Times New Roman" w:eastAsia="Times New Roman" w:cs="Times New Roman"/>
        </w:rPr>
        <w:t>Mosee araggaa afurtamaa isaa keessaa ragaawwan sadii keessaa lama Qaadeeshitti xumuramu; xumuri sadaffaan waggoota afurtamaa sun laga Yordaanos ture, xumuri lammaffaanis Galaana Diimaa ture. Xumuri waggoota afurtamaa isa jalqabaa immoo Museen Gibxii keessaa baqachuu isaa ture. Isaan sadan iyyuu baqannaa Gibxii keessaa ta’e tokko ibsu; kunis raajii Abrahaam waa’ee waggoota dhibba afurii fi soddomman garbummaa Gibxii keessatti raawwatame guutuu keessatti ta’e.</w:t>
      </w:r>
    </w:p>
    <w:p>
      <w:pPr>
        <w:pStyle w:val="ArticleBody"/>
        <w:jc w:val="left"/>
      </w:pPr>
      <w:r>
        <w:rPr>
          <w:rFonts w:ascii="Times New Roman" w:hAnsi="Times New Roman" w:eastAsia="Times New Roman" w:cs="Times New Roman"/>
        </w:rPr>
        <w:t>Những giai đoạn bốn mươi năm của Môi-se, mà sự kết thúc của chúng (đỉnh điểm) tượng trưng cho một hình bóng về sự giải cứu khỏi Ai Cập, là sự ứng nghiệm lời tiên tri của Áp-ra-ham về cảnh nô lệ trong ách Ai Cập và sự giải cứu ra khỏi đó. Là đấng giải cứu đã được báo trước của lời hứa giao ước với Áp-ra-ham, chính Môi-se khởi đầu bằng việc được cứu khỏi nước, đúng như ý nghĩa tên của ông. Sau đó, Môi-se dẫn dắt dân Đức Chúa Trời đi qua làn nước của Biển Đỏ, rồi tiếp đến bờ bến của sự giải cứu, được biểu trưng bởi sông Giô-đanh. Alpha của đời Môi-se là sự cứu khỏi nước sông Nin, và omega là sự cứu rỗi được biểu trưng bởi nước sông Giô-đanh. Alpha của đời Môi-se, được minh họa qua kinh nghiệm được xác định bởi tên ông và cha mẹ ông, là thế này: cha mẹ tin kính của ông biết rằng hài nhi ấy đã bị định án tử, cũng như ông sẽ như vậy bốn mươi năm sau khi giết người Ai Cập. Là những bậc cha mẹ tin kính, biết rằng con trai mình cần được cứu khỏi án tử, họ đã chuẩn bị cho ông một chiếc hòm, chiếc hòm đã đi từ thế giới Hê-bơ-rơ sang thế giới Ai Cập, cũng như Môi-se, vào cuối bốn mươi năm, đã rời thế giới Ai Cập để đến với thế giới Hê-bơ-rơ.</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अब्राहम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अब्राहम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शिशु</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हस्तांतरण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टोकरी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Tse ndụ Moses malitere site n’ịbụ ihe atụ nke baptizim nke Igbe Noa. Nke a pụtara, ya mere, na site ná mmalite, a na-ejikọta ọnụọgụgụ “8” na Moses, n’ihi na mgbọrọgwụ nke mmekọrịta ọgbụgba ndụ ya sitere n’ọnụọgụgụ “8” nke ọgbụgba ndụ Noa, ọrụ ya kwa bụ iwulite emume ibi úgwù n’ụbọchị nke “asatọ.” E mesịrị a nwara ya, o wee daa n’ihe metụtara kpọmkwem emume ahụ. Ndụ Moses malitere site na baptizim, afọ iri anọ ka e mesịrị e nwere ọnwụ (nke onye Ijipt) nke kpọrọ akara ebe Moses onye Ijipt nwụrụ, bụrụkwa naanị nwa Abraham. Mmalite na njedebe nke afọ iri anọ mbụ nke Moses ka a na-anọchi anya site na baptizim. Nke mbụ gosiri mgbanwe site n’ịbụ onye Hibru gaa n’ịbụ onye Ijipt, nke ikpeazụ kwa site n’ịbụ onye Ijipt gaa n’ịbụ onye Hibru. Afọ iri anọ ka nke ahụ gasịrị, Moses duuru ndị nke Chineke gafee baptizim nke Oké Osimiri Uhie, n’ụzọ ya na-aga baptizim na Jọdan, nke ọ na-eruteghị.</w:t>
      </w:r>
    </w:p>
    <w:p>
      <w:pPr>
        <w:pStyle w:val="ArticleBody"/>
        <w:jc w:val="left"/>
      </w:pPr>
      <w:r>
        <w:rPr>
          <w:rFonts w:ascii="Times New Roman" w:hAnsi="Times New Roman" w:eastAsia="Times New Roman" w:cs="Times New Roman"/>
        </w:rPr>
        <w:t>ʼI n mutane bilong God aninit long stia bilong Joshua, ol i bin go insait long Graun Bilong Promis wantaim Moses i no stap, long wanem, em i dai liklik paslain long baptais bilong wara Jordan i kamap. Moses i bin tok, na Pita i ripitim, olsem Bikpela, God bilong yu, bai kirapim wanpela profet i wankain olsem Moses. Dispela Profet, em Moses i bin makim long piksa na sait bilong mak, em Krais, na Em i statim wok bilong Em stret long ples we Moses i lusim. Em i statim wok bilong Em long baptais bilong Em, na dispela baptais em stret dispela ples Joshua i bin baptaisim Israel bilong bipo taim ol i brukim Jordan na i go insait long Graun Bilong Promis. Ol gutnius i soim yumi olsem Jon i bin baptaisim long Bethabara, em ples bilong brukim wara, na mining bilong en em ples bilong pasis long boat.</w:t>
      </w:r>
    </w:p>
    <w:p>
      <w:pPr>
        <w:pStyle w:val="ArticleBody"/>
        <w:jc w:val="left"/>
      </w:pPr>
      <w:r>
        <w:rPr>
          <w:rFonts w:ascii="Times New Roman" w:hAnsi="Times New Roman" w:eastAsia="Times New Roman" w:cs="Times New Roman"/>
        </w:rPr>
        <w:t>La mer Rouge est le symbole de la rébellion de l’Égypte, identifiant dans cette ligne le témoignage prophétique de Moïse comme la vérité. Du fleuve Nil à la mer Rouge (parfois appelée un fleuve), puis jusqu’au Jourdain. Moïse, dont le nom signifie « sauvé des eaux », commence et achève son témoignage à l’eau de la délivrance, et chacune de ces eaux manifeste deux catégories d’adorateurs.</w:t>
      </w:r>
    </w:p>
    <w:p>
      <w:pPr>
        <w:pStyle w:val="ArticleBody"/>
        <w:jc w:val="left"/>
      </w:pPr>
      <w:r>
        <w:rPr>
          <w:rFonts w:ascii="Times New Roman" w:hAnsi="Times New Roman" w:eastAsia="Times New Roman" w:cs="Times New Roman"/>
        </w:rPr>
        <w:t>Vierzig Jahre Mose stellen die Botschaft des ersten Engels dar, und die zweiten vierzig Jahre den zweiten Engel, der dritte dementsprechend den dritten. Die drei Engel weisen jeweils ihre eigentümlichen prophetischen Merkmale auf; so ist es, dass alle drei Botschaften in der ersten Botschaft dargestellt sind. Dieses Phänomen haben wir seit Jahren öffentlich im Zusammenhang mit den ersten drei Kapiteln des Buches Daniel dargelegt.</w:t>
      </w:r>
    </w:p>
    <w:p>
      <w:pPr>
        <w:pStyle w:val="ArticleBody"/>
        <w:jc w:val="left"/>
      </w:pPr>
      <w:r>
        <w:rPr>
          <w:rFonts w:ascii="MS Gothic" w:hAnsi="MS Gothic" w:eastAsia="MS Gothic" w:cs="MS Gothic"/>
        </w:rPr>
        <w:t>ダニエルは</w:t>
      </w:r>
      <w:r>
        <w:rPr>
          <w:rFonts w:ascii="Microsoft YaHei" w:hAnsi="Microsoft YaHei" w:eastAsia="Microsoft YaHei" w:cs="Microsoft YaHei"/>
        </w:rPr>
        <w:t>第一章</w:t>
      </w:r>
      <w:r>
        <w:rPr>
          <w:rFonts w:ascii="MS Gothic" w:hAnsi="MS Gothic" w:eastAsia="MS Gothic" w:cs="MS Gothic"/>
        </w:rPr>
        <w:t>において</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畏</w:t>
      </w:r>
      <w:r>
        <w:rPr>
          <w:rFonts w:ascii="MS Gothic" w:hAnsi="MS Gothic" w:eastAsia="MS Gothic" w:cs="MS Gothic"/>
        </w:rPr>
        <w:t>れ</w:t>
      </w:r>
      <w:r>
        <w:rPr>
          <w:rFonts w:ascii="Microsoft YaHei" w:hAnsi="Microsoft YaHei" w:eastAsia="Microsoft YaHei" w:cs="Microsoft YaHei"/>
        </w:rPr>
        <w:t>、</w:t>
      </w:r>
      <w:r>
        <w:rPr>
          <w:rFonts w:ascii="MS Gothic" w:hAnsi="MS Gothic" w:eastAsia="MS Gothic" w:cs="MS Gothic"/>
        </w:rPr>
        <w:t>バビロンの</w:t>
      </w:r>
      <w:r>
        <w:rPr>
          <w:rFonts w:ascii="Microsoft YaHei" w:hAnsi="Microsoft YaHei" w:eastAsia="Microsoft YaHei" w:cs="Microsoft YaHei"/>
        </w:rPr>
        <w:t>食物</w:t>
      </w:r>
      <w:r>
        <w:rPr>
          <w:rFonts w:ascii="MS Gothic" w:hAnsi="MS Gothic" w:eastAsia="MS Gothic" w:cs="MS Gothic"/>
        </w:rPr>
        <w:t>を</w:t>
      </w:r>
      <w:r>
        <w:rPr>
          <w:rFonts w:ascii="Microsoft YaHei" w:hAnsi="Microsoft YaHei" w:eastAsia="Microsoft YaHei" w:cs="Microsoft YaHei"/>
        </w:rPr>
        <w:t>食</w:t>
      </w:r>
      <w:r>
        <w:rPr>
          <w:rFonts w:ascii="MS Gothic" w:hAnsi="MS Gothic" w:eastAsia="MS Gothic" w:cs="MS Gothic"/>
        </w:rPr>
        <w:t>べることを</w:t>
      </w:r>
      <w:r>
        <w:rPr>
          <w:rFonts w:ascii="Microsoft YaHei" w:hAnsi="Microsoft YaHei" w:eastAsia="Microsoft YaHei" w:cs="Microsoft YaHei"/>
        </w:rPr>
        <w:t>拒</w:t>
      </w:r>
      <w:r>
        <w:rPr>
          <w:rFonts w:ascii="MS Gothic" w:hAnsi="MS Gothic" w:eastAsia="MS Gothic" w:cs="MS Gothic"/>
        </w:rPr>
        <w:t>み</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それに</w:t>
      </w:r>
      <w:r>
        <w:rPr>
          <w:rFonts w:ascii="Microsoft YaHei" w:hAnsi="Microsoft YaHei" w:eastAsia="Microsoft YaHei" w:cs="Microsoft YaHei"/>
        </w:rPr>
        <w:t>続</w:t>
      </w:r>
      <w:r>
        <w:rPr>
          <w:rFonts w:ascii="MS Gothic" w:hAnsi="MS Gothic" w:eastAsia="MS Gothic" w:cs="MS Gothic"/>
        </w:rPr>
        <w:t>く</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食物</w:t>
      </w:r>
      <w:r>
        <w:rPr>
          <w:rFonts w:ascii="MS Gothic" w:hAnsi="MS Gothic" w:eastAsia="MS Gothic" w:cs="MS Gothic"/>
        </w:rPr>
        <w:t>と</w:t>
      </w:r>
      <w:r>
        <w:rPr>
          <w:rFonts w:ascii="Microsoft YaHei" w:hAnsi="Microsoft YaHei" w:eastAsia="Microsoft YaHei" w:cs="Microsoft YaHei"/>
        </w:rPr>
        <w:t>視覚</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試練</w:t>
      </w:r>
      <w:r>
        <w:rPr>
          <w:rFonts w:ascii="MS Gothic" w:hAnsi="MS Gothic" w:eastAsia="MS Gothic" w:cs="MS Gothic"/>
        </w:rPr>
        <w:t>において</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栄光</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えられた</w:t>
      </w:r>
      <w:r>
        <w:rPr>
          <w:rFonts w:ascii="Times New Roman" w:hAnsi="Times New Roman" w:eastAsia="Times New Roman" w:cs="Times New Roman"/>
        </w:rPr>
        <w:t>.</w:t>
      </w:r>
      <w:r>
        <w:rPr>
          <w:rFonts w:ascii="MS Gothic" w:hAnsi="MS Gothic" w:eastAsia="MS Gothic" w:cs="MS Gothic"/>
        </w:rPr>
        <w:t>それが</w:t>
      </w:r>
      <w:r>
        <w:rPr>
          <w:rFonts w:ascii="Microsoft YaHei" w:hAnsi="Microsoft YaHei" w:eastAsia="Microsoft YaHei" w:cs="Microsoft YaHei"/>
        </w:rPr>
        <w:t>、</w:t>
      </w:r>
      <w:r>
        <w:rPr>
          <w:rFonts w:ascii="MS Gothic" w:hAnsi="MS Gothic" w:eastAsia="MS Gothic" w:cs="MS Gothic"/>
        </w:rPr>
        <w:t>ネブカドネツァル</w:t>
      </w:r>
      <w:r>
        <w:rPr>
          <w:rFonts w:ascii="Microsoft YaHei" w:hAnsi="Microsoft YaHei" w:eastAsia="Microsoft YaHei" w:cs="Microsoft YaHei"/>
        </w:rPr>
        <w:t>自身</w:t>
      </w:r>
      <w:r>
        <w:rPr>
          <w:rFonts w:ascii="MS Gothic" w:hAnsi="MS Gothic" w:eastAsia="MS Gothic" w:cs="MS Gothic"/>
        </w:rPr>
        <w:t>によって</w:t>
      </w:r>
      <w:r>
        <w:rPr>
          <w:rFonts w:ascii="Microsoft YaHei" w:hAnsi="Microsoft YaHei" w:eastAsia="Microsoft YaHei" w:cs="Microsoft YaHei"/>
        </w:rPr>
        <w:t>実行</w:t>
      </w:r>
      <w:r>
        <w:rPr>
          <w:rFonts w:ascii="MS Gothic" w:hAnsi="MS Gothic" w:eastAsia="MS Gothic" w:cs="MS Gothic"/>
        </w:rPr>
        <w:t>された</w:t>
      </w:r>
      <w:r>
        <w:rPr>
          <w:rFonts w:ascii="Microsoft YaHei" w:hAnsi="Microsoft YaHei" w:eastAsia="Microsoft YaHei" w:cs="Microsoft YaHei"/>
        </w:rPr>
        <w:t>審判</w:t>
      </w:r>
      <w:r>
        <w:rPr>
          <w:rFonts w:ascii="MS Gothic" w:hAnsi="MS Gothic" w:eastAsia="MS Gothic" w:cs="MS Gothic"/>
        </w:rPr>
        <w:t>と</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試練</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いた</w:t>
      </w:r>
      <w:r>
        <w:rPr>
          <w:rFonts w:ascii="Times New Roman" w:hAnsi="Times New Roman" w:eastAsia="Times New Roman" w:cs="Times New Roman"/>
        </w:rPr>
        <w:t>.</w:t>
      </w:r>
      <w:r>
        <w:rPr>
          <w:rFonts w:ascii="MS Gothic" w:hAnsi="MS Gothic" w:eastAsia="MS Gothic" w:cs="MS Gothic"/>
        </w:rPr>
        <w:t>ダニエル</w:t>
      </w:r>
      <w:r>
        <w:rPr>
          <w:rFonts w:ascii="Microsoft YaHei" w:hAnsi="Microsoft YaHei" w:eastAsia="Microsoft YaHei" w:cs="Microsoft YaHei"/>
        </w:rPr>
        <w:t>書第一章</w:t>
      </w:r>
      <w:r>
        <w:rPr>
          <w:rFonts w:ascii="MS Gothic" w:hAnsi="MS Gothic" w:eastAsia="MS Gothic" w:cs="MS Gothic"/>
        </w:rPr>
        <w:t>は</w:t>
      </w:r>
      <w:r>
        <w:rPr>
          <w:rFonts w:ascii="Microsoft YaHei" w:hAnsi="Microsoft YaHei" w:eastAsia="Microsoft YaHei" w:cs="Microsoft YaHei"/>
        </w:rPr>
        <w:t>、黙示録十四章</w:t>
      </w:r>
      <w:r>
        <w:rPr>
          <w:rFonts w:ascii="MS Gothic" w:hAnsi="MS Gothic" w:eastAsia="MS Gothic" w:cs="MS Gothic"/>
        </w:rPr>
        <w:t>の</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いに</w:t>
      </w:r>
      <w:r>
        <w:rPr>
          <w:rFonts w:ascii="Microsoft YaHei" w:hAnsi="Microsoft YaHei" w:eastAsia="Microsoft YaHei" w:cs="Microsoft YaHei"/>
        </w:rPr>
        <w:t>当</w:t>
      </w:r>
      <w:r>
        <w:rPr>
          <w:rFonts w:ascii="MS Gothic" w:hAnsi="MS Gothic" w:eastAsia="MS Gothic" w:cs="MS Gothic"/>
        </w:rPr>
        <w:t>たり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御使</w:t>
      </w:r>
      <w:r>
        <w:rPr>
          <w:rFonts w:ascii="MS Gothic" w:hAnsi="MS Gothic" w:eastAsia="MS Gothic" w:cs="MS Gothic"/>
        </w:rPr>
        <w:t>いは</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畏</w:t>
      </w:r>
      <w:r>
        <w:rPr>
          <w:rFonts w:ascii="MS Gothic" w:hAnsi="MS Gothic" w:eastAsia="MS Gothic" w:cs="MS Gothic"/>
        </w:rPr>
        <w:t>れよ</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栄光</w:t>
      </w:r>
      <w:r>
        <w:rPr>
          <w:rFonts w:ascii="MS Gothic" w:hAnsi="MS Gothic" w:eastAsia="MS Gothic" w:cs="MS Gothic"/>
        </w:rPr>
        <w:t>を</w:t>
      </w:r>
      <w:r>
        <w:rPr>
          <w:rFonts w:ascii="Microsoft YaHei" w:hAnsi="Microsoft YaHei" w:eastAsia="Microsoft YaHei" w:cs="Microsoft YaHei"/>
        </w:rPr>
        <w:t>帰</w:t>
      </w:r>
      <w:r>
        <w:rPr>
          <w:rFonts w:ascii="MS Gothic" w:hAnsi="MS Gothic" w:eastAsia="MS Gothic" w:cs="MS Gothic"/>
        </w:rPr>
        <w:t>せよ</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告</w:t>
      </w:r>
      <w:r>
        <w:rPr>
          <w:rFonts w:ascii="MS Gothic" w:hAnsi="MS Gothic" w:eastAsia="MS Gothic" w:cs="MS Gothic"/>
        </w:rPr>
        <w:t>げ</w:t>
      </w:r>
      <w:r>
        <w:rPr>
          <w:rFonts w:ascii="Microsoft YaHei" w:hAnsi="Microsoft YaHei" w:eastAsia="Microsoft YaHei" w:cs="Microsoft YaHei"/>
        </w:rPr>
        <w:t>知</w:t>
      </w:r>
      <w:r>
        <w:rPr>
          <w:rFonts w:ascii="MS Gothic" w:hAnsi="MS Gothic" w:eastAsia="MS Gothic" w:cs="MS Gothic"/>
        </w:rPr>
        <w:t>らせるが</w:t>
      </w:r>
      <w:r>
        <w:rPr>
          <w:rFonts w:ascii="Microsoft YaHei" w:hAnsi="Microsoft YaHei" w:eastAsia="Microsoft YaHei" w:cs="Microsoft YaHei"/>
        </w:rPr>
        <w:t>、</w:t>
      </w:r>
      <w:r>
        <w:rPr>
          <w:rFonts w:ascii="MS Gothic" w:hAnsi="MS Gothic" w:eastAsia="MS Gothic" w:cs="MS Gothic"/>
        </w:rPr>
        <w:t>それはダニエルが</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食物</w:t>
      </w:r>
      <w:r>
        <w:rPr>
          <w:rFonts w:ascii="MS Gothic" w:hAnsi="MS Gothic" w:eastAsia="MS Gothic" w:cs="MS Gothic"/>
        </w:rPr>
        <w:t>と</w:t>
      </w:r>
      <w:r>
        <w:rPr>
          <w:rFonts w:ascii="Microsoft YaHei" w:hAnsi="Microsoft YaHei" w:eastAsia="Microsoft YaHei" w:cs="Microsoft YaHei"/>
        </w:rPr>
        <w:t>視覚</w:t>
      </w:r>
      <w:r>
        <w:rPr>
          <w:rFonts w:ascii="MS Gothic" w:hAnsi="MS Gothic" w:eastAsia="MS Gothic" w:cs="MS Gothic"/>
        </w:rPr>
        <w:t>の</w:t>
      </w:r>
      <w:r>
        <w:rPr>
          <w:rFonts w:ascii="Microsoft YaHei" w:hAnsi="Microsoft YaHei" w:eastAsia="Microsoft YaHei" w:cs="Microsoft YaHei"/>
        </w:rPr>
        <w:t>試練</w:t>
      </w:r>
      <w:r>
        <w:rPr>
          <w:rFonts w:ascii="MS Gothic" w:hAnsi="MS Gothic" w:eastAsia="MS Gothic" w:cs="MS Gothic"/>
        </w:rPr>
        <w:t>において</w:t>
      </w:r>
      <w:r>
        <w:rPr>
          <w:rFonts w:ascii="Microsoft YaHei" w:hAnsi="Microsoft YaHei" w:eastAsia="Microsoft YaHei" w:cs="Microsoft YaHei"/>
        </w:rPr>
        <w:t>行</w:t>
      </w:r>
      <w:r>
        <w:rPr>
          <w:rFonts w:ascii="MS Gothic" w:hAnsi="MS Gothic" w:eastAsia="MS Gothic" w:cs="MS Gothic"/>
        </w:rPr>
        <w:t>ったとおりである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ネブカドネツァルに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w:t>
      </w:r>
      <w:r>
        <w:rPr>
          <w:rFonts w:ascii="MS Gothic" w:hAnsi="MS Gothic" w:eastAsia="MS Gothic" w:cs="MS Gothic"/>
        </w:rPr>
        <w:t>そのさばきの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たからである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Awọn ogójì ọdún àkọ́kọ́ ìgbésí-ayé Mose bẹ̀rẹ̀ nítorí pé àwọn òbí rẹ̀ bẹ̀rù Ọlọ́run. Nígbà tí ọmọbìnrin Farao rí àpótí náà nínú omi, Mose ti kọjá ìdánwò kejì, èyí tí í ṣe ìdánwò ojú. Nígbà náà ni ọmọbìnrin Farao dájọ́ pé kò yẹ kí ó kú. Ìdájọ́ náà sì tún dé ní òpin ogójì ọdún àkọ́kọ́ náà, nígbà tí ó pa ará Ejibiti náà, tí ó sì ní láti sá kúrò ní Ejibiti.</w:t>
      </w:r>
    </w:p>
    <w:p>
      <w:pPr>
        <w:pStyle w:val="ArticleBody"/>
        <w:jc w:val="left"/>
      </w:pPr>
      <w:r>
        <w:rPr>
          <w:rFonts w:ascii="Times New Roman" w:hAnsi="Times New Roman" w:eastAsia="Times New Roman" w:cs="Times New Roman"/>
        </w:rPr>
        <w:t>در چهل سالِ دوم، فرشتهٔ دومِ مکاشفهٔ باب چهارده که سقوط بابل را اعلام می‌کرد، به‌واسطهٔ سقوط مصر تمثیل گردید. در آن سقوط، در پایان آن چهل سال، ظهوری عظیم از قدرت خدا پدید آمد؛ چنان‌که در پایان پیام فرشتهٔ دوم، در خلال ندای نیمه‌شبِ ۱۸۴۴، نیز چنین بود.</w:t>
      </w:r>
    </w:p>
    <w:p>
      <w:pPr>
        <w:pStyle w:val="ArticleBody"/>
        <w:jc w:val="left"/>
      </w:pPr>
      <w:r>
        <w:rPr>
          <w:rFonts w:ascii="Times New Roman" w:hAnsi="Times New Roman" w:eastAsia="Times New Roman" w:cs="Times New Roman"/>
        </w:rPr>
        <w:t>La troisième période de quarante ans commence par le prononcé du jugement de mort sur la quasi-totalité de l’assemblée, et elle s’achève par le jugement de mort porté sur le chef de cette assemblée.</w:t>
      </w:r>
    </w:p>
    <w:p>
      <w:pPr>
        <w:pStyle w:val="ArticleBody"/>
        <w:jc w:val="left"/>
      </w:pPr>
      <w:r>
        <w:rPr>
          <w:rFonts w:ascii="Times New Roman" w:hAnsi="Times New Roman" w:eastAsia="Times New Roman" w:cs="Times New Roman"/>
        </w:rPr>
        <w:t>Sister White ɗinɗi ko fii gollal amen woni hawritde ɓatakuuje malaa'ikaaɓe tati ɗee.</w:t>
      </w:r>
    </w:p>
    <w:p>
      <w:pPr>
        <w:pStyle w:val="ArticleScripture"/>
        <w:jc w:val="left"/>
      </w:pPr>
      <w:r>
        <w:rPr>
          <w:rFonts w:ascii="Times New Roman" w:hAnsi="Times New Roman" w:eastAsia="Times New Roman" w:cs="Times New Roman"/>
        </w:rPr>
        <w:t>“Seigneur est sur le point de punir le monde pour son iniquité. Il est sur le point de punir les communautés religieuses pour avoir rejeté la lumière et la vérité qui leur ont été données. Le grand message, réunissant les messages des premier, deuxième et troisième anges, doit être proclamé au monde. Tel doit être le fardeau de notre œuvre.” The Seventh-day Adventist Bible Commentary, volume 7, 950.</w:t>
      </w:r>
    </w:p>
    <w:p>
      <w:pPr>
        <w:pStyle w:val="ArticleBody"/>
        <w:jc w:val="left"/>
      </w:pPr>
      <w:r>
        <w:rPr>
          <w:rFonts w:ascii="Times New Roman" w:hAnsi="Times New Roman" w:eastAsia="Times New Roman" w:cs="Times New Roman"/>
        </w:rPr>
        <w:t>Quarante ans de la première période de Moïse représentent le premier ange d’Apocalypse quatorze; sa seconde période de quarante ans est le deuxième ange, et la troisième période de quarante ans est le troisième ange. Notre « grand message » consiste à réunir « les messages des premier, deuxième et troisième anges », ce qui place en 1863 les trois symboles de Moïse, et donc trois Moïse au moment de la loi du dimanche.</w:t>
      </w:r>
    </w:p>
    <w:p>
      <w:pPr>
        <w:pStyle w:val="ArticleBody"/>
        <w:jc w:val="left"/>
      </w:pPr>
      <w:r>
        <w:rPr>
          <w:rFonts w:ascii="Times New Roman" w:hAnsi="Times New Roman" w:eastAsia="Times New Roman" w:cs="Times New Roman"/>
        </w:rPr>
        <w:t>De 1844 à 1863 comprend deux témoins de deux périodes de quarante ans qui conduisirent à Kadès. L’Inspiration déclare qu’un troisième ne peut exister sans un premier et un second ; les quarante premières années de la vie de Moïse doivent donc elles aussi représenter la période de 1844 à 1863. Moïse tue l’Égyptien en 1863, de même que Moïse frappe le Rocher avec sa verge d’autorité, et c’est aussi le moment où Moïse demande à voir la gloire de Dieu dans l’histoire de la rébellion du veau d’or. Il y a trois Moïse en 1863 et lors de la loi du dimanche, et ils ont tous quarante ans.</w:t>
      </w:r>
    </w:p>
    <w:p>
      <w:pPr>
        <w:pStyle w:val="ArticleBody"/>
        <w:jc w:val="left"/>
      </w:pPr>
      <w:r>
        <w:rPr>
          <w:rFonts w:ascii="Times New Roman" w:hAnsi="Times New Roman" w:eastAsia="Times New Roman" w:cs="Times New Roman"/>
        </w:rPr>
        <w:t>Les trois périodes de Moïse contiennent chacune une délivrance par l’eau ; Moïse dans la corbeille correspond à Moïse à travers la mer Rouge, ce qui correspond à Moïse deux fois au Jourdain : le Nil, la mer Rouge, et deux fois au Jourdain. Des eaux de délivrance sont représentées dans chacune des trois périodes, car elles correspondent toutes à la période où l’eau de la délivrance est répandue durant le temps de la pluie de l’arrière-saison.</w:t>
      </w:r>
    </w:p>
    <w:p>
      <w:pPr>
        <w:pStyle w:val="ArticleBody"/>
        <w:jc w:val="left"/>
      </w:pPr>
      <w:r>
        <w:rPr>
          <w:rFonts w:ascii="Times New Roman" w:hAnsi="Times New Roman" w:eastAsia="Times New Roman" w:cs="Times New Roman"/>
        </w:rPr>
        <w:t>À la fin de la troisième période de quarante ans, Moïse frappa le Rocher avec sa verge. À la fin de la deuxième période de quarante ans, sa verge fendit la mer Rouge. À la fin de la première période de quarante ans, il rejeta la verge de l’autorité égyptienne et choisit de souffrir avec son peuple.</w:t>
      </w:r>
    </w:p>
    <w:p>
      <w:pPr>
        <w:pStyle w:val="ArticleBody"/>
        <w:jc w:val="left"/>
      </w:pP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මිසරයෙක්</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මිසරයේ</w:t>
      </w:r>
      <w:r>
        <w:rPr>
          <w:rFonts w:ascii="Times New Roman" w:hAnsi="Times New Roman" w:eastAsia="Times New Roman" w:cs="Times New Roman"/>
        </w:rPr>
        <w:t xml:space="preserve"> </w:t>
      </w:r>
      <w:r>
        <w:rPr>
          <w:rFonts w:ascii="Nirmala UI" w:hAnsi="Nirmala UI" w:eastAsia="Nirmala UI" w:cs="Nirmala UI"/>
        </w:rPr>
        <w:t>යුද්ධ</w:t>
      </w:r>
      <w:r>
        <w:rPr>
          <w:rFonts w:ascii="Times New Roman" w:hAnsi="Times New Roman" w:eastAsia="Times New Roman" w:cs="Times New Roman"/>
        </w:rPr>
        <w:t xml:space="preserve"> </w:t>
      </w:r>
      <w:r>
        <w:rPr>
          <w:rFonts w:ascii="Nirmala UI" w:hAnsi="Nirmala UI" w:eastAsia="Nirmala UI" w:cs="Nirmala UI"/>
        </w:rPr>
        <w:t>හමුදාව</w:t>
      </w:r>
      <w:r>
        <w:rPr>
          <w:rFonts w:ascii="Times New Roman" w:hAnsi="Times New Roman" w:eastAsia="Times New Roman" w:cs="Times New Roman"/>
        </w:rPr>
        <w:t xml:space="preserve">, </w:t>
      </w:r>
      <w:r>
        <w:rPr>
          <w:rFonts w:ascii="Nirmala UI" w:hAnsi="Nirmala UI" w:eastAsia="Nirmala UI" w:cs="Nirmala UI"/>
        </w:rPr>
        <w:t>ජ්</w:t>
      </w:r>
      <w:r>
        <w:rPr>
          <w:rFonts w:ascii="Times New Roman" w:hAnsi="Times New Roman" w:eastAsia="Times New Roman" w:cs="Times New Roman"/>
        </w:rPr>
        <w:t>‍</w:t>
      </w:r>
      <w:r>
        <w:rPr>
          <w:rFonts w:ascii="Nirmala UI" w:hAnsi="Nirmala UI" w:eastAsia="Nirmala UI" w:cs="Nirmala UI"/>
        </w:rPr>
        <w:t>යෙෂ්ඨපුත්</w:t>
      </w:r>
      <w:r>
        <w:rPr>
          <w:rFonts w:ascii="Times New Roman" w:hAnsi="Times New Roman" w:eastAsia="Times New Roman" w:cs="Times New Roman"/>
        </w:rPr>
        <w:t>‍</w:t>
      </w:r>
      <w:r>
        <w:rPr>
          <w:rFonts w:ascii="Nirmala UI" w:hAnsi="Nirmala UI" w:eastAsia="Nirmala UI" w:cs="Nirmala UI"/>
        </w:rPr>
        <w:t>රත්වය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නායකත්වය</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ආරොන්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සියල්ලෝම</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සිටියහ</w:t>
      </w:r>
      <w:r>
        <w:rPr>
          <w:rFonts w:ascii="Times New Roman" w:hAnsi="Times New Roman" w:eastAsia="Times New Roman" w:cs="Times New Roman"/>
        </w:rPr>
        <w:t xml:space="preserve">. </w:t>
      </w:r>
      <w:r>
        <w:rPr>
          <w:rFonts w:ascii="Nirmala UI" w:hAnsi="Nirmala UI" w:eastAsia="Nirmala UI" w:cs="Nirmala UI"/>
        </w:rPr>
        <w:t>මෙවා</w:t>
      </w:r>
      <w:r>
        <w:rPr>
          <w:rFonts w:ascii="Times New Roman" w:hAnsi="Times New Roman" w:eastAsia="Times New Roman" w:cs="Times New Roman"/>
        </w:rPr>
        <w:t xml:space="preserve"> “</w:t>
      </w:r>
      <w:r>
        <w:rPr>
          <w:rFonts w:ascii="Nirmala UI" w:hAnsi="Nirmala UI" w:eastAsia="Nirmala UI" w:cs="Nirmala UI"/>
        </w:rPr>
        <w:t>පේළිය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පේළිය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ආකාරයෙන්</w:t>
      </w:r>
      <w:r>
        <w:rPr>
          <w:rFonts w:ascii="Times New Roman" w:hAnsi="Times New Roman" w:eastAsia="Times New Roman" w:cs="Times New Roman"/>
        </w:rPr>
        <w:t xml:space="preserve"> </w:t>
      </w:r>
      <w:r>
        <w:rPr>
          <w:rFonts w:ascii="Nirmala UI" w:hAnsi="Nirmala UI" w:eastAsia="Nirmala UI" w:cs="Nirmala UI"/>
        </w:rPr>
        <w:t>එකිනෙකට</w:t>
      </w:r>
      <w:r>
        <w:rPr>
          <w:rFonts w:ascii="Times New Roman" w:hAnsi="Times New Roman" w:eastAsia="Times New Roman" w:cs="Times New Roman"/>
        </w:rPr>
        <w:t xml:space="preserve"> </w:t>
      </w:r>
      <w:r>
        <w:rPr>
          <w:rFonts w:ascii="Nirmala UI" w:hAnsi="Nirmala UI" w:eastAsia="Nirmala UI" w:cs="Nirmala UI"/>
        </w:rPr>
        <w:t>සමාන්තර</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එකක්ම</w:t>
      </w:r>
      <w:r>
        <w:rPr>
          <w:rFonts w:ascii="Times New Roman" w:hAnsi="Times New Roman" w:eastAsia="Times New Roman" w:cs="Times New Roman"/>
        </w:rPr>
        <w:t xml:space="preserve"> 1844 </w:t>
      </w:r>
      <w:r>
        <w:rPr>
          <w:rFonts w:ascii="Nirmala UI" w:hAnsi="Nirmala UI" w:eastAsia="Nirmala UI" w:cs="Nirmala UI"/>
        </w:rPr>
        <w:t>සිට</w:t>
      </w:r>
      <w:r>
        <w:rPr>
          <w:rFonts w:ascii="Times New Roman" w:hAnsi="Times New Roman" w:eastAsia="Times New Roman" w:cs="Times New Roman"/>
        </w:rPr>
        <w:t xml:space="preserve"> 1863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ඉතිහාසයයි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9/11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කාලයත්</w:t>
      </w:r>
      <w:r>
        <w:rPr>
          <w:rFonts w:ascii="Times New Roman" w:hAnsi="Times New Roman" w:eastAsia="Times New Roman" w:cs="Times New Roman"/>
        </w:rPr>
        <w:t xml:space="preserve">, </w:t>
      </w:r>
      <w:r>
        <w:rPr>
          <w:rFonts w:ascii="Nirmala UI" w:hAnsi="Nirmala UI" w:eastAsia="Nirmala UI" w:cs="Nirmala UI"/>
        </w:rPr>
        <w:t>ගැලවීමේ</w:t>
      </w:r>
      <w:r>
        <w:rPr>
          <w:rFonts w:ascii="Times New Roman" w:hAnsi="Times New Roman" w:eastAsia="Times New Roman" w:cs="Times New Roman"/>
        </w:rPr>
        <w:t xml:space="preserve"> </w:t>
      </w:r>
      <w:r>
        <w:rPr>
          <w:rFonts w:ascii="Nirmala UI" w:hAnsi="Nirmala UI" w:eastAsia="Nirmala UI" w:cs="Nirmala UI"/>
        </w:rPr>
        <w:t>ජලය</w:t>
      </w:r>
      <w:r>
        <w:rPr>
          <w:rFonts w:ascii="Times New Roman" w:hAnsi="Times New Roman" w:eastAsia="Times New Roman" w:cs="Times New Roman"/>
        </w:rPr>
        <w:t xml:space="preserve"> </w:t>
      </w:r>
      <w:r>
        <w:rPr>
          <w:rFonts w:ascii="Nirmala UI" w:hAnsi="Nirmala UI" w:eastAsia="Nirmala UI" w:cs="Nirmala UI"/>
        </w:rPr>
        <w:t>වැගිරී</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පෙන්තකොස්ත</w:t>
      </w:r>
      <w:r>
        <w:rPr>
          <w:rFonts w:ascii="Times New Roman" w:hAnsi="Times New Roman" w:eastAsia="Times New Roman" w:cs="Times New Roman"/>
        </w:rPr>
        <w:t xml:space="preserve"> </w:t>
      </w:r>
      <w:r>
        <w:rPr>
          <w:rFonts w:ascii="Nirmala UI" w:hAnsi="Nirmala UI" w:eastAsia="Nirmala UI" w:cs="Nirmala UI"/>
        </w:rPr>
        <w:t>සමයත්</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Moses ay naroroon sa kapuwa paghihimagsik sa Kadesh, at ang mga paghihimagsik sa Kadesh ay kapuwa panulukang-batong panapos sa kani-kanilang mga yugto. Kapuwa nila kinakatawan ang 1863, na siya ring panulukang-batong panapos ng yugto ng ikatlong anghel, na nagsisimula sa alpha noong 1844 hanggang sa panulukang-batong panapos ng 1863. Kapag isinasaalang-alang ang kagila-gilalas na liwanag ng bato na nagsisimula bilang pundasyon at nagtatapos bilang batong panulok na panapos, kinikilala na ang panulukang-batong panapos ay laging higit na dakila sa makahulang diwa. Ang ilang patak sa pasimula ng panahon ng Pentecostes, na umaakay sa ganap na pagbubuhos sa panulukang-batong panapos sa araw ng Pentecostes, ay naglalarawan ng katotohanang ito.</w:t>
      </w:r>
    </w:p>
    <w:p>
      <w:pPr>
        <w:pStyle w:val="ArticleBody"/>
        <w:jc w:val="left"/>
      </w:pP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छर्काइ</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उँडेलाइमा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कादेशमा</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पापलाई</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कादेशको</w:t>
      </w:r>
      <w:r>
        <w:rPr>
          <w:rFonts w:ascii="Times New Roman" w:hAnsi="Times New Roman" w:eastAsia="Times New Roman" w:cs="Times New Roman"/>
        </w:rPr>
        <w:t xml:space="preserve"> </w:t>
      </w:r>
      <w:r>
        <w:rPr>
          <w:rFonts w:ascii="Nirmala UI" w:hAnsi="Nirmala UI" w:eastAsia="Nirmala UI" w:cs="Nirmala UI"/>
        </w:rPr>
        <w:t>विद्रोहभन्दा</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विद्रोहले</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राष्ट्रको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विद्रोहले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राष्ट्रको</w:t>
      </w:r>
      <w:r>
        <w:rPr>
          <w:rFonts w:ascii="Times New Roman" w:hAnsi="Times New Roman" w:eastAsia="Times New Roman" w:cs="Times New Roman"/>
        </w:rPr>
        <w:t xml:space="preserve"> </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पापभन्दा</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मर्छ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तहमा</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पापहरूबीच</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मोशाले</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दोस्रोपटक</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शिखरबिन्दु</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Uvukela lukaMose eKadeshi yesibili ye-omega lwaluyisono esikhulu kakhulu kunokuvukela kwabantwana bakwa-Israyeli ekwenqabeni umyalezo kaJoshuwa noKalebi. UMose ume ngokwesiprofetho ku-1863, lapho afela khona ehlane ngenxa yokuvukela kwakhe. UMose futhi ume ku-1863, lapho abantu besivumelwano sangaphambili befelayo ehlane ngenxa yokuvukela kwabo, kodwa uMose akazange ahlanganyele kulokho kuvukela. U-1863 uhambisana nomthetho weSonto, kanjalo nokuvukela kuka-Aroni kwethole legolide. Kulowo mlando, ohambisana neKadeshi, no-1863, kanye nomthetho weSonto, uMose uthandaza ukuba abone inkazimulo kaNkulunkulu.</w:t>
      </w:r>
    </w:p>
    <w:p>
      <w:pPr>
        <w:pStyle w:val="ArticleBody"/>
        <w:jc w:val="left"/>
      </w:pPr>
      <w:r>
        <w:rPr>
          <w:rFonts w:ascii="Nirmala UI" w:hAnsi="Nirmala UI" w:eastAsia="Nirmala UI" w:cs="Nirmala UI"/>
        </w:rPr>
        <w:t>ಕಾದೇಶ್</w:t>
      </w:r>
      <w:r>
        <w:rPr>
          <w:rFonts w:ascii="Times New Roman" w:hAnsi="Times New Roman" w:eastAsia="Times New Roman" w:cs="Times New Roman"/>
        </w:rPr>
        <w:t xml:space="preserve"> 1863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ಕಾದೇಶ್</w:t>
      </w:r>
      <w:r>
        <w:rPr>
          <w:rFonts w:ascii="Times New Roman" w:hAnsi="Times New Roman" w:eastAsia="Times New Roman" w:cs="Times New Roman"/>
        </w:rPr>
        <w:t>‌</w:t>
      </w:r>
      <w:r>
        <w:rPr>
          <w:rFonts w:ascii="Nirmala UI" w:hAnsi="Nirmala UI" w:eastAsia="Nirmala UI" w:cs="Nirmala UI"/>
        </w:rPr>
        <w:t>ಗಳಲ್ಲಿ</w:t>
      </w:r>
      <w:r>
        <w:rPr>
          <w:rFonts w:ascii="Times New Roman" w:hAnsi="Times New Roman" w:eastAsia="Times New Roman" w:cs="Times New Roman"/>
        </w:rPr>
        <w:t xml:space="preserve"> </w:t>
      </w:r>
      <w:r>
        <w:rPr>
          <w:rFonts w:ascii="Nirmala UI" w:hAnsi="Nirmala UI" w:eastAsia="Nirmala UI" w:cs="Nirmala UI"/>
        </w:rPr>
        <w:t>ಇರುವುದರಿಂದ</w:t>
      </w:r>
      <w:r>
        <w:rPr>
          <w:rFonts w:ascii="Times New Roman" w:hAnsi="Times New Roman" w:eastAsia="Times New Roman" w:cs="Times New Roman"/>
        </w:rPr>
        <w:t xml:space="preserve">, </w:t>
      </w:r>
      <w:r>
        <w:rPr>
          <w:rFonts w:ascii="Nirmala UI" w:hAnsi="Nirmala UI" w:eastAsia="Nirmala UI" w:cs="Nirmala UI"/>
        </w:rPr>
        <w:t>ಇಬ್ಬರೂ</w:t>
      </w:r>
      <w:r>
        <w:rPr>
          <w:rFonts w:ascii="Times New Roman" w:hAnsi="Times New Roman" w:eastAsia="Times New Roman" w:cs="Times New Roman"/>
        </w:rPr>
        <w:t xml:space="preserve"> </w:t>
      </w:r>
      <w:r>
        <w:rPr>
          <w:rFonts w:ascii="Nirmala UI" w:hAnsi="Nirmala UI" w:eastAsia="Nirmala UI" w:cs="Nirmala UI"/>
        </w:rPr>
        <w:t>ಕೋಣೆಕಲ್ಲುಗಳಾಗಿರುವ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ಬೈಬಲೀಯ</w:t>
      </w:r>
      <w:r>
        <w:rPr>
          <w:rFonts w:ascii="Times New Roman" w:hAnsi="Times New Roman" w:eastAsia="Times New Roman" w:cs="Times New Roman"/>
        </w:rPr>
        <w:t xml:space="preserve"> </w:t>
      </w:r>
      <w:r>
        <w:rPr>
          <w:rFonts w:ascii="Nirmala UI" w:hAnsi="Nirmala UI" w:eastAsia="Nirmala UI" w:cs="Nirmala UI"/>
        </w:rPr>
        <w:t>ಸಾಕ್ಷಿಗಳ</w:t>
      </w:r>
      <w:r>
        <w:rPr>
          <w:rFonts w:ascii="Times New Roman" w:hAnsi="Times New Roman" w:eastAsia="Times New Roman" w:cs="Times New Roman"/>
        </w:rPr>
        <w:t xml:space="preserve"> </w:t>
      </w:r>
      <w:r>
        <w:rPr>
          <w:rFonts w:ascii="Nirmala UI" w:hAnsi="Nirmala UI" w:eastAsia="Nirmala UI" w:cs="Nirmala UI"/>
        </w:rPr>
        <w:t>ಆಧಾರದಿಂದ</w:t>
      </w:r>
      <w:r>
        <w:rPr>
          <w:rFonts w:ascii="Times New Roman" w:hAnsi="Times New Roman" w:eastAsia="Times New Roman" w:cs="Times New Roman"/>
        </w:rPr>
        <w:t xml:space="preserve">, </w:t>
      </w:r>
      <w:r>
        <w:rPr>
          <w:rFonts w:ascii="Nirmala UI" w:hAnsi="Nirmala UI" w:eastAsia="Nirmala UI" w:cs="Nirmala UI"/>
        </w:rPr>
        <w:t>ಕಾದೇಶ್</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ಅಂತ್ಯಗೊಳ್ಳದ</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ನಲವತ್ತು</w:t>
      </w:r>
      <w:r>
        <w:rPr>
          <w:rFonts w:ascii="Times New Roman" w:hAnsi="Times New Roman" w:eastAsia="Times New Roman" w:cs="Times New Roman"/>
        </w:rPr>
        <w:t xml:space="preserve"> </w:t>
      </w:r>
      <w:r>
        <w:rPr>
          <w:rFonts w:ascii="Nirmala UI" w:hAnsi="Nirmala UI" w:eastAsia="Nirmala UI" w:cs="Nirmala UI"/>
        </w:rPr>
        <w:t>ವರ್ಷದ</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ಸಹ</w:t>
      </w:r>
      <w:r>
        <w:rPr>
          <w:rFonts w:ascii="Times New Roman" w:hAnsi="Times New Roman" w:eastAsia="Times New Roman" w:cs="Times New Roman"/>
        </w:rPr>
        <w:t xml:space="preserve"> 1863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ಸ್ಥಾಪಿಸುತ್ತೇವೆ</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ಅಪವಿತ್ರೀಕರಿಸಲ್ಪಡದ</w:t>
      </w:r>
      <w:r>
        <w:rPr>
          <w:rFonts w:ascii="Times New Roman" w:hAnsi="Times New Roman" w:eastAsia="Times New Roman" w:cs="Times New Roman"/>
        </w:rPr>
        <w:t xml:space="preserve"> </w:t>
      </w:r>
      <w:r>
        <w:rPr>
          <w:rFonts w:ascii="Nirmala UI" w:hAnsi="Nirmala UI" w:eastAsia="Nirmala UI" w:cs="Nirmala UI"/>
        </w:rPr>
        <w:t>ಮೋಶೆ</w:t>
      </w:r>
      <w:r>
        <w:rPr>
          <w:rFonts w:ascii="Times New Roman" w:hAnsi="Times New Roman" w:eastAsia="Times New Roman" w:cs="Times New Roman"/>
        </w:rPr>
        <w:t xml:space="preserve">’ </w:t>
      </w:r>
      <w:r>
        <w:rPr>
          <w:rFonts w:ascii="Nirmala UI" w:hAnsi="Nirmala UI" w:eastAsia="Nirmala UI" w:cs="Nirmala UI"/>
        </w:rPr>
        <w:t>ಶಿಲೆಯನ್ನು</w:t>
      </w:r>
      <w:r>
        <w:rPr>
          <w:rFonts w:ascii="Times New Roman" w:hAnsi="Times New Roman" w:eastAsia="Times New Roman" w:cs="Times New Roman"/>
        </w:rPr>
        <w:t xml:space="preserve"> </w:t>
      </w:r>
      <w:r>
        <w:rPr>
          <w:rFonts w:ascii="Nirmala UI" w:hAnsi="Nirmala UI" w:eastAsia="Nirmala UI" w:cs="Nirmala UI"/>
        </w:rPr>
        <w:t>ತಿರಸ್ಕರಿಸುವುದರಿಂದ</w:t>
      </w:r>
      <w:r>
        <w:rPr>
          <w:rFonts w:ascii="Times New Roman" w:hAnsi="Times New Roman" w:eastAsia="Times New Roman" w:cs="Times New Roman"/>
        </w:rPr>
        <w:t xml:space="preserve"> </w:t>
      </w:r>
      <w:r>
        <w:rPr>
          <w:rFonts w:ascii="Nirmala UI" w:hAnsi="Nirmala UI" w:eastAsia="Nirmala UI" w:cs="Nirmala UI"/>
        </w:rPr>
        <w:t>ಕ್ರಿಸ್ತನನ್ನು</w:t>
      </w:r>
      <w:r>
        <w:rPr>
          <w:rFonts w:ascii="Times New Roman" w:hAnsi="Times New Roman" w:eastAsia="Times New Roman" w:cs="Times New Roman"/>
        </w:rPr>
        <w:t xml:space="preserve"> </w:t>
      </w:r>
      <w:r>
        <w:rPr>
          <w:rFonts w:ascii="Nirmala UI" w:hAnsi="Nirmala UI" w:eastAsia="Nirmala UI" w:cs="Nirmala UI"/>
        </w:rPr>
        <w:t>ಮರುಕಳಿಸಿ</w:t>
      </w:r>
      <w:r>
        <w:rPr>
          <w:rFonts w:ascii="Times New Roman" w:hAnsi="Times New Roman" w:eastAsia="Times New Roman" w:cs="Times New Roman"/>
        </w:rPr>
        <w:t xml:space="preserve"> </w:t>
      </w:r>
      <w:r>
        <w:rPr>
          <w:rFonts w:ascii="Nirmala UI" w:hAnsi="Nirmala UI" w:eastAsia="Nirmala UI" w:cs="Nirmala UI"/>
        </w:rPr>
        <w:t>ಶಿಲುಬೆಗೆ</w:t>
      </w:r>
      <w:r>
        <w:rPr>
          <w:rFonts w:ascii="Times New Roman" w:hAnsi="Times New Roman" w:eastAsia="Times New Roman" w:cs="Times New Roman"/>
        </w:rPr>
        <w:t xml:space="preserve"> </w:t>
      </w:r>
      <w:r>
        <w:rPr>
          <w:rFonts w:ascii="Nirmala UI" w:hAnsi="Nirmala UI" w:eastAsia="Nirmala UI" w:cs="Nirmala UI"/>
        </w:rPr>
        <w:t>ಏರಿಸುತ್ತಿದ್ದಾನೆ</w:t>
      </w:r>
      <w:r>
        <w:rPr>
          <w:rFonts w:ascii="Times New Roman" w:hAnsi="Times New Roman" w:eastAsia="Times New Roman" w:cs="Times New Roman"/>
        </w:rPr>
        <w:t>. 1863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ಸೀನಾಯಿಯಲ್ಲಿ</w:t>
      </w:r>
      <w:r>
        <w:rPr>
          <w:rFonts w:ascii="Times New Roman" w:hAnsi="Times New Roman" w:eastAsia="Times New Roman" w:cs="Times New Roman"/>
        </w:rPr>
        <w:t xml:space="preserve"> </w:t>
      </w:r>
      <w:r>
        <w:rPr>
          <w:rFonts w:ascii="Nirmala UI" w:hAnsi="Nirmala UI" w:eastAsia="Nirmala UI" w:cs="Nirmala UI"/>
        </w:rPr>
        <w:t>ಧರ್ಮಶಾಸ್ತ್ರವನ್ನು</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ಸಂದರ್ಭದಲ್ಲಿಯೂ</w:t>
      </w:r>
      <w:r>
        <w:rPr>
          <w:rFonts w:ascii="Times New Roman" w:hAnsi="Times New Roman" w:eastAsia="Times New Roman" w:cs="Times New Roman"/>
        </w:rPr>
        <w:t>, ‘</w:t>
      </w:r>
      <w:r>
        <w:rPr>
          <w:rFonts w:ascii="Nirmala UI" w:hAnsi="Nirmala UI" w:eastAsia="Nirmala UI" w:cs="Nirmala UI"/>
        </w:rPr>
        <w:t>ಪವಿತ್ರೀಕರಿಸಲ್ಪಟ್ಟ</w:t>
      </w:r>
      <w:r>
        <w:rPr>
          <w:rFonts w:ascii="Times New Roman" w:hAnsi="Times New Roman" w:eastAsia="Times New Roman" w:cs="Times New Roman"/>
        </w:rPr>
        <w:t xml:space="preserve"> </w:t>
      </w:r>
      <w:r>
        <w:rPr>
          <w:rFonts w:ascii="Nirmala UI" w:hAnsi="Nirmala UI" w:eastAsia="Nirmala UI" w:cs="Nirmala UI"/>
        </w:rPr>
        <w:t>ಮೋಶೆ</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ಸ್ವಭಾವವನ್ನು</w:t>
      </w:r>
      <w:r>
        <w:rPr>
          <w:rFonts w:ascii="Times New Roman" w:hAnsi="Times New Roman" w:eastAsia="Times New Roman" w:cs="Times New Roman"/>
        </w:rPr>
        <w:t xml:space="preserve"> </w:t>
      </w:r>
      <w:r>
        <w:rPr>
          <w:rFonts w:ascii="Nirmala UI" w:hAnsi="Nirmala UI" w:eastAsia="Nirmala UI" w:cs="Nirmala UI"/>
        </w:rPr>
        <w:t>ಹುಡುಕುತ್ತಿದ್ದಾನೆ</w:t>
      </w:r>
      <w:r>
        <w:rPr>
          <w:rFonts w:ascii="Times New Roman" w:hAnsi="Times New Roman" w:eastAsia="Times New Roman" w:cs="Times New Roman"/>
        </w:rPr>
        <w:t>. 1863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ಮೋಶೆ</w:t>
      </w:r>
      <w:r>
        <w:rPr>
          <w:rFonts w:ascii="Times New Roman" w:hAnsi="Times New Roman" w:eastAsia="Times New Roman" w:cs="Times New Roman"/>
        </w:rPr>
        <w:t xml:space="preserve"> </w:t>
      </w:r>
      <w:r>
        <w:rPr>
          <w:rFonts w:ascii="Nirmala UI" w:hAnsi="Nirmala UI" w:eastAsia="Nirmala UI" w:cs="Nirmala UI"/>
        </w:rPr>
        <w:t>ಜ್ಞಾನಿಯಾದ</w:t>
      </w:r>
      <w:r>
        <w:rPr>
          <w:rFonts w:ascii="Times New Roman" w:hAnsi="Times New Roman" w:eastAsia="Times New Roman" w:cs="Times New Roman"/>
        </w:rPr>
        <w:t xml:space="preserve"> </w:t>
      </w:r>
      <w:r>
        <w:rPr>
          <w:rFonts w:ascii="Nirmala UI" w:hAnsi="Nirmala UI" w:eastAsia="Nirmala UI" w:cs="Nirmala UI"/>
        </w:rPr>
        <w:t>ಕನ್ಯೆಯನ್ನೂ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ಮೂರ್ಖ</w:t>
      </w:r>
      <w:r>
        <w:rPr>
          <w:rFonts w:ascii="Times New Roman" w:hAnsi="Times New Roman" w:eastAsia="Times New Roman" w:cs="Times New Roman"/>
        </w:rPr>
        <w:t xml:space="preserve"> </w:t>
      </w:r>
      <w:r>
        <w:rPr>
          <w:rFonts w:ascii="Nirmala UI" w:hAnsi="Nirmala UI" w:eastAsia="Nirmala UI" w:cs="Nirmala UI"/>
        </w:rPr>
        <w:t>ಕನ್ಯೆಯನ್ನೂ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Pharisien et le publicain représentent deux grandes classes en lesquelles se divisent ceux qui viennent adorer Dieu. Leurs deux premiers représentants se trouvent dans les deux premiers enfants qui naquirent dans le monde.» Christ’s Object Lessons, 152.</w:t>
      </w:r>
    </w:p>
    <w:p>
      <w:pPr>
        <w:pStyle w:val="ArticleBody"/>
        <w:jc w:val="left"/>
      </w:pPr>
      <w:r>
        <w:rPr>
          <w:rFonts w:ascii="Times New Roman" w:hAnsi="Times New Roman" w:eastAsia="Times New Roman" w:cs="Times New Roman"/>
        </w:rPr>
        <w:t>À Kadès et en 1863, Moïse représente « deux grandes classes en lesquelles sont divisés ceux qui » « adorent Dieu ». Moïse est un exemple des cent quarante-quatre mille, tout comme Pierre.</w:t>
      </w:r>
    </w:p>
    <w:p>
      <w:pPr>
        <w:pStyle w:val="ArticleScripture"/>
        <w:jc w:val="left"/>
      </w:pPr>
      <w:r>
        <w:rPr>
          <w:rFonts w:ascii="Times New Roman" w:hAnsi="Times New Roman" w:eastAsia="Times New Roman" w:cs="Times New Roman"/>
        </w:rPr>
        <w:t>“</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ᎠᏂᏓᏰᎵᏛ</w:t>
      </w:r>
      <w:r>
        <w:rPr>
          <w:rFonts w:ascii="Times New Roman" w:hAnsi="Times New Roman" w:eastAsia="Times New Roman" w:cs="Times New Roman"/>
        </w:rPr>
        <w:t xml:space="preserve"> </w:t>
      </w:r>
      <w:r>
        <w:rPr>
          <w:rFonts w:ascii="Gadugi" w:hAnsi="Gadugi" w:eastAsia="Gadugi" w:cs="Gadugi"/>
        </w:rPr>
        <w:t>ᎠᏂᏚᎪᙳᏔᏅ</w:t>
      </w:r>
      <w:r>
        <w:rPr>
          <w:rFonts w:ascii="Times New Roman" w:hAnsi="Times New Roman" w:eastAsia="Times New Roman" w:cs="Times New Roman"/>
        </w:rPr>
        <w:t xml:space="preserve"> </w:t>
      </w:r>
      <w:r>
        <w:rPr>
          <w:rFonts w:ascii="Gadugi" w:hAnsi="Gadugi" w:eastAsia="Gadugi" w:cs="Gadugi"/>
        </w:rPr>
        <w:t>ᎠᏂᏆᎵᏏ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ᎠᏥᏫᏍᏗ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ᎤᏃᎮᏢᏒ</w:t>
      </w:r>
      <w:r>
        <w:rPr>
          <w:rFonts w:ascii="Times New Roman" w:hAnsi="Times New Roman" w:eastAsia="Times New Roman" w:cs="Times New Roman"/>
        </w:rPr>
        <w:t xml:space="preserve"> </w:t>
      </w:r>
      <w:r>
        <w:rPr>
          <w:rFonts w:ascii="Gadugi" w:hAnsi="Gadugi" w:eastAsia="Gadugi" w:cs="Gadugi"/>
        </w:rPr>
        <w:t>ᎥᏍᎩᏕᎾ</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ᎤᎾᏠᏍᎩ</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ᎤᏓᏅᏖᎴ</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ᎠᎦᏘᏳᎢ</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ᎠᏆᎵᏏ</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ᎠᏗᏍᎩ</w:t>
      </w:r>
      <w:r>
        <w:rPr>
          <w:rFonts w:ascii="Times New Roman" w:hAnsi="Times New Roman" w:eastAsia="Times New Roman" w:cs="Times New Roman"/>
        </w:rPr>
        <w:t>,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ᏯᏂᏐᎢ</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ᏅᏓᎬᏩᏠᏍᏗ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ᎤᎶᏒᏂ</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ᎤᏗᎦᎸᏩᏍᏙᏗ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ᎤᏃᏁᎸ</w:t>
      </w:r>
      <w:r>
        <w:rPr>
          <w:rFonts w:ascii="Times New Roman" w:hAnsi="Times New Roman" w:eastAsia="Times New Roman" w:cs="Times New Roman"/>
        </w:rPr>
        <w:t xml:space="preserve"> </w:t>
      </w:r>
      <w:r>
        <w:rPr>
          <w:rFonts w:ascii="Gadugi" w:hAnsi="Gadugi" w:eastAsia="Gadugi" w:cs="Gadugi"/>
        </w:rPr>
        <w:t>ᎤᎾᏠᏍᎩ</w:t>
      </w:r>
      <w:r>
        <w:rPr>
          <w:rFonts w:ascii="Times New Roman" w:hAnsi="Times New Roman" w:eastAsia="Times New Roman" w:cs="Times New Roman"/>
        </w:rPr>
        <w:t>,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ᏂᏥᎥ</w:t>
      </w:r>
      <w:r>
        <w:rPr>
          <w:rFonts w:ascii="Times New Roman" w:hAnsi="Times New Roman" w:eastAsia="Times New Roman" w:cs="Times New Roman"/>
        </w:rPr>
        <w:t xml:space="preserve"> </w:t>
      </w:r>
      <w:r>
        <w:rPr>
          <w:rFonts w:ascii="Gadugi" w:hAnsi="Gadugi" w:eastAsia="Gadugi" w:cs="Gadugi"/>
        </w:rPr>
        <w:t>ᎤᏍᎦᎸ</w:t>
      </w:r>
      <w:r>
        <w:rPr>
          <w:rFonts w:ascii="Times New Roman" w:hAnsi="Times New Roman" w:eastAsia="Times New Roman" w:cs="Times New Roman"/>
        </w:rPr>
        <w:t xml:space="preserve"> </w:t>
      </w:r>
      <w:r>
        <w:rPr>
          <w:rFonts w:ascii="Gadugi" w:hAnsi="Gadugi" w:eastAsia="Gadugi" w:cs="Gadugi"/>
        </w:rPr>
        <w:t>ᏂᏣᏓᏅᏙᏗ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ᏒᎯ</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ᎤᏓᏂᎸᏨᎯ</w:t>
      </w:r>
      <w:r>
        <w:rPr>
          <w:rFonts w:ascii="Times New Roman" w:hAnsi="Times New Roman" w:eastAsia="Times New Roman" w:cs="Times New Roman"/>
        </w:rPr>
        <w:t xml:space="preserve"> </w:t>
      </w:r>
      <w:r>
        <w:rPr>
          <w:rFonts w:ascii="Gadugi" w:hAnsi="Gadugi" w:eastAsia="Gadugi" w:cs="Gadugi"/>
        </w:rPr>
        <w:t>ᎤᏁᎢ</w:t>
      </w:r>
      <w:r>
        <w:rPr>
          <w:rFonts w:ascii="Times New Roman" w:hAnsi="Times New Roman" w:eastAsia="Times New Roman" w:cs="Times New Roman"/>
        </w:rPr>
        <w:t>,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ᎤᏍᎦᎸ</w:t>
      </w:r>
      <w:r>
        <w:rPr>
          <w:rFonts w:ascii="Times New Roman" w:hAnsi="Times New Roman" w:eastAsia="Times New Roman" w:cs="Times New Roman"/>
        </w:rPr>
        <w:t xml:space="preserve"> </w:t>
      </w:r>
      <w:r>
        <w:rPr>
          <w:rFonts w:ascii="Gadugi" w:hAnsi="Gadugi" w:eastAsia="Gadugi" w:cs="Gadugi"/>
        </w:rPr>
        <w:t>ᏱᏚᎾᏓᏅᏙᎵ</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ᎹᎦ</w:t>
      </w:r>
      <w:r>
        <w:rPr>
          <w:rFonts w:ascii="Times New Roman" w:hAnsi="Times New Roman" w:eastAsia="Times New Roman" w:cs="Times New Roman"/>
        </w:rPr>
        <w:t xml:space="preserve"> 14:27, 29.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ᏳᎦᏔᎮ</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ᎤᏓᎶᏄᎮᎢ</w:t>
      </w:r>
      <w:r>
        <w:rPr>
          <w:rFonts w:ascii="Times New Roman" w:hAnsi="Times New Roman" w:eastAsia="Times New Roman" w:cs="Times New Roman"/>
        </w:rPr>
        <w:t xml:space="preserve">. </w:t>
      </w:r>
      <w:r>
        <w:rPr>
          <w:rFonts w:ascii="Gadugi" w:hAnsi="Gadugi" w:eastAsia="Gadugi" w:cs="Gadugi"/>
        </w:rPr>
        <w:t>ᎤᏓᏅᏖᎴ</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ᎤᏂᏴᏍᏗ</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ᏧᏟ</w:t>
      </w:r>
      <w:r>
        <w:rPr>
          <w:rFonts w:ascii="Times New Roman" w:hAnsi="Times New Roman" w:eastAsia="Times New Roman" w:cs="Times New Roman"/>
        </w:rPr>
        <w:t xml:space="preserve"> </w:t>
      </w:r>
      <w:r>
        <w:rPr>
          <w:rFonts w:ascii="Gadugi" w:hAnsi="Gadugi" w:eastAsia="Gadugi" w:cs="Gadugi"/>
        </w:rPr>
        <w:t>ᏞᎩ</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ᎤᎷᏤᎢ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ᎠᏍᎩ</w:t>
      </w:r>
      <w:r>
        <w:rPr>
          <w:rFonts w:ascii="Times New Roman" w:hAnsi="Times New Roman" w:eastAsia="Times New Roman" w:cs="Times New Roman"/>
        </w:rPr>
        <w:t xml:space="preserve"> </w:t>
      </w:r>
      <w:r>
        <w:rPr>
          <w:rFonts w:ascii="Gadugi" w:hAnsi="Gadugi" w:eastAsia="Gadugi" w:cs="Gadugi"/>
        </w:rPr>
        <w:t>ᎤᏪᏎ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ᎤᏎᎵᏔᏅ</w:t>
      </w:r>
      <w:r>
        <w:rPr>
          <w:rFonts w:ascii="Times New Roman" w:hAnsi="Times New Roman" w:eastAsia="Times New Roman" w:cs="Times New Roman"/>
        </w:rPr>
        <w:t xml:space="preserve"> </w:t>
      </w:r>
      <w:r>
        <w:rPr>
          <w:rFonts w:ascii="Gadugi" w:hAnsi="Gadugi" w:eastAsia="Gadugi" w:cs="Gadugi"/>
        </w:rPr>
        <w:t>ᎤᏓᏱᎸᎯ</w:t>
      </w:r>
      <w:r>
        <w:rPr>
          <w:rFonts w:ascii="Times New Roman" w:hAnsi="Times New Roman" w:eastAsia="Times New Roman" w:cs="Times New Roman"/>
        </w:rPr>
        <w:t xml:space="preserve"> </w:t>
      </w:r>
      <w:r>
        <w:rPr>
          <w:rFonts w:ascii="Gadugi" w:hAnsi="Gadugi" w:eastAsia="Gadugi" w:cs="Gadugi"/>
        </w:rPr>
        <w:t>ᎤᏓᏱᎸᎩ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Christ’s Object Lessons, 152.</w:t>
      </w:r>
    </w:p>
    <w:p>
      <w:pPr>
        <w:pStyle w:val="ArticleBody"/>
        <w:jc w:val="left"/>
      </w:pPr>
      <w:r>
        <w:rPr>
          <w:rFonts w:ascii="Times New Roman" w:hAnsi="Times New Roman" w:eastAsia="Times New Roman" w:cs="Times New Roman"/>
        </w:rPr>
        <w:t>Ammata Abulomabasa ku Cyumweru, ari bwo 1863, Petero ahagarariye amatsinda abiri. Abo bahabwa ikimenyetso cy’inyamaswa cyangwa abo bahabwa ikimenyetso cy’Imana. Igihe Yesu yahinduraga izina rya Simoni akamwita Petero, byagereranyaga abo ijana na mirongo ine na bane. Uko gusobanukirwa na ko kugereranywa no gukuba izina rya Petero hifashishijwe umubare ukomoka ku mwanya w’inyuguti mu nyuguti z’Icyongereza. Nituramuka dukoresheje ubwo buryo nyine kuri 1863, tubona 144.</w:t>
      </w:r>
    </w:p>
    <w:p>
      <w:pPr>
        <w:pStyle w:val="ArticleBody"/>
        <w:jc w:val="left"/>
      </w:pPr>
      <w:r>
        <w:rPr>
          <w:rFonts w:ascii="Times New Roman" w:hAnsi="Times New Roman" w:eastAsia="Times New Roman" w:cs="Times New Roman"/>
        </w:rPr>
        <w:t>Dois dos três símbolos de Moisés que se alinham com 1863 estabelecem que o terceiro período também deve alinhar-se. As duas linhas de Cades identificam a história das virgens prudentes e insensatas, e o terceiro período identifica uma tentativa de empregar esforço humano para realizar uma obra divina. Confiar no poder humano, como fez Moisés com o egípcio, representa confiança na autoridade humana acima da autoridade ordenada.</w:t>
      </w:r>
    </w:p>
    <w:p>
      <w:pPr>
        <w:pStyle w:val="ArticleBody"/>
        <w:jc w:val="left"/>
      </w:pPr>
      <w:r>
        <w:rPr>
          <w:rFonts w:ascii="Times New Roman" w:hAnsi="Times New Roman" w:eastAsia="Times New Roman" w:cs="Times New Roman"/>
        </w:rPr>
        <w:t>Sista White segir um eiginmann sinn að „samband hans við lýð Guðs hafi að sumu leyti verið svipað sambandi Móse við Ísrael.“ Árið 1863 var Móse táknaður með James White. Árið 1863 drepur James White Egypta, slær Krist í annað sinn og biður fyrir uppreisnarmönnum sem höfnuðu boðskapnum um „hvíld“ sem Jóshúa og Kaleb fluttu fram. Móse er bæði heimsk mey þegar hann sló á klettinn í annað sinn og vitur mey þegar hann gekk fram í bæn fyrir uppreisnarmönnum Ísraels.</w:t>
      </w:r>
    </w:p>
    <w:p>
      <w:pPr>
        <w:pStyle w:val="ArticleBody"/>
        <w:jc w:val="left"/>
      </w:pPr>
      <w:r>
        <w:rPr>
          <w:rFonts w:ascii="Times New Roman" w:hAnsi="Times New Roman" w:eastAsia="Times New Roman" w:cs="Times New Roman"/>
        </w:rPr>
        <w:t>Chúng tôi sẽ kết thúc bài viết này bằng đoạn Kinh Thánh trong Dân số ký 14, nơi Môi-se đang ở năm 1863, khi ông được ban cho một sự chiêm ngưỡng về vinh quang của Đức Chúa Trời trong lịch sử song song được tiêu biểu bởi cuộc phản loạn thờ bò vàng.</w:t>
      </w:r>
    </w:p>
    <w:p>
      <w:pPr>
        <w:pStyle w:val="ArticleBody"/>
        <w:jc w:val="left"/>
      </w:pPr>
      <w:r>
        <w:rPr>
          <w:rFonts w:ascii="Times New Roman" w:hAnsi="Times New Roman" w:eastAsia="Times New Roman" w:cs="Times New Roman"/>
        </w:rPr>
        <w:t>در این بخش، خداوند می‌پرسد «تا به کی» باید با سرکشانِ اسرائیل مدارا کند؛ و این همان پرسشی است که اشعیا در باب ششم از خداوند پرسید. توجه کنید که کتاب اعداد این تاریخ را در دوره‌ای قرار می‌دهد که زمین از جلال خدا روشن می‌شود؛ چنان‌که فرشتگان نیز در آیهٔ سومِ اشعیا ۶ بدان اشاره کرده‌اند. 9/11 سنگِ بنیادِ تاریخِ 1844 تا 1863 بود و قانونِ یکشنبه سنگِ سرپوش است. صحنهٔ کتاب اعداد چیزی کمتر از تصویری از آن سرود یا مَثَلِ تاکستان نیست، زیرا از اسرائیلِ باستان عبور می‌شود، در حالی که خداوند با یوشع داخلِ عهد می‌گردد.</w:t>
      </w:r>
    </w:p>
    <w:p>
      <w:pPr>
        <w:pStyle w:val="ArticleScripture"/>
        <w:jc w:val="left"/>
      </w:pPr>
      <w:r>
        <w:rPr>
          <w:rFonts w:ascii="Times New Roman" w:hAnsi="Times New Roman" w:eastAsia="Times New Roman" w:cs="Times New Roman"/>
        </w:rPr>
        <w:t>Ligging de ganse vergadering haar stem op, zo riepen zij; en het volk weende in die nacht. En al de kinderen Israëls murmureerden tegen Mozes en tegen Aäron; en de ganse vergadering zeide tot hen: Och, waren wij toch gestorven in Egypteland! of och, waren wij toch gestorven in deze woestijn! En waarom heeft de HEERE ons in dit land gebracht, om door het zwaard te vallen, zodat onze vrouwen en onze kinderen tot een roof zouden zijn? Zou het niet beter voor ons zijn naar Egypte terug te keren? En zij zeiden tot elkander: Laat ons een overste aanstellen en naar Egypte terugkeren.</w:t>
      </w:r>
    </w:p>
    <w:p>
      <w:pPr>
        <w:pStyle w:val="ArticleScripture"/>
        <w:jc w:val="left"/>
      </w:pPr>
      <w:r>
        <w:rPr>
          <w:rFonts w:ascii="Times New Roman" w:hAnsi="Times New Roman" w:eastAsia="Times New Roman" w:cs="Times New Roman"/>
        </w:rPr>
        <w:t>Pea hili ʻa Mose mo ʻElone ki honau mata ʻi he ʻao ʻo e fakataha kotoa ʻo e fakatahaʻanga ʻo e fānau ʻa ʻIsileli. Pea ko Siosiua ko e foha ʻo Nuni, mo Kēlepi ko e foha ʻo Sifune, ʻa ia naʻe kau ʻiate kinautolu naʻa nau ʻalu ʻo vakaiʻi ʻa e fonua, naʻa nau hae honau ngaahi kofu; Pea naʻa nau lea ki he kakai kotoa ʻo e fānau ʻa ʻIsileli, ʻo pehē,</w:t>
      </w:r>
    </w:p>
    <w:p>
      <w:pPr>
        <w:pStyle w:val="ArticleScripture"/>
        <w:jc w:val="left"/>
      </w:pPr>
      <w:r>
        <w:rPr>
          <w:rFonts w:ascii="Nirmala UI" w:hAnsi="Nirmala UI" w:eastAsia="Nirmala UI" w:cs="Nirmala UI"/>
        </w:rPr>
        <w:t>নিশ্চয়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দেশটি</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অতিক্রম</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উত্তম</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প্রসন্ন</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দেবেন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মধুতে</w:t>
      </w:r>
      <w:r>
        <w:rPr>
          <w:rFonts w:ascii="Times New Roman" w:hAnsi="Times New Roman" w:eastAsia="Times New Roman" w:cs="Times New Roman"/>
        </w:rPr>
        <w:t xml:space="preserve"> </w:t>
      </w:r>
      <w:r>
        <w:rPr>
          <w:rFonts w:ascii="Nirmala UI" w:hAnsi="Nirmala UI" w:eastAsia="Nirmala UI" w:cs="Nirmala UI"/>
        </w:rPr>
        <w:t>প্রবাহমান।</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ভক্ষ্যস্বরূপ</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রক্ষাকবচ</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p>
    <w:p>
      <w:pPr>
        <w:pStyle w:val="ArticleScripture"/>
        <w:jc w:val="left"/>
      </w:pPr>
      <w:r>
        <w:rPr>
          <w:rFonts w:ascii="Times New Roman" w:hAnsi="Times New Roman" w:eastAsia="Times New Roman" w:cs="Times New Roman"/>
        </w:rPr>
        <w:t>Mais toute l’assemblée parla de les lapider. Alors la gloire de l’Éternel apparut dans la tente d’assignation, devant tous les enfants d’Israël. Et l’Éternel dit à Moïse : Jusqu’à quand ce peuple me méprisera-t-il ? et jusqu’à quand ne croira-t-il point en moi, malgré tous les signes que j’ai opérés au milieu de lui ?</w:t>
      </w:r>
    </w:p>
    <w:p>
      <w:pPr>
        <w:pStyle w:val="ArticleScripture"/>
        <w:jc w:val="left"/>
      </w:pPr>
      <w:r>
        <w:rPr>
          <w:rFonts w:ascii="Times New Roman" w:hAnsi="Times New Roman" w:eastAsia="Times New Roman" w:cs="Times New Roman"/>
        </w:rPr>
        <w:t>Ég mun slá þá með drepsótt og svipta þá arfi sínum, en af þér mun ég gjöra meiri og voldugri þjóð en þeir eru.</w:t>
      </w:r>
    </w:p>
    <w:p>
      <w:pPr>
        <w:pStyle w:val="ArticleScripture"/>
        <w:jc w:val="left"/>
      </w:pPr>
      <w:r>
        <w:rPr>
          <w:rFonts w:ascii="Times New Roman" w:hAnsi="Times New Roman" w:eastAsia="Times New Roman" w:cs="Times New Roman"/>
        </w:rPr>
        <w:t>Musa berkata kepada TUHAN, “Maka orang Mesir akan mendengarnya, sebab dengan kuasa-Mu Engkau telah membawa bangsa ini keluar dari tengah-tengah mereka; dan mereka akan memberitahukannya kepada penduduk negeri ini. Sebab mereka telah mendengar bahwa Engkau, ya TUHAN, ada di tengah-tengah bangsa ini, bahwa Engkau, ya TUHAN, tampak berhadapan muka dengan mereka, bahwa awan-Mu tetap berada di atas mereka, dan bahwa Engkau berjalan di depan mereka, pada waktu siang dalam tiang awan dan pada waktu malam dalam tiang api. Sekarang, jika Engkau membunuh seluruh bangsa ini seperti satu orang saja, maka bangsa-bangsa yang telah mendengar kemasyhuran-Mu itu akan berkata: Karena TUHAN tidak sanggup membawa bangsa ini masuk ke negeri yang telah dijanjikan-Nya dengan sumpah kepada mereka, maka Ia membunuh mereka di padang gurun.”</w:t>
      </w:r>
    </w:p>
    <w:p>
      <w:pPr>
        <w:pStyle w:val="ArticleScripture"/>
        <w:jc w:val="left"/>
      </w:pPr>
      <w:r>
        <w:rPr>
          <w:rFonts w:ascii="Times New Roman" w:hAnsi="Times New Roman" w:eastAsia="Times New Roman" w:cs="Times New Roman"/>
        </w:rPr>
        <w:t>و اکنون تمنا دارم که قدرتِ خداوندِ من عظیم باشد، چنان‌که تو فرموده‌ای و گفته‌ای: «یهوه دیرخشم و کثیرالرحمت است، گناه و معصیت را می‌آمرزد، اما هرگز گناهکار را بی‌سزا نمی‌گذارد، و عقوبتِ گناهِ پدران را بر فرزندان تا پشتِ سوم و چهارم می‌رساند.» پس تمنا دارم که گناهِ این قوم را بر حسب عظمتِ رحمتِ خود عفو فرمایی، چنان‌که این قوم را از مصر تا کنون آمرزیده‌ای.</w:t>
      </w:r>
    </w:p>
    <w:p>
      <w:pPr>
        <w:pStyle w:val="ArticleScripture"/>
        <w:jc w:val="left"/>
      </w:pPr>
      <w:r>
        <w:rPr>
          <w:rFonts w:ascii="Times New Roman" w:hAnsi="Times New Roman" w:eastAsia="Times New Roman" w:cs="Times New Roman"/>
        </w:rPr>
        <w:t>Dan Tuhan berfirman, “Aku telah mengampuni sesuai dengan perkataanmu; tetapi demi hidup-Ku, sesungguhnya seluruh bumi akan dipenuhi dengan kemuliaan TUHAN.”</w:t>
      </w:r>
    </w:p>
    <w:p>
      <w:pPr>
        <w:pStyle w:val="ArticleScripture"/>
        <w:jc w:val="left"/>
      </w:pPr>
      <w:r>
        <w:rPr>
          <w:rFonts w:ascii="Times New Roman" w:hAnsi="Times New Roman" w:eastAsia="Times New Roman" w:cs="Times New Roman"/>
        </w:rPr>
        <w:t>بسبب أن جميع أولئك الرجال الذين رأوا مجدي وآياتي التي صنعتها في مصر وفي البرية، وقد جرّبوني الآن هذه العشر المرّات ولم يسمعوا لصوتي، فإنهم لا يرون الأرض التي أقسمت لآبائهم، ولا يرى واحد من الذين أغاظوني إياها. وأما عبدي كالب، فلأنه كانت معه روح أخرى وقد اتبعني تمامًا، فإني أُدخله إلى الأرض التي دخلها، ونسله يرثها. (وكان العمالقة والكنعانيون ساكنين في الوادي.) غدًا التفتوا وارتحلوا إلى البرية في طريق بحر سوف.</w:t>
      </w:r>
    </w:p>
    <w:p>
      <w:pPr>
        <w:pStyle w:val="ArticleScripture"/>
        <w:jc w:val="left"/>
      </w:pPr>
      <w:r>
        <w:rPr>
          <w:rFonts w:ascii="Times New Roman" w:hAnsi="Times New Roman" w:eastAsia="Times New Roman" w:cs="Times New Roman"/>
        </w:rPr>
        <w:t>Et l’Éternel parla à Moïse et à Aaron, en disant : Jusques à quand supporterai-je cette méchante assemblée qui murmure contre moi ? J’ai entendu les murmures des enfants d’Israël, dont ils murmurent contre moi. Dis-leur : Je suis vivant, dit l’Éternel, autant que vous avez parlé à mes oreilles, autant je ferai à votre égard : Vos cadavres tomberont dans ce désert ; vous tous qui avez été dénombrés, selon votre nombre total, depuis l’âge de vingt ans et au-dessus, vous qui avez murmuré contre moi, vous n’entrerez point dans le pays au sujet duquel j’ai juré de vous y faire habiter, excepté Caleb, fils de Jephunné, et Josué, fils de Nun. Mais vos petits enfants, dont vous avez dit qu’ils seraient une proie, je les y ferai entrer, et ils connaîtront le pays que vous avez méprisé. Mais quant à vous, vos cadavres tomberont dans ce désert. Et vos enfants paîtront dans le désert quarante ans, et porteront la peine de vos prostitutions, jusqu’à ce que vos cadavres soient consumés dans le désert. Selon le nombre des jours pendant lesquels vous avez exploré le pays, quarante jours, un jour pour une année, vous porterez vos iniquités quarante années, et vous connaîtrez ce qu’il en est de ma rupture avec vous.</w:t>
      </w:r>
    </w:p>
    <w:p>
      <w:pPr>
        <w:pStyle w:val="ArticleScripture"/>
        <w:jc w:val="left"/>
      </w:pPr>
      <w:r>
        <w:rPr>
          <w:rFonts w:ascii="Times New Roman" w:hAnsi="Times New Roman" w:eastAsia="Times New Roman" w:cs="Times New Roman"/>
        </w:rPr>
        <w:t>Tôi, Đức Giê-hô-va, đã phán: Chắc chắn Ta sẽ làm như vậy cho cả hội chúng gian ác này, là những kẻ đã hiệp lại nghịch cùng Ta; trong đồng vắng này chúng sẽ bị diệt mất, và tại đó chúng sẽ chết. Còn những người mà Môi-se đã sai đi do thám xứ, khi trở về đã khiến cả hội chúng lằm bằm nghịch cùng người, vì tung ra lời phỉ báng về xứ ấy, thì chính những người đã đem tin dữ về xứ ấy đều chết bởi tai vạ trước mặt Đức Giê-hô-va.</w:t>
      </w:r>
    </w:p>
    <w:p>
      <w:pPr>
        <w:pStyle w:val="ArticleScripture"/>
        <w:jc w:val="left"/>
      </w:pPr>
      <w:r>
        <w:rPr>
          <w:rFonts w:ascii="Times New Roman" w:hAnsi="Times New Roman" w:eastAsia="Times New Roman" w:cs="Times New Roman"/>
        </w:rPr>
        <w:t>Mais Josué, fils de Nun, et Caleb, fils de Jephunné, demeurèrent en vie parmi les hommes qui étaient allés explorer le pays. Nombres 14:1–38.</w:t>
      </w:r>
    </w:p>
    <w:p>
      <w:pPr>
        <w:pStyle w:val="ArticleBody"/>
        <w:jc w:val="left"/>
      </w:pPr>
      <w:r>
        <w:rPr>
          <w:rFonts w:ascii="Microsoft YaHei" w:hAnsi="Microsoft YaHei" w:eastAsia="Microsoft YaHei" w:cs="Microsoft YaHei"/>
        </w:rPr>
        <w:t>続</w:t>
      </w:r>
      <w:r>
        <w:rPr>
          <w:rFonts w:ascii="MS Gothic" w:hAnsi="MS Gothic" w:eastAsia="MS Gothic" w:cs="MS Gothic"/>
        </w:rPr>
        <w:t>きは</w:t>
      </w:r>
      <w:r>
        <w:rPr>
          <w:rFonts w:ascii="Microsoft YaHei" w:hAnsi="Microsoft YaHei" w:eastAsia="Microsoft YaHei" w:cs="Microsoft YaHei"/>
        </w:rPr>
        <w:t>次回</w:t>
      </w:r>
      <w:r>
        <w:rPr>
          <w:rFonts w:ascii="MS Gothic" w:hAnsi="MS Gothic" w:eastAsia="MS Gothic" w:cs="MS Gothic"/>
        </w:rPr>
        <w:t>の</w:t>
      </w:r>
      <w:r>
        <w:rPr>
          <w:rFonts w:ascii="Microsoft YaHei" w:hAnsi="Microsoft YaHei" w:eastAsia="Microsoft YaHei" w:cs="Microsoft YaHei"/>
        </w:rPr>
        <w:t>記事</w:t>
      </w:r>
      <w:r>
        <w:rPr>
          <w:rFonts w:ascii="MS Gothic" w:hAnsi="MS Gothic" w:eastAsia="MS Gothic" w:cs="MS Gothic"/>
        </w:rPr>
        <w:t>で</w:t>
      </w:r>
      <w:r>
        <w:rPr>
          <w:rFonts w:ascii="Microsoft YaHei" w:hAnsi="Microsoft YaHei" w:eastAsia="Microsoft YaHei" w:cs="Microsoft YaHei"/>
        </w:rPr>
        <w:t>述</w:t>
      </w:r>
      <w:r>
        <w:rPr>
          <w:rFonts w:ascii="MS Gothic" w:hAnsi="MS Gothic" w:eastAsia="MS Gothic" w:cs="MS Gothic"/>
        </w:rPr>
        <w:t>べることにする</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de Joël et l’Église adventiste du septième jour de Laodicée - Numéro quatorze</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