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a Joel na Nkorɛfo Asɔre a ɛyɛ Laodikea Seventh-day Adventist - Nɔma Dununson}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Numéro dix-neuf</w:t>
      </w:r>
    </w:p>
    <w:p>
      <w:pPr>
        <w:pStyle w:val="ArticleBody"/>
        <w:jc w:val="left"/>
      </w:pPr>
      <w:r>
        <w:rPr>
          <w:rFonts w:ascii="Nirmala UI" w:hAnsi="Nirmala UI" w:eastAsia="Nirmala UI" w:cs="Nirmala UI"/>
        </w:rPr>
        <w:t>સિંહ</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યહૂદાના</w:t>
      </w:r>
      <w:r>
        <w:rPr>
          <w:rFonts w:ascii="Times New Roman" w:hAnsi="Times New Roman" w:eastAsia="Times New Roman" w:cs="Times New Roman"/>
        </w:rPr>
        <w:t xml:space="preserve"> </w:t>
      </w:r>
      <w:r>
        <w:rPr>
          <w:rFonts w:ascii="Nirmala UI" w:hAnsi="Nirmala UI" w:eastAsia="Nirmala UI" w:cs="Nirmala UI"/>
        </w:rPr>
        <w:t>વંશનો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ઈસુનું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નામ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વચનને</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મુદ્રિત</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મુદ્રાઓ</w:t>
      </w:r>
      <w:r>
        <w:rPr>
          <w:rFonts w:ascii="Times New Roman" w:hAnsi="Times New Roman" w:eastAsia="Times New Roman" w:cs="Times New Roman"/>
        </w:rPr>
        <w:t xml:space="preserve"> </w:t>
      </w:r>
      <w:r>
        <w:rPr>
          <w:rFonts w:ascii="Nirmala UI" w:hAnsi="Nirmala UI" w:eastAsia="Nirmala UI" w:cs="Nirmala UI"/>
        </w:rPr>
        <w:t>ખોલવાની</w:t>
      </w:r>
      <w:r>
        <w:rPr>
          <w:rFonts w:ascii="Times New Roman" w:hAnsi="Times New Roman" w:eastAsia="Times New Roman" w:cs="Times New Roman"/>
        </w:rPr>
        <w:t xml:space="preserve"> </w:t>
      </w:r>
      <w:r>
        <w:rPr>
          <w:rFonts w:ascii="Nirmala UI" w:hAnsi="Nirmala UI" w:eastAsia="Nirmala UI" w:cs="Nirmala UI"/>
        </w:rPr>
        <w:t>ક્રિયાને</w:t>
      </w:r>
      <w:r>
        <w:rPr>
          <w:rFonts w:ascii="Times New Roman" w:hAnsi="Times New Roman" w:eastAsia="Times New Roman" w:cs="Times New Roman"/>
        </w:rPr>
        <w:t xml:space="preserve"> </w:t>
      </w:r>
      <w:r>
        <w:rPr>
          <w:rFonts w:ascii="Nirmala UI" w:hAnsi="Nirmala UI" w:eastAsia="Nirmala UI" w:cs="Nirmala UI"/>
        </w:rPr>
        <w:t>વિશેષ</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ઉજાગર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પ્રકાશનના</w:t>
      </w:r>
      <w:r>
        <w:rPr>
          <w:rFonts w:ascii="Times New Roman" w:hAnsi="Times New Roman" w:eastAsia="Times New Roman" w:cs="Times New Roman"/>
        </w:rPr>
        <w:t xml:space="preserve"> </w:t>
      </w:r>
      <w:r>
        <w:rPr>
          <w:rFonts w:ascii="Nirmala UI" w:hAnsi="Nirmala UI" w:eastAsia="Nirmala UI" w:cs="Nirmala UI"/>
        </w:rPr>
        <w:t>પાંચમા</w:t>
      </w:r>
      <w:r>
        <w:rPr>
          <w:rFonts w:ascii="Times New Roman" w:hAnsi="Times New Roman" w:eastAsia="Times New Roman" w:cs="Times New Roman"/>
        </w:rPr>
        <w:t xml:space="preserve"> </w:t>
      </w:r>
      <w:r>
        <w:rPr>
          <w:rFonts w:ascii="Nirmala UI" w:hAnsi="Nirmala UI" w:eastAsia="Nirmala UI" w:cs="Nirmala UI"/>
        </w:rPr>
        <w:t>અધ્યાયમાં</w:t>
      </w:r>
      <w:r>
        <w:rPr>
          <w:rFonts w:ascii="Times New Roman" w:hAnsi="Times New Roman" w:eastAsia="Times New Roman" w:cs="Times New Roman"/>
        </w:rPr>
        <w:t xml:space="preserve"> </w:t>
      </w:r>
      <w:r>
        <w:rPr>
          <w:rFonts w:ascii="Nirmala UI" w:hAnsi="Nirmala UI" w:eastAsia="Nirmala UI" w:cs="Nirmala UI"/>
        </w:rPr>
        <w:t>યહૂદાના</w:t>
      </w:r>
      <w:r>
        <w:rPr>
          <w:rFonts w:ascii="Times New Roman" w:hAnsi="Times New Roman" w:eastAsia="Times New Roman" w:cs="Times New Roman"/>
        </w:rPr>
        <w:t xml:space="preserve"> </w:t>
      </w:r>
      <w:r>
        <w:rPr>
          <w:rFonts w:ascii="Nirmala UI" w:hAnsi="Nirmala UI" w:eastAsia="Nirmala UI" w:cs="Nirmala UI"/>
        </w:rPr>
        <w:t>વંશનો</w:t>
      </w:r>
      <w:r>
        <w:rPr>
          <w:rFonts w:ascii="Times New Roman" w:hAnsi="Times New Roman" w:eastAsia="Times New Roman" w:cs="Times New Roman"/>
        </w:rPr>
        <w:t xml:space="preserve"> </w:t>
      </w:r>
      <w:r>
        <w:rPr>
          <w:rFonts w:ascii="Nirmala UI" w:hAnsi="Nirmala UI" w:eastAsia="Nirmala UI" w:cs="Nirmala UI"/>
        </w:rPr>
        <w:t>સિંહ</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દાવિદનું</w:t>
      </w:r>
      <w:r>
        <w:rPr>
          <w:rFonts w:ascii="Times New Roman" w:hAnsi="Times New Roman" w:eastAsia="Times New Roman" w:cs="Times New Roman"/>
        </w:rPr>
        <w:t xml:space="preserve"> </w:t>
      </w:r>
      <w:r>
        <w:rPr>
          <w:rFonts w:ascii="Nirmala UI" w:hAnsi="Nirmala UI" w:eastAsia="Nirmala UI" w:cs="Nirmala UI"/>
        </w:rPr>
        <w:t>મૂળ</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પુસ્તક</w:t>
      </w:r>
      <w:r>
        <w:rPr>
          <w:rFonts w:ascii="Times New Roman" w:hAnsi="Times New Roman" w:eastAsia="Times New Roman" w:cs="Times New Roman"/>
        </w:rPr>
        <w:t xml:space="preserve"> </w:t>
      </w:r>
      <w:r>
        <w:rPr>
          <w:rFonts w:ascii="Nirmala UI" w:hAnsi="Nirmala UI" w:eastAsia="Nirmala UI" w:cs="Nirmala UI"/>
        </w:rPr>
        <w:t>ખોલવા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વિજયી</w:t>
      </w:r>
      <w:r>
        <w:rPr>
          <w:rFonts w:ascii="Times New Roman" w:hAnsi="Times New Roman" w:eastAsia="Times New Roman" w:cs="Times New Roman"/>
        </w:rPr>
        <w:t xml:space="preserve"> </w:t>
      </w:r>
      <w:r>
        <w:rPr>
          <w:rFonts w:ascii="Nirmala UI" w:hAnsi="Nirmala UI" w:eastAsia="Nirmala UI" w:cs="Nirmala UI"/>
        </w:rPr>
        <w:t>ઠર્યો</w:t>
      </w:r>
      <w:r>
        <w:rPr>
          <w:rFonts w:ascii="Times New Roman" w:hAnsi="Times New Roman" w:eastAsia="Times New Roman" w:cs="Times New Roman"/>
        </w:rPr>
        <w:t xml:space="preserve">. </w:t>
      </w:r>
      <w:r>
        <w:rPr>
          <w:rFonts w:ascii="Nirmala UI" w:hAnsi="Nirmala UI" w:eastAsia="Nirmala UI" w:cs="Nirmala UI"/>
        </w:rPr>
        <w:t>દાવિદનું</w:t>
      </w:r>
      <w:r>
        <w:rPr>
          <w:rFonts w:ascii="Times New Roman" w:hAnsi="Times New Roman" w:eastAsia="Times New Roman" w:cs="Times New Roman"/>
        </w:rPr>
        <w:t xml:space="preserve"> “</w:t>
      </w:r>
      <w:r>
        <w:rPr>
          <w:rFonts w:ascii="Nirmala UI" w:hAnsi="Nirmala UI" w:eastAsia="Nirmala UI" w:cs="Nirmala UI"/>
        </w:rPr>
        <w:t>મૂલ</w:t>
      </w:r>
      <w:r>
        <w:rPr>
          <w:rFonts w:ascii="Times New Roman" w:hAnsi="Times New Roman" w:eastAsia="Times New Roman" w:cs="Times New Roman"/>
        </w:rPr>
        <w:t xml:space="preserve">” </w:t>
      </w:r>
      <w:r>
        <w:rPr>
          <w:rFonts w:ascii="Nirmala UI" w:hAnsi="Nirmala UI" w:eastAsia="Nirmala UI" w:cs="Nirmala UI"/>
        </w:rPr>
        <w:t>યિશ્શૈ</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યિશ્શૈનું</w:t>
      </w:r>
      <w:r>
        <w:rPr>
          <w:rFonts w:ascii="Times New Roman" w:hAnsi="Times New Roman" w:eastAsia="Times New Roman" w:cs="Times New Roman"/>
        </w:rPr>
        <w:t xml:space="preserve"> </w:t>
      </w:r>
      <w:r>
        <w:rPr>
          <w:rFonts w:ascii="Nirmala UI" w:hAnsi="Nirmala UI" w:eastAsia="Nirmala UI" w:cs="Nirmala UI"/>
        </w:rPr>
        <w:t>મૂળ</w:t>
      </w:r>
      <w:r>
        <w:rPr>
          <w:rFonts w:ascii="Times New Roman" w:hAnsi="Times New Roman" w:eastAsia="Times New Roman" w:cs="Times New Roman"/>
        </w:rPr>
        <w:t xml:space="preserve"> </w:t>
      </w:r>
      <w:r>
        <w:rPr>
          <w:rFonts w:ascii="Nirmala UI" w:hAnsi="Nirmala UI" w:eastAsia="Nirmala UI" w:cs="Nirmala UI"/>
        </w:rPr>
        <w:t>પેરેઝ</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મૂળ</w:t>
      </w:r>
      <w:r>
        <w:rPr>
          <w:rFonts w:ascii="Times New Roman" w:hAnsi="Times New Roman" w:eastAsia="Times New Roman" w:cs="Times New Roman"/>
        </w:rPr>
        <w:t xml:space="preserve"> </w:t>
      </w:r>
      <w:r>
        <w:rPr>
          <w:rFonts w:ascii="Nirmala UI" w:hAnsi="Nirmala UI" w:eastAsia="Nirmala UI" w:cs="Nirmala UI"/>
        </w:rPr>
        <w:t>યહૂદા</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મૂળ</w:t>
      </w:r>
      <w:r>
        <w:rPr>
          <w:rFonts w:ascii="Times New Roman" w:hAnsi="Times New Roman" w:eastAsia="Times New Roman" w:cs="Times New Roman"/>
        </w:rPr>
        <w:t xml:space="preserve"> </w:t>
      </w:r>
      <w:r>
        <w:rPr>
          <w:rFonts w:ascii="Nirmala UI" w:hAnsi="Nirmala UI" w:eastAsia="Nirmala UI" w:cs="Nirmala UI"/>
        </w:rPr>
        <w:t>યાકૂબ</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મૂળ</w:t>
      </w:r>
      <w:r>
        <w:rPr>
          <w:rFonts w:ascii="Times New Roman" w:hAnsi="Times New Roman" w:eastAsia="Times New Roman" w:cs="Times New Roman"/>
        </w:rPr>
        <w:t xml:space="preserve"> </w:t>
      </w:r>
      <w:r>
        <w:rPr>
          <w:rFonts w:ascii="Nirmala UI" w:hAnsi="Nirmala UI" w:eastAsia="Nirmala UI" w:cs="Nirmala UI"/>
        </w:rPr>
        <w:t>ઇસહાક</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મૂળ</w:t>
      </w:r>
      <w:r>
        <w:rPr>
          <w:rFonts w:ascii="Times New Roman" w:hAnsi="Times New Roman" w:eastAsia="Times New Roman" w:cs="Times New Roman"/>
        </w:rPr>
        <w:t xml:space="preserve"> </w:t>
      </w:r>
      <w:r>
        <w:rPr>
          <w:rFonts w:ascii="Nirmala UI" w:hAnsi="Nirmala UI" w:eastAsia="Nirmala UI" w:cs="Nirmala UI"/>
        </w:rPr>
        <w:t>અબ્રાહામ</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યહૂદાના</w:t>
      </w:r>
      <w:r>
        <w:rPr>
          <w:rFonts w:ascii="Times New Roman" w:hAnsi="Times New Roman" w:eastAsia="Times New Roman" w:cs="Times New Roman"/>
        </w:rPr>
        <w:t xml:space="preserve"> </w:t>
      </w:r>
      <w:r>
        <w:rPr>
          <w:rFonts w:ascii="Nirmala UI" w:hAnsi="Nirmala UI" w:eastAsia="Nirmala UI" w:cs="Nirmala UI"/>
        </w:rPr>
        <w:t>વંશના</w:t>
      </w:r>
      <w:r>
        <w:rPr>
          <w:rFonts w:ascii="Times New Roman" w:hAnsi="Times New Roman" w:eastAsia="Times New Roman" w:cs="Times New Roman"/>
        </w:rPr>
        <w:t xml:space="preserve"> </w:t>
      </w:r>
      <w:r>
        <w:rPr>
          <w:rFonts w:ascii="Nirmala UI" w:hAnsi="Nirmala UI" w:eastAsia="Nirmala UI" w:cs="Nirmala UI"/>
        </w:rPr>
        <w:t>સિંહના</w:t>
      </w:r>
      <w:r>
        <w:rPr>
          <w:rFonts w:ascii="Times New Roman" w:hAnsi="Times New Roman" w:eastAsia="Times New Roman" w:cs="Times New Roman"/>
        </w:rPr>
        <w:t xml:space="preserve"> </w:t>
      </w:r>
      <w:r>
        <w:rPr>
          <w:rFonts w:ascii="Nirmala UI" w:hAnsi="Nirmala UI" w:eastAsia="Nirmala UI" w:cs="Nirmala UI"/>
        </w:rPr>
        <w:t>સંબંધમાં</w:t>
      </w:r>
      <w:r>
        <w:rPr>
          <w:rFonts w:ascii="Times New Roman" w:hAnsi="Times New Roman" w:eastAsia="Times New Roman" w:cs="Times New Roman"/>
        </w:rPr>
        <w:t xml:space="preserve"> </w:t>
      </w:r>
      <w:r>
        <w:rPr>
          <w:rFonts w:ascii="Nirmala UI" w:hAnsi="Nirmala UI" w:eastAsia="Nirmala UI" w:cs="Nirmala UI"/>
        </w:rPr>
        <w:t>દાવિદ</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યિશ્શૈના</w:t>
      </w:r>
      <w:r>
        <w:rPr>
          <w:rFonts w:ascii="Times New Roman" w:hAnsi="Times New Roman" w:eastAsia="Times New Roman" w:cs="Times New Roman"/>
        </w:rPr>
        <w:t xml:space="preserve"> </w:t>
      </w:r>
      <w:r>
        <w:rPr>
          <w:rFonts w:ascii="Nirmala UI" w:hAnsi="Nirmala UI" w:eastAsia="Nirmala UI" w:cs="Nirmala UI"/>
        </w:rPr>
        <w:t>મૂળનો</w:t>
      </w:r>
      <w:r>
        <w:rPr>
          <w:rFonts w:ascii="Times New Roman" w:hAnsi="Times New Roman" w:eastAsia="Times New Roman" w:cs="Times New Roman"/>
        </w:rPr>
        <w:t xml:space="preserve"> </w:t>
      </w:r>
      <w:r>
        <w:rPr>
          <w:rFonts w:ascii="Nirmala UI" w:hAnsi="Nirmala UI" w:eastAsia="Nirmala UI" w:cs="Nirmala UI"/>
        </w:rPr>
        <w:t>ઉલ્લેખ</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આરંભ</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અંતના</w:t>
      </w:r>
      <w:r>
        <w:rPr>
          <w:rFonts w:ascii="Times New Roman" w:hAnsi="Times New Roman" w:eastAsia="Times New Roman" w:cs="Times New Roman"/>
        </w:rPr>
        <w:t xml:space="preserve"> </w:t>
      </w:r>
      <w:r>
        <w:rPr>
          <w:rFonts w:ascii="Nirmala UI" w:hAnsi="Nirmala UI" w:eastAsia="Nirmala UI" w:cs="Nirmala UI"/>
        </w:rPr>
        <w:t>સિદ્ધાંતો</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ભાર</w:t>
      </w:r>
      <w:r>
        <w:rPr>
          <w:rFonts w:ascii="Times New Roman" w:hAnsi="Times New Roman" w:eastAsia="Times New Roman" w:cs="Times New Roman"/>
        </w:rPr>
        <w:t xml:space="preserve"> </w:t>
      </w:r>
      <w:r>
        <w:rPr>
          <w:rFonts w:ascii="Nirmala UI" w:hAnsi="Nirmala UI" w:eastAsia="Nirmala UI" w:cs="Nirmala UI"/>
        </w:rPr>
        <w:t>મૂકે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એટલે</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આલ્ફા</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ઓમેગા</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પ્રકાશનના</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અધ્યાયમાં</w:t>
      </w:r>
      <w:r>
        <w:rPr>
          <w:rFonts w:ascii="Times New Roman" w:hAnsi="Times New Roman" w:eastAsia="Times New Roman" w:cs="Times New Roman"/>
        </w:rPr>
        <w:t xml:space="preserve"> </w:t>
      </w:r>
      <w:r>
        <w:rPr>
          <w:rFonts w:ascii="Nirmala UI" w:hAnsi="Nirmala UI" w:eastAsia="Nirmala UI" w:cs="Nirmala UI"/>
        </w:rPr>
        <w:t>ઈસુ</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પ્રકાશન</w:t>
      </w:r>
      <w:r>
        <w:rPr>
          <w:rFonts w:ascii="Times New Roman" w:hAnsi="Times New Roman" w:eastAsia="Times New Roman" w:cs="Times New Roman"/>
        </w:rPr>
        <w:t xml:space="preserve"> </w:t>
      </w:r>
      <w:r>
        <w:rPr>
          <w:rFonts w:ascii="Nirmala UI" w:hAnsi="Nirmala UI" w:eastAsia="Nirmala UI" w:cs="Nirmala UI"/>
        </w:rPr>
        <w:t>અમુદ્રિત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સ્વભાવનું</w:t>
      </w:r>
      <w:r>
        <w:rPr>
          <w:rFonts w:ascii="Times New Roman" w:hAnsi="Times New Roman" w:eastAsia="Times New Roman" w:cs="Times New Roman"/>
        </w:rPr>
        <w:t xml:space="preserve"> </w:t>
      </w:r>
      <w:r>
        <w:rPr>
          <w:rFonts w:ascii="Nirmala UI" w:hAnsi="Nirmala UI" w:eastAsia="Nirmala UI" w:cs="Nirmala UI"/>
        </w:rPr>
        <w:t>મુખ્ય</w:t>
      </w:r>
      <w:r>
        <w:rPr>
          <w:rFonts w:ascii="Times New Roman" w:hAnsi="Times New Roman" w:eastAsia="Times New Roman" w:cs="Times New Roman"/>
        </w:rPr>
        <w:t xml:space="preserve"> </w:t>
      </w:r>
      <w:r>
        <w:rPr>
          <w:rFonts w:ascii="Nirmala UI" w:hAnsi="Nirmala UI" w:eastAsia="Nirmala UI" w:cs="Nirmala UI"/>
        </w:rPr>
        <w:t>લક્ષણ</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આલ્ફા</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ઓમેગા</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સિદ્ધાંત</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યહૂદાના</w:t>
      </w:r>
      <w:r>
        <w:rPr>
          <w:rFonts w:ascii="Times New Roman" w:hAnsi="Times New Roman" w:eastAsia="Times New Roman" w:cs="Times New Roman"/>
        </w:rPr>
        <w:t xml:space="preserve"> </w:t>
      </w:r>
      <w:r>
        <w:rPr>
          <w:rFonts w:ascii="Nirmala UI" w:hAnsi="Nirmala UI" w:eastAsia="Nirmala UI" w:cs="Nirmala UI"/>
        </w:rPr>
        <w:t>વંશના</w:t>
      </w:r>
      <w:r>
        <w:rPr>
          <w:rFonts w:ascii="Times New Roman" w:hAnsi="Times New Roman" w:eastAsia="Times New Roman" w:cs="Times New Roman"/>
        </w:rPr>
        <w:t xml:space="preserve"> </w:t>
      </w:r>
      <w:r>
        <w:rPr>
          <w:rFonts w:ascii="Nirmala UI" w:hAnsi="Nirmala UI" w:eastAsia="Nirmala UI" w:cs="Nirmala UI"/>
        </w:rPr>
        <w:t>સિંહે</w:t>
      </w:r>
      <w:r>
        <w:rPr>
          <w:rFonts w:ascii="Times New Roman" w:hAnsi="Times New Roman" w:eastAsia="Times New Roman" w:cs="Times New Roman"/>
        </w:rPr>
        <w:t xml:space="preserve"> </w:t>
      </w:r>
      <w:r>
        <w:rPr>
          <w:rFonts w:ascii="Nirmala UI" w:hAnsi="Nirmala UI" w:eastAsia="Nirmala UI" w:cs="Nirmala UI"/>
        </w:rPr>
        <w:t>મુદ્રિત</w:t>
      </w:r>
      <w:r>
        <w:rPr>
          <w:rFonts w:ascii="Times New Roman" w:hAnsi="Times New Roman" w:eastAsia="Times New Roman" w:cs="Times New Roman"/>
        </w:rPr>
        <w:t xml:space="preserve"> </w:t>
      </w:r>
      <w:r>
        <w:rPr>
          <w:rFonts w:ascii="Nirmala UI" w:hAnsi="Nirmala UI" w:eastAsia="Nirmala UI" w:cs="Nirmala UI"/>
        </w:rPr>
        <w:t>કરેલી</w:t>
      </w:r>
      <w:r>
        <w:rPr>
          <w:rFonts w:ascii="Times New Roman" w:hAnsi="Times New Roman" w:eastAsia="Times New Roman" w:cs="Times New Roman"/>
        </w:rPr>
        <w:t xml:space="preserve"> </w:t>
      </w:r>
      <w:r>
        <w:rPr>
          <w:rFonts w:ascii="Nirmala UI" w:hAnsi="Nirmala UI" w:eastAsia="Nirmala UI" w:cs="Nirmala UI"/>
        </w:rPr>
        <w:t>ભવિષ્યવાણીઓને</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નક્કી</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અમુદ્રિત</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فتحِ کلامِ نبوتیِ خداوند بخشی از عملِ رستگاریِ اوست، زیرا او قدرتِ کلامِ خویش را به‌کار می‌گیرد تا بر حسبِ ارادۀ خود بیداری‌ها را پدید آورد. خواهر وایت می‌گوید که هنگامی که کتاب‌های دانیال و مکاشفه بهتر فهمیده شوند، در میانِ ما بیداریِ عظیمی دیده خواهد شد. این نورِ کلامِ نبوتیِ خداوند است که بر طبقِ ارادۀ او بیداری و اصلاح را پدید می‌آورد.</w:t>
      </w:r>
    </w:p>
    <w:p>
      <w:pPr>
        <w:pStyle w:val="ArticleBody"/>
        <w:jc w:val="left"/>
      </w:pPr>
      <w:r>
        <w:rPr>
          <w:rFonts w:ascii="Times New Roman" w:hAnsi="Times New Roman" w:eastAsia="Times New Roman" w:cs="Times New Roman"/>
        </w:rPr>
        <w:t>Für letzte Tage vlu Sister White uf e großi Reformation hi, wo under Gottes Volk i de Endzyte stattfindet. D Erweckige und Reformationsbewegige vo de heilige Gschicht si alli us em Wort Gottes hervorgange, und jedi vo dene heilige Epoche het uf d letscht groß Erweckig und Reformation hiwiese, wo churz vor em Sunntigsgsetz aafangt. Die Erweckige wärde dur es Ufbreche vo Gottes Wort hervorbracht. D sibe Donner si versiglet worde, grad eso wie au s Buech Daniel im zwölfte Kapitel.</w:t>
      </w:r>
    </w:p>
    <w:p>
      <w:pPr>
        <w:pStyle w:val="ArticleBody"/>
        <w:jc w:val="left"/>
      </w:pPr>
      <w:r>
        <w:rPr>
          <w:rFonts w:ascii="Times New Roman" w:hAnsi="Times New Roman" w:eastAsia="Times New Roman" w:cs="Times New Roman"/>
        </w:rPr>
        <w:t>باسم الله، ترجمهٔ روان و دقیق به فارسیِ متن شما چنین است: هنگامی که ویژگی‌های نبویِ یک دورهٔ پراکندگی را که با نماد ۱۲۶۰ مرتبط است به کار می‌بریم، درمی‌یابیم که در مکاشفهٔ یازده، موسی و ایلیا به مدت سه روز و نیم در کوچه و خیابان افتاده و مرده‌اند. تا آیهٔ هجده، زمان غضب خدا فرا رسیده است. موسی و ایلیا نمایندهٔ قوم خدا درست پیش از پایان مهلت آزمون انسان هستند. آنان به مدت ۱۲۶۰ روزِ نمادین در کوچه‌ها و خیابان‌های سدوم و مصر، جایی که عیسی مصلوب شد، پراکنده می‌شوند.</w:t>
      </w:r>
    </w:p>
    <w:p>
      <w:pPr>
        <w:pStyle w:val="ArticleBody"/>
        <w:jc w:val="left"/>
      </w:pPr>
      <w:r>
        <w:rPr>
          <w:rFonts w:ascii="Times New Roman" w:hAnsi="Times New Roman" w:eastAsia="Times New Roman" w:cs="Times New Roman"/>
        </w:rPr>
        <w:t>Mose na Eliya walipewa uwezo wa kutoa ushuhuda wao kuanzia aya ya tatu hadi aya ya saba, ambamo wanauawa katika njia kuu. Yohana alimaliza kuupima hekalu katika aya ya pili, kisha Mose na Eliya wakapewa uwezo wa kutoa ushuhuda wao, wakiwa wamevaa nguo za gunia. Ujumbe wa Eliya na Mose ulitolewa kwa Uadventisti wa Kimileriti wa Filadelfia mwaka wa 1844, na kufikia mwaka wa 1863, sauti zao zilikuwa zimezikwa chini ya desturi na mapokeo yanayorithishwa kutoka kizazi hadi kizazi. Walipewa uwezo wa kutoa ushuhuda wao kwa muda wa miaka mitatu na nusu, wakiwa wamevaa “nguo za gunia,” ishara ya giza linalozidi kuongezeka tangu mwaka wa 1863 na kuendelea.</w:t>
      </w:r>
    </w:p>
    <w:p>
      <w:pPr>
        <w:pStyle w:val="ArticleBody"/>
        <w:jc w:val="left"/>
      </w:pPr>
      <w:r>
        <w:rPr>
          <w:rFonts w:ascii="Times New Roman" w:hAnsi="Times New Roman" w:eastAsia="Times New Roman" w:cs="Times New Roman"/>
        </w:rPr>
        <w:t>Lorsque nous appliquons la définition que donne Sœur White des sept tonnerres comme représentant les événements du premier et du second ange, selon une ligne sur ligne, nous construisons une histoire qui commence par un ange descendant avec un message; mais, ligne sur ligne, l’ange est à la fois le premier et le second ange. L’un posa son pied sur la terre et un pied sur la mer le 11 août 1840, et l’autre arriva au moment de la déception du 19 avril 1844.</w:t>
      </w:r>
    </w:p>
    <w:p>
      <w:pPr>
        <w:pStyle w:val="ArticleBody"/>
        <w:jc w:val="left"/>
      </w:pPr>
      <w:r>
        <w:rPr>
          <w:rFonts w:ascii="Times New Roman" w:hAnsi="Times New Roman" w:eastAsia="Times New Roman" w:cs="Times New Roman"/>
        </w:rPr>
        <w:t>Ntcham zia yi ritufa yi zia nkùm mìŋgɔ yìyè, mɔɔ́ ntɔm wa Nzambé, wa a tsím̄ban̄ na mɛ́sà a Habakuk. Na m̀fɔl wa m̀bɔ́k wa yìa, chart ya 1843 e salama, kasi libúngu ezalaki na libunga na mwa mitángo mosusu. Na m̀fɔl wa m̀bɔ́k wa míbalé, ntɔm wa Nzambé ezali ritufa yi mɛ́sà a Habakuk; e talisamaka tango Alongolaki lobɔkɔ na Ye likoló ya libunga lyángo. Tango Alongolaki lobɔkɔ na Ye, nsango yango ekolaki malembe-malembe kino na nsɔ́mo na yango na liyangani linene lya Exeter, mwa moke liboso ya bozangi kokokisama ya 22 Octobre 1844.</w:t>
      </w:r>
    </w:p>
    <w:p>
      <w:pPr>
        <w:pStyle w:val="ArticleBody"/>
        <w:jc w:val="left"/>
      </w:pPr>
      <w:r>
        <w:rPr>
          <w:rFonts w:ascii="Times New Roman" w:hAnsi="Times New Roman" w:eastAsia="Times New Roman" w:cs="Times New Roman"/>
        </w:rPr>
        <w:t>Les deux lignes identifient un message mondial, car l’ange qui arrive pose un pied sur la terre et un pied sur la mer, et l’Inspiration nous informe que cela représente un message mondial. L’ange identifie aussi le commencement du temps de retard dans la parabole des dix vierges. À ce premier point de repère, nous voyons également la main de Dieu produire un mensonge. Le 19 avril 1844, prophétiquement, il semblait que la vision eût menti, mais ceux qui eurent de la patience attendirent, et, bien que la vision tardât, elle ne mentit pas. Mais lorsque commence la ligne que nous édifions, le mensonge du premier désappointement est marqué comme un attribut du premier point de repère.</w:t>
      </w:r>
    </w:p>
    <w:p>
      <w:pPr>
        <w:pStyle w:val="ArticleBody"/>
        <w:jc w:val="left"/>
      </w:pPr>
      <w:r>
        <w:rPr>
          <w:rFonts w:ascii="Times New Roman" w:hAnsi="Times New Roman" w:eastAsia="Times New Roman" w:cs="Times New Roman"/>
        </w:rPr>
        <w:t>Entonces, la señal de la mano de Dios y las tablas de Habacuc muestra que Dios cubre un error y luego retira Su mano del error. En la historia millerita, el error fue permitido por Dios en mayo de 1842, cuando se imprimió el cuadro, y posteriormente el error se manifestó cuando terminó el año 1843; pero fue algún tiempo después cuando el Señor retiró Su mano del error en las cifras. El error se extendió desde mayo de 1842 hasta algún momento después del primer chasco. Para el primer ángel, la mano de Dios y las tablas de Habacuc quedan señaladas en mayo de 1842, pero el retiro de Su mano en la historia del segundo ángel sería poco después del primer chasco.</w:t>
      </w:r>
    </w:p>
    <w:p>
      <w:pPr>
        <w:pStyle w:val="ArticleBody"/>
        <w:jc w:val="left"/>
      </w:pPr>
      <w:r>
        <w:rPr>
          <w:rFonts w:ascii="Times New Roman" w:hAnsi="Times New Roman" w:eastAsia="Times New Roman" w:cs="Times New Roman"/>
        </w:rPr>
        <w:t>Ceci identifie le repère de la « main » comme une période prophétique. Une période qui commence lorsque Sa main couvre une erreur, puis s’achève lorsque Sa main est retirée de l’erreur. Cette période durant laquelle Sa main couvre puis découvre est une illustration de l’œuvre du Lion de la tribu de Juda lorsqu’Il scelle puis descelle la lumière prophétique. Il a couvert la vérité, puis a révélé cette même vérité — sous une lumière différente qui ne contredisait pas la lumière originelle. Il l’a fait afin de produire le réveil et la réforme du Cri de Minuit millérite.</w:t>
      </w:r>
    </w:p>
    <w:p>
      <w:pPr>
        <w:pStyle w:val="ArticleBody"/>
        <w:jc w:val="left"/>
      </w:pPr>
      <w:r>
        <w:rPr>
          <w:rFonts w:ascii="Times New Roman" w:hAnsi="Times New Roman" w:eastAsia="Times New Roman" w:cs="Times New Roman"/>
        </w:rPr>
        <w:t>Le temps d’attente, qui commença avec l’arrivée de l’ange, prit fin lorsque Sa main fut retirée, dévoilant ainsi la lumière prophétique qui donna naissance au « mouvement du septième mois », lequel conduisit au message du Cri de Minuit lors du camp-meeting d’Exeter, où le message se transforma en une vague irrésistible, jusqu’à la porte fermée au moment de la grande déception. La manifestation de la puissance de Dieu, par le dévoilement de Sa Parole, produisit un réveil et une réforme d’une intensité croissante.</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1863 </w:t>
      </w:r>
      <w:r>
        <w:rPr>
          <w:rFonts w:ascii="Leelawadee UI" w:hAnsi="Leelawadee UI" w:eastAsia="Leelawadee UI" w:cs="Leelawadee UI"/>
        </w:rPr>
        <w:t>ចលនាមីឡេរីតឡាវឌីសេត្រូវបានហាមឃាត់មិនឲ្យឆ្លងទន្លេយ័រដាន់</w:t>
      </w:r>
      <w:r>
        <w:rPr>
          <w:rFonts w:ascii="Times New Roman" w:hAnsi="Times New Roman" w:eastAsia="Times New Roman" w:cs="Times New Roman"/>
        </w:rPr>
        <w:t xml:space="preserve"> </w:t>
      </w:r>
      <w:r>
        <w:rPr>
          <w:rFonts w:ascii="Leelawadee UI" w:hAnsi="Leelawadee UI" w:eastAsia="Leelawadee UI" w:cs="Leelawadee UI"/>
        </w:rPr>
        <w:t>ហើយត្រូវបានកំណត់ឲ្យស្ថិតនៅក្នុងទីរហោស្ថាន</w:t>
      </w:r>
      <w:r>
        <w:rPr>
          <w:rFonts w:ascii="Times New Roman" w:hAnsi="Times New Roman" w:eastAsia="Times New Roman" w:cs="Times New Roman"/>
        </w:rPr>
        <w:t xml:space="preserve"> </w:t>
      </w:r>
      <w:r>
        <w:rPr>
          <w:rFonts w:ascii="Leelawadee UI" w:hAnsi="Leelawadee UI" w:eastAsia="Leelawadee UI" w:cs="Leelawadee UI"/>
        </w:rPr>
        <w:t>ដោយព្រោះបានគប់ដុំថ្មលើអេលីយ៉ា</w:t>
      </w:r>
      <w:r>
        <w:rPr>
          <w:rFonts w:ascii="Times New Roman" w:hAnsi="Times New Roman" w:eastAsia="Times New Roman" w:cs="Times New Roman"/>
        </w:rPr>
        <w:t xml:space="preserve"> </w:t>
      </w:r>
      <w:r>
        <w:rPr>
          <w:rFonts w:ascii="Leelawadee UI" w:hAnsi="Leelawadee UI" w:eastAsia="Leelawadee UI" w:cs="Leelawadee UI"/>
        </w:rPr>
        <w:t>និងម៉ូសេ។</w:t>
      </w:r>
      <w:r>
        <w:rPr>
          <w:rFonts w:ascii="Times New Roman" w:hAnsi="Times New Roman" w:eastAsia="Times New Roman" w:cs="Times New Roman"/>
        </w:rPr>
        <w:t xml:space="preserve"> </w:t>
      </w:r>
      <w:r>
        <w:rPr>
          <w:rFonts w:ascii="Leelawadee UI" w:hAnsi="Leelawadee UI" w:eastAsia="Leelawadee UI" w:cs="Leelawadee UI"/>
        </w:rPr>
        <w:t>សាររបស់</w:t>
      </w:r>
      <w:r>
        <w:rPr>
          <w:rFonts w:ascii="Times New Roman" w:hAnsi="Times New Roman" w:eastAsia="Times New Roman" w:cs="Times New Roman"/>
        </w:rPr>
        <w:t xml:space="preserve"> William Miller </w:t>
      </w:r>
      <w:r>
        <w:rPr>
          <w:rFonts w:ascii="Leelawadee UI" w:hAnsi="Leelawadee UI" w:eastAsia="Leelawadee UI" w:cs="Leelawadee UI"/>
        </w:rPr>
        <w:t>គឺជាសាររបស់អេលីយ៉ា</w:t>
      </w:r>
      <w:r>
        <w:rPr>
          <w:rFonts w:ascii="Times New Roman" w:hAnsi="Times New Roman" w:eastAsia="Times New Roman" w:cs="Times New Roman"/>
        </w:rPr>
        <w:t xml:space="preserve"> </w:t>
      </w:r>
      <w:r>
        <w:rPr>
          <w:rFonts w:ascii="Leelawadee UI" w:hAnsi="Leelawadee UI" w:eastAsia="Leelawadee UI" w:cs="Leelawadee UI"/>
        </w:rPr>
        <w:t>ហើយសារមូលដ្ឋានរបស់</w:t>
      </w:r>
      <w:r>
        <w:rPr>
          <w:rFonts w:ascii="Times New Roman" w:hAnsi="Times New Roman" w:eastAsia="Times New Roman" w:cs="Times New Roman"/>
        </w:rPr>
        <w:t xml:space="preserve"> Miller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របស់ម៉ូសេ។</w:t>
      </w:r>
      <w:r>
        <w:rPr>
          <w:rFonts w:ascii="Times New Roman" w:hAnsi="Times New Roman" w:eastAsia="Times New Roman" w:cs="Times New Roman"/>
        </w:rPr>
        <w:t xml:space="preserve"> </w:t>
      </w:r>
      <w:r>
        <w:rPr>
          <w:rFonts w:ascii="Leelawadee UI" w:hAnsi="Leelawadee UI" w:eastAsia="Leelawadee UI" w:cs="Leelawadee UI"/>
        </w:rPr>
        <w:t>ការបដិសេធ</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គឺជាការសម្លាប់ម៉ូសេ</w:t>
      </w:r>
      <w:r>
        <w:rPr>
          <w:rFonts w:ascii="Times New Roman" w:hAnsi="Times New Roman" w:eastAsia="Times New Roman" w:cs="Times New Roman"/>
        </w:rPr>
        <w:t xml:space="preserve"> </w:t>
      </w:r>
      <w:r>
        <w:rPr>
          <w:rFonts w:ascii="Leelawadee UI" w:hAnsi="Leelawadee UI" w:eastAsia="Leelawadee UI" w:cs="Leelawadee UI"/>
        </w:rPr>
        <w:t>ហើយការបដិសេធសេចក្តីពិតមូលដ្ឋានដែល</w:t>
      </w:r>
      <w:r>
        <w:rPr>
          <w:rFonts w:ascii="Times New Roman" w:hAnsi="Times New Roman" w:eastAsia="Times New Roman" w:cs="Times New Roman"/>
        </w:rPr>
        <w:t xml:space="preserve"> Miller </w:t>
      </w:r>
      <w:r>
        <w:rPr>
          <w:rFonts w:ascii="Leelawadee UI" w:hAnsi="Leelawadee UI" w:eastAsia="Leelawadee UI" w:cs="Leelawadee UI"/>
        </w:rPr>
        <w:t>បានដាក់បង្ហាញ</w:t>
      </w:r>
      <w:r>
        <w:rPr>
          <w:rFonts w:ascii="Times New Roman" w:hAnsi="Times New Roman" w:eastAsia="Times New Roman" w:cs="Times New Roman"/>
        </w:rPr>
        <w:t xml:space="preserve"> </w:t>
      </w:r>
      <w:r>
        <w:rPr>
          <w:rFonts w:ascii="Leelawadee UI" w:hAnsi="Leelawadee UI" w:eastAsia="Leelawadee UI" w:cs="Leelawadee UI"/>
        </w:rPr>
        <w:t>គឺជាការសម្លាប់អេលីយ៉ា។</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1863 </w:t>
      </w:r>
      <w:r>
        <w:rPr>
          <w:rFonts w:ascii="Leelawadee UI" w:hAnsi="Leelawadee UI" w:eastAsia="Leelawadee UI" w:cs="Leelawadee UI"/>
        </w:rPr>
        <w:t>អ្នកនាំសារ</w:t>
      </w:r>
      <w:r>
        <w:rPr>
          <w:rFonts w:ascii="Times New Roman" w:hAnsi="Times New Roman" w:eastAsia="Times New Roman" w:cs="Times New Roman"/>
        </w:rPr>
        <w:t xml:space="preserve"> </w:t>
      </w:r>
      <w:r>
        <w:rPr>
          <w:rFonts w:ascii="Leelawadee UI" w:hAnsi="Leelawadee UI" w:eastAsia="Leelawadee UI" w:cs="Leelawadee UI"/>
        </w:rPr>
        <w:t>និងសារត្រូវបានសម្លាប់នៅលើផ្លូវ</w:t>
      </w:r>
      <w:r>
        <w:rPr>
          <w:rFonts w:ascii="Times New Roman" w:hAnsi="Times New Roman" w:eastAsia="Times New Roman" w:cs="Times New Roman"/>
        </w:rPr>
        <w:t xml:space="preserve"> </w:t>
      </w:r>
      <w:r>
        <w:rPr>
          <w:rFonts w:ascii="Leelawadee UI" w:hAnsi="Leelawadee UI" w:eastAsia="Leelawadee UI" w:cs="Leelawadee UI"/>
        </w:rPr>
        <w:t>ហើយចាប់ពីចំណុចនោះតទៅ</w:t>
      </w:r>
      <w:r>
        <w:rPr>
          <w:rFonts w:ascii="Times New Roman" w:hAnsi="Times New Roman" w:eastAsia="Times New Roman" w:cs="Times New Roman"/>
        </w:rPr>
        <w:t xml:space="preserve"> </w:t>
      </w:r>
      <w:r>
        <w:rPr>
          <w:rFonts w:ascii="Leelawadee UI" w:hAnsi="Leelawadee UI" w:eastAsia="Leelawadee UI" w:cs="Leelawadee UI"/>
        </w:rPr>
        <w:t>មធ្យោបាយតែមួយគត់ដើម្បីស្វែងរកពួកគេ</w:t>
      </w:r>
      <w:r>
        <w:rPr>
          <w:rFonts w:ascii="Times New Roman" w:hAnsi="Times New Roman" w:eastAsia="Times New Roman" w:cs="Times New Roman"/>
        </w:rPr>
        <w:t xml:space="preserve"> </w:t>
      </w:r>
      <w:r>
        <w:rPr>
          <w:rFonts w:ascii="Leelawadee UI" w:hAnsi="Leelawadee UI" w:eastAsia="Leelawadee UI" w:cs="Leelawadee UI"/>
        </w:rPr>
        <w:t>គឺត្រូវស្វែងរកផ្នូររបស់ពួកគេនៅក្នុងផ្លូវបុរាណរបស់យេរេមា។</w:t>
      </w:r>
      <w:r>
        <w:rPr>
          <w:rFonts w:ascii="Times New Roman" w:hAnsi="Times New Roman" w:eastAsia="Times New Roman" w:cs="Times New Roman"/>
        </w:rPr>
        <w:t xml:space="preserve"> </w:t>
      </w:r>
      <w:r>
        <w:rPr>
          <w:rFonts w:ascii="Leelawadee UI" w:hAnsi="Leelawadee UI" w:eastAsia="Leelawadee UI" w:cs="Leelawadee UI"/>
        </w:rPr>
        <w:t>ពួកគេបានស្លាប់នៅលើផ្លូវ</w:t>
      </w:r>
      <w:r>
        <w:rPr>
          <w:rFonts w:ascii="Times New Roman" w:hAnsi="Times New Roman" w:eastAsia="Times New Roman" w:cs="Times New Roman"/>
        </w:rPr>
        <w:t>—</w:t>
      </w:r>
      <w:r>
        <w:rPr>
          <w:rFonts w:ascii="Leelawadee UI" w:hAnsi="Leelawadee UI" w:eastAsia="Leelawadee UI" w:cs="Leelawadee UI"/>
        </w:rPr>
        <w:t>នោះគឺរហូតដល់ពួកគេត្រូវបានប្រោសឲ្យរស់ឡើងវិញ។</w:t>
      </w:r>
      <w:r>
        <w:rPr>
          <w:rFonts w:ascii="Times New Roman" w:hAnsi="Times New Roman" w:eastAsia="Times New Roman" w:cs="Times New Roman"/>
        </w:rPr>
        <w:t xml:space="preserve"> </w:t>
      </w:r>
      <w:r>
        <w:rPr>
          <w:rFonts w:ascii="Leelawadee UI" w:hAnsi="Leelawadee UI" w:eastAsia="Leelawadee UI" w:cs="Leelawadee UI"/>
        </w:rPr>
        <w:t>ពួកគេត្រូវបានប្រោសឲ្យរស់ឡើងវិញ</w:t>
      </w:r>
      <w:r>
        <w:rPr>
          <w:rFonts w:ascii="Times New Roman" w:hAnsi="Times New Roman" w:eastAsia="Times New Roman" w:cs="Times New Roman"/>
        </w:rPr>
        <w:t xml:space="preserve"> </w:t>
      </w:r>
      <w:r>
        <w:rPr>
          <w:rFonts w:ascii="Leelawadee UI" w:hAnsi="Leelawadee UI" w:eastAsia="Leelawadee UI" w:cs="Leelawadee UI"/>
        </w:rPr>
        <w:t>នៅពេល</w:t>
      </w:r>
      <w:r>
        <w:rPr>
          <w:rFonts w:ascii="Times New Roman" w:hAnsi="Times New Roman" w:eastAsia="Times New Roman" w:cs="Times New Roman"/>
        </w:rPr>
        <w:t xml:space="preserve"> “</w:t>
      </w:r>
      <w:r>
        <w:rPr>
          <w:rFonts w:ascii="Leelawadee UI" w:hAnsi="Leelawadee UI" w:eastAsia="Leelawadee UI" w:cs="Leelawadee UI"/>
        </w:rPr>
        <w:t>ព្រឹត្តិការណ៍អនាគតរបស់ផ្គរលាន់ទាំងប្រាំពីរ</w:t>
      </w:r>
      <w:r>
        <w:rPr>
          <w:rFonts w:ascii="Times New Roman" w:hAnsi="Times New Roman" w:eastAsia="Times New Roman" w:cs="Times New Roman"/>
        </w:rPr>
        <w:t xml:space="preserve">” </w:t>
      </w:r>
      <w:r>
        <w:rPr>
          <w:rFonts w:ascii="Leelawadee UI" w:hAnsi="Leelawadee UI" w:eastAsia="Leelawadee UI" w:cs="Leelawadee UI"/>
        </w:rPr>
        <w:t>ដែលនឹង</w:t>
      </w:r>
      <w:r>
        <w:rPr>
          <w:rFonts w:ascii="Times New Roman" w:hAnsi="Times New Roman" w:eastAsia="Times New Roman" w:cs="Times New Roman"/>
        </w:rPr>
        <w:t xml:space="preserve"> “</w:t>
      </w:r>
      <w:r>
        <w:rPr>
          <w:rFonts w:ascii="Leelawadee UI" w:hAnsi="Leelawadee UI" w:eastAsia="Leelawadee UI" w:cs="Leelawadee UI"/>
        </w:rPr>
        <w:t>ត្រូវបានបើកសម្ដែងតាមលំដាប់របស់វា</w:t>
      </w:r>
      <w:r>
        <w:rPr>
          <w:rFonts w:ascii="Times New Roman" w:hAnsi="Times New Roman" w:eastAsia="Times New Roman" w:cs="Times New Roman"/>
        </w:rPr>
        <w:t xml:space="preserve">” </w:t>
      </w:r>
      <w:r>
        <w:rPr>
          <w:rFonts w:ascii="Leelawadee UI" w:hAnsi="Leelawadee UI" w:eastAsia="Leelawadee UI" w:cs="Leelawadee UI"/>
        </w:rPr>
        <w:t>ត្រូវបានធ្វើម្តងទៀត</w:t>
      </w:r>
      <w:r>
        <w:rPr>
          <w:rFonts w:ascii="Times New Roman" w:hAnsi="Times New Roman" w:eastAsia="Times New Roman" w:cs="Times New Roman"/>
        </w:rPr>
        <w:t>—</w:t>
      </w:r>
      <w:r>
        <w:rPr>
          <w:rFonts w:ascii="Leelawadee UI" w:hAnsi="Leelawadee UI" w:eastAsia="Leelawadee UI" w:cs="Leelawadee UI"/>
        </w:rPr>
        <w:t>នៅក្នុងប្រវត្តិសាស្ត្ររបស់មនុស្សមួយសែនបួនម៉ឺនបួនពាន់នាក់។</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रखल</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संरचना</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एगो</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पड़ल</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पथ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पथ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अगुवाई</w:t>
      </w:r>
      <w:r>
        <w:rPr>
          <w:rFonts w:ascii="Times New Roman" w:hAnsi="Times New Roman" w:eastAsia="Times New Roman" w:cs="Times New Roman"/>
        </w:rPr>
        <w:t xml:space="preserve"> </w:t>
      </w:r>
      <w:r>
        <w:rPr>
          <w:rFonts w:ascii="Nirmala UI" w:hAnsi="Nirmala UI" w:eastAsia="Nirmala UI" w:cs="Nirmala UI"/>
        </w:rPr>
        <w:t>करेली।</w:t>
      </w:r>
    </w:p>
    <w:p>
      <w:pPr>
        <w:pStyle w:val="ArticleScripture"/>
        <w:jc w:val="left"/>
      </w:pPr>
      <w:r>
        <w:rPr>
          <w:rFonts w:ascii="Times New Roman" w:hAnsi="Times New Roman" w:eastAsia="Times New Roman" w:cs="Times New Roman"/>
        </w:rPr>
        <w:t>“Mi ŝajnis, ke mi estas ĉirkaŭita de lumo kaj leviĝas ĉiam pli alten for de la tero. Mi turnis min por serĉi la adventan popolon en la mondo, sed ne povis ilin trovi, kiam voĉo diris al mi: ‘Rigardu denove, kaj rigardu iom pli alten.’ Je tio mi levis miajn okulojn kaj vidis rektan kaj mallarĝan vojon, levitan alte super la mondo. Sur ĉi tiu vojo la adventa popolo vojaĝis al la urbo, kiu estis ĉe la pli fora fino de la vojo. Ili havis brilan lumon starigitan malantaŭ si ĉe la komenco de la vojo, pri kiu anĝelo diris al mi, ke ĝi estas la ‘noktomeza krio.’ Ĉi tiu lumo lumis laŭlonge de la tuta vojo kaj donis lumon por iliaj piedoj, por ke ili ne falpuŝiĝu.</w:t>
      </w:r>
    </w:p>
    <w:p>
      <w:pPr>
        <w:pStyle w:val="ArticleScripture"/>
        <w:jc w:val="left"/>
      </w:pPr>
      <w:r>
        <w:rPr>
          <w:rFonts w:ascii="Times New Roman" w:hAnsi="Times New Roman" w:eastAsia="Times New Roman" w:cs="Times New Roman"/>
        </w:rPr>
        <w:t>“</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सुरक्षित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थक</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इससे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उठाकर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उत्साहित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निकलता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लहराता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अल्लेलूयाह</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उतावली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बुझ</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पाँव</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ठोकर</w:t>
      </w:r>
      <w:r>
        <w:rPr>
          <w:rFonts w:ascii="Times New Roman" w:hAnsi="Times New Roman" w:eastAsia="Times New Roman" w:cs="Times New Roman"/>
        </w:rPr>
        <w:t xml:space="preserve"> </w:t>
      </w:r>
      <w:r>
        <w:rPr>
          <w:rFonts w:ascii="Nirmala UI" w:hAnsi="Nirmala UI" w:eastAsia="Nirmala UI" w:cs="Nirmala UI"/>
        </w:rPr>
        <w:t>खाकर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बैठे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गिरकर</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अन्धकारमय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Christian Experience and Teachings of Ellen G. White, 57.</w:t>
      </w:r>
    </w:p>
    <w:p>
      <w:pPr>
        <w:pStyle w:val="ArticleBody"/>
        <w:jc w:val="left"/>
      </w:pPr>
      <w:r>
        <w:rPr>
          <w:rFonts w:ascii="Times New Roman" w:hAnsi="Times New Roman" w:eastAsia="Times New Roman" w:cs="Times New Roman"/>
        </w:rPr>
        <w:t>Tí Kristus lyftir sínum dýrdarliga armi, nýtir Hann sína «hond» sum eitt symbol upp á Sítt verk at leiða Sítt fólk. Tá ið vit seta saman komu hins seinna eingilsins við hin fyrra eingilin, sum steig niður tann 11. august 1840, síggja vit, at báðir einglar høvdu ein boðskap í hondum sínum.</w:t>
      </w:r>
    </w:p>
    <w:p>
      <w:pPr>
        <w:pStyle w:val="ArticleScripture"/>
        <w:jc w:val="left"/>
      </w:pPr>
      <w:r>
        <w:rPr>
          <w:rFonts w:ascii="Times New Roman" w:hAnsi="Times New Roman" w:eastAsia="Times New Roman" w:cs="Times New Roman"/>
        </w:rPr>
        <w:t>«Меня было показано, какой интерес всё небо проявляло к делу, совершающемуся на земле. Иисус поручил могущественному ангелу сойти и предостеречь жителей земли, чтобы они приготовились к Его второму пришествию. Когда ангел оставил присутствие Иисуса на небе, перед ним шёл чрезвычайно яркий и славный свет. Мне было сказано, что его миссия состояла в том, чтобы осветить землю своей славой и предостеречь человека о грядущем гневе Божием. …»</w:t>
      </w:r>
    </w:p>
    <w:p>
      <w:pPr>
        <w:pStyle w:val="ArticleScripture"/>
        <w:jc w:val="left"/>
      </w:pPr>
      <w:r>
        <w:rPr>
          <w:rFonts w:ascii="Times New Roman" w:hAnsi="Times New Roman" w:eastAsia="Times New Roman" w:cs="Times New Roman"/>
        </w:rPr>
        <w:t>«ٱلْمَلَكُ ٱلْقَوِيُّ ٱلْآخَرُ أُرْسِلَ لِيَنْزِلَ إِلَى ٱلْأَرْضِ. وَضَعَ يَسُوعُ فِي يَدِهِ كِتَابَةً، وَإِذْ جَاءَ إِلَى ٱلْأَرْضِ صَرَخَ: "سَقَطَتْ بَابِلُ، سَقَطَتْ." ثُمَّ رَأَيْتُ ٱلْمُخَيَّبِي ٱلْأَمَلِ يَرْفَعُونَ أَعْيُنَهُمْ مَرَّةً أُخْرَى إِلَى ٱلسَّمَاءِ، نَاظِرِينَ بِٱلْإِيمَانِ وَٱلرَّجَاءِ إِلَى ظُهُورِ رَبِّهِمْ. غَيْرَ أَنَّ كَثِيرِينَ بَدَوْا وَكَأَنَّهُمْ بَاقُونَ فِي حَالَةٍ مِنَ ٱلْبَلَادَةِ، كَأَنَّهُمْ نِيَامٌ؛ غَيْرَ أَنِّي كُنْتُ أَرَى أَثَرَ حُزْنٍ عَمِيقٍ عَلَى وُجُوهِهِمْ. وَقَدْ رَأَى ٱلْمُخَيَّبُونَ مِنَ ٱلْكُتُبِ أَنَّهُمْ كَانُوا فِي زَمَنِ ٱلْإِبْطَاءِ، وَأَنَّهُمْ لَا بُدَّ أَنْ يَنْتَظِرُوا بِصَبْرٍ إِتْمَامَ ٱلرُّؤْيَا. وَٱلْبَيِّنَةُ نَفْسُهَا ٱلَّتِي قَادَتْهُمْ إِلَى ٱلتَّطَلُّعِ إِلَى رَبِّهِمْ فِي سَنَةِ 1843، هِيَ ٱلَّتِي قَادَتْهُمْ إِلَى أَنْ يَتَوَقَّعُوهُ فِي سَنَةِ 1844. إِلَّا أَنِّي رَأَيْتُ أَنَّ ٱلْأَغْلَبِيَّةَ لَمْ تَكُنْ تَمْلِكُ تِلْكَ ٱلطَّاقَةَ ٱلَّتِي مَيَّزَتْ إِيمَانَهُمْ فِي سَنَةِ 1843. فَقَدْ أَخْمَدَتْ خَيْبَتُهُمْ إِيمَانَهُمْ». Early Writings, 246, 247.</w:t>
      </w:r>
    </w:p>
    <w:p>
      <w:pPr>
        <w:pStyle w:val="ArticleBody"/>
        <w:jc w:val="left"/>
      </w:pPr>
      <w:r>
        <w:rPr>
          <w:rFonts w:ascii="Times New Roman" w:hAnsi="Times New Roman" w:eastAsia="Times New Roman" w:cs="Times New Roman"/>
        </w:rPr>
        <w:t>Les deux anges sont chacun l’un des trois anges qui, ensemble, constituent un seul symbole; ils s’accordent donc quant au message qu’ils représentent, bien que chacun représente son propre message distinct. Les deux anges ont un « écrit » dans leurs mains, représentant une mise à l’épreuve. Les « premier et deuxième anges doivent courir parallèlement » au troisième ange.</w:t>
      </w:r>
    </w:p>
    <w:p>
      <w:pPr>
        <w:pStyle w:val="ArticleScripture"/>
        <w:jc w:val="left"/>
      </w:pPr>
      <w:r>
        <w:rPr>
          <w:rFonts w:ascii="Times New Roman" w:hAnsi="Times New Roman" w:eastAsia="Times New Roman" w:cs="Times New Roman"/>
        </w:rPr>
        <w:t>“Le Tout-Puissant a assigné aux messages d’Apocalypse 14 leur place dans la suite de la prophétie, et leur œuvre ne doit pas cesser jusqu’à la clôture de l’histoire de cette terre. Les messages des premier et second anges sont encore la vérité pour ce temps, et ils doivent se poursuivre parallèlement à celui qui suit. Le troisième ange proclame son avertissement d’une voix forte. ‘Après cela,’ dit Jean, ‘je vis descendre du ciel un autre ange, ayant une grande puissance; et la terre fut éclairée de sa gloire.’ Dans cette illumination, la lumière des trois messages tout entiers est réunie.” The 1888 Materials, 803, 804.</w:t>
      </w:r>
    </w:p>
    <w:p>
      <w:pPr>
        <w:pStyle w:val="ArticleBody"/>
        <w:jc w:val="left"/>
      </w:pPr>
      <w:r>
        <w:rPr>
          <w:rFonts w:ascii="Times New Roman" w:hAnsi="Times New Roman" w:eastAsia="Times New Roman" w:cs="Times New Roman"/>
        </w:rPr>
        <w:t>بھینی وائیٹ نے تیسرے فرشتے کی شناخت مکاشفہ اٹھارہ کے فرشتے کے طور پر کی ہے، اور یہ بھی واضح کیا ہے کہ پہلا اور دوسرا فرشتہ اُس نبوی تاریخ کے ساتھ متوازی طور پر چلنے والے ہیں جس کی نمائندگی مکاشفہ اٹھارہ کا تیسرا فرشتہ کرتا ہے۔ پس، وہ 11 اگست 1840ء کو پہلے فرشتے کے نزول کو 9/11 کے ساتھ ہم آہنگ کر رہی ہیں، اور یہ نشان دہی کر رہی ہیں کہ مکاشفہ اٹھارہ کا فرشتہ “تیسرا فرشتہ” ہے۔ تیسرا فرشتہ تینوں میں آخری ہے، اور پہلے کے ذریعے اُس کی تمثیل کی گئی ہے؛ اور اسی سبب سے بھینی وائیٹ ہمیں آگاہ کرتی ہیں کہ پہلے فرشتے کا مشن مکاشفہ اٹھارہ کے فرشتے کے مشن کے عین مطابق تھا، کیونکہ دونوں فرشتوں کا مشن یہ تھا کہ وہ “زمین کو اپنے جلال سے منور” کریں۔</w:t>
      </w:r>
    </w:p>
    <w:p>
      <w:pPr>
        <w:pStyle w:val="ArticleBody"/>
        <w:jc w:val="left"/>
      </w:pPr>
      <w:r>
        <w:rPr>
          <w:rFonts w:ascii="Microsoft YaHei" w:hAnsi="Microsoft YaHei" w:eastAsia="Microsoft YaHei" w:cs="Microsoft YaHei"/>
        </w:rPr>
        <w:t>「七</w:t>
      </w:r>
      <w:r>
        <w:rPr>
          <w:rFonts w:ascii="MS Gothic" w:hAnsi="MS Gothic" w:eastAsia="MS Gothic" w:cs="MS Gothic"/>
        </w:rPr>
        <w:t>つの</w:t>
      </w:r>
      <w:r>
        <w:rPr>
          <w:rFonts w:ascii="Microsoft YaHei" w:hAnsi="Microsoft YaHei" w:eastAsia="Microsoft YaHei" w:cs="Microsoft YaHei"/>
        </w:rPr>
        <w:t>雷」</w:t>
      </w:r>
      <w:r>
        <w:rPr>
          <w:rFonts w:ascii="MS Gothic" w:hAnsi="MS Gothic" w:eastAsia="MS Gothic" w:cs="MS Gothic"/>
        </w:rPr>
        <w:t>は</w:t>
      </w:r>
      <w:r>
        <w:rPr>
          <w:rFonts w:ascii="Microsoft YaHei" w:hAnsi="Microsoft YaHei" w:eastAsia="Microsoft YaHei" w:cs="Microsoft YaHei"/>
        </w:rPr>
        <w:t>、第一天使</w:t>
      </w:r>
      <w:r>
        <w:rPr>
          <w:rFonts w:ascii="MS Gothic" w:hAnsi="MS Gothic" w:eastAsia="MS Gothic" w:cs="MS Gothic"/>
        </w:rPr>
        <w:t>と</w:t>
      </w:r>
      <w:r>
        <w:rPr>
          <w:rFonts w:ascii="Microsoft YaHei" w:hAnsi="Microsoft YaHei" w:eastAsia="Microsoft YaHei" w:cs="Microsoft YaHei"/>
        </w:rPr>
        <w:t>第二天使</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のうちにおける</w:t>
      </w:r>
      <w:r>
        <w:rPr>
          <w:rFonts w:ascii="Microsoft YaHei" w:hAnsi="Microsoft YaHei" w:eastAsia="Microsoft YaHei" w:cs="Microsoft YaHei"/>
        </w:rPr>
        <w:t>諸出来事</w:t>
      </w:r>
      <w:r>
        <w:rPr>
          <w:rFonts w:ascii="MS Gothic" w:hAnsi="MS Gothic" w:eastAsia="MS Gothic" w:cs="MS Gothic"/>
        </w:rPr>
        <w:t>の</w:t>
      </w:r>
      <w:r>
        <w:rPr>
          <w:rFonts w:ascii="Microsoft YaHei" w:hAnsi="Microsoft YaHei" w:eastAsia="Microsoft YaHei" w:cs="Microsoft YaHei"/>
        </w:rPr>
        <w:t>区分</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しており</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第三天使</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において</w:t>
      </w:r>
      <w:r>
        <w:rPr>
          <w:rFonts w:ascii="Microsoft YaHei" w:hAnsi="Microsoft YaHei" w:eastAsia="Microsoft YaHei" w:cs="Microsoft YaHei"/>
        </w:rPr>
        <w:t>繰</w:t>
      </w:r>
      <w:r>
        <w:rPr>
          <w:rFonts w:ascii="MS Gothic" w:hAnsi="MS Gothic" w:eastAsia="MS Gothic" w:cs="MS Gothic"/>
        </w:rPr>
        <w:t>り</w:t>
      </w:r>
      <w:r>
        <w:rPr>
          <w:rFonts w:ascii="Microsoft YaHei" w:hAnsi="Microsoft YaHei" w:eastAsia="Microsoft YaHei" w:cs="Microsoft YaHei"/>
        </w:rPr>
        <w:t>返</w:t>
      </w:r>
      <w:r>
        <w:rPr>
          <w:rFonts w:ascii="MS Gothic" w:hAnsi="MS Gothic" w:eastAsia="MS Gothic" w:cs="MS Gothic"/>
        </w:rPr>
        <w:t>されるのである</w:t>
      </w:r>
      <w:r>
        <w:rPr>
          <w:rFonts w:ascii="Times New Roman" w:hAnsi="Times New Roman" w:eastAsia="Times New Roman" w:cs="Times New Roman"/>
        </w:rPr>
        <w:t>.</w:t>
      </w:r>
      <w:r>
        <w:rPr>
          <w:rFonts w:ascii="Microsoft YaHei" w:hAnsi="Microsoft YaHei" w:eastAsia="Microsoft YaHei" w:cs="Microsoft YaHei"/>
        </w:rPr>
        <w:t>霊感</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これらの</w:t>
      </w:r>
      <w:r>
        <w:rPr>
          <w:rFonts w:ascii="Microsoft YaHei" w:hAnsi="Microsoft YaHei" w:eastAsia="Microsoft YaHei" w:cs="Microsoft YaHei"/>
        </w:rPr>
        <w:t>歴史</w:t>
      </w:r>
      <w:r>
        <w:rPr>
          <w:rFonts w:ascii="MS Gothic" w:hAnsi="MS Gothic" w:eastAsia="MS Gothic" w:cs="MS Gothic"/>
        </w:rPr>
        <w:t>を</w:t>
      </w:r>
      <w:r>
        <w:rPr>
          <w:rFonts w:ascii="Microsoft YaHei" w:hAnsi="Microsoft YaHei" w:eastAsia="Microsoft YaHei" w:cs="Microsoft YaHei"/>
        </w:rPr>
        <w:t>「</w:t>
      </w:r>
      <w:r>
        <w:rPr>
          <w:rFonts w:ascii="MS Gothic" w:hAnsi="MS Gothic" w:eastAsia="MS Gothic" w:cs="MS Gothic"/>
        </w:rPr>
        <w:t>ここにも</w:t>
      </w:r>
      <w:r>
        <w:rPr>
          <w:rFonts w:ascii="Microsoft YaHei" w:hAnsi="Microsoft YaHei" w:eastAsia="Microsoft YaHei" w:cs="Microsoft YaHei"/>
        </w:rPr>
        <w:t>少</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そこにも</w:t>
      </w:r>
      <w:r>
        <w:rPr>
          <w:rFonts w:ascii="Microsoft YaHei" w:hAnsi="Microsoft YaHei" w:eastAsia="Microsoft YaHei" w:cs="Microsoft YaHei"/>
        </w:rPr>
        <w:t>少</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並</w:t>
      </w:r>
      <w:r>
        <w:rPr>
          <w:rFonts w:ascii="MS Gothic" w:hAnsi="MS Gothic" w:eastAsia="MS Gothic" w:cs="MS Gothic"/>
        </w:rPr>
        <w:t>べて</w:t>
      </w:r>
      <w:r>
        <w:rPr>
          <w:rFonts w:ascii="Microsoft YaHei" w:hAnsi="Microsoft YaHei" w:eastAsia="Microsoft YaHei" w:cs="Microsoft YaHei"/>
        </w:rPr>
        <w:t>対照</w:t>
      </w:r>
      <w:r>
        <w:rPr>
          <w:rFonts w:ascii="MS Gothic" w:hAnsi="MS Gothic" w:eastAsia="MS Gothic" w:cs="MS Gothic"/>
        </w:rPr>
        <w:t>するとき</w:t>
      </w:r>
      <w:r>
        <w:rPr>
          <w:rFonts w:ascii="Microsoft YaHei" w:hAnsi="Microsoft YaHei" w:eastAsia="Microsoft YaHei" w:cs="Microsoft YaHei"/>
        </w:rPr>
        <w:t>、</w:t>
      </w:r>
      <w:r>
        <w:rPr>
          <w:rFonts w:ascii="Times New Roman" w:hAnsi="Times New Roman" w:eastAsia="Times New Roman" w:cs="Times New Roman"/>
        </w:rPr>
        <w:t>1840</w:t>
      </w:r>
      <w:r>
        <w:rPr>
          <w:rFonts w:ascii="Microsoft YaHei" w:hAnsi="Microsoft YaHei" w:eastAsia="Microsoft YaHei" w:cs="Microsoft YaHei"/>
        </w:rPr>
        <w:t>年</w:t>
      </w:r>
      <w:r>
        <w:rPr>
          <w:rFonts w:ascii="MS Gothic" w:hAnsi="MS Gothic" w:eastAsia="MS Gothic" w:cs="MS Gothic"/>
        </w:rPr>
        <w:t>における</w:t>
      </w:r>
      <w:r>
        <w:rPr>
          <w:rFonts w:ascii="Microsoft YaHei" w:hAnsi="Microsoft YaHei" w:eastAsia="Microsoft YaHei" w:cs="Microsoft YaHei"/>
        </w:rPr>
        <w:t>第一天使</w:t>
      </w:r>
      <w:r>
        <w:rPr>
          <w:rFonts w:ascii="MS Gothic" w:hAnsi="MS Gothic" w:eastAsia="MS Gothic" w:cs="MS Gothic"/>
        </w:rPr>
        <w:t>の</w:t>
      </w:r>
      <w:r>
        <w:rPr>
          <w:rFonts w:ascii="Microsoft YaHei" w:hAnsi="Microsoft YaHei" w:eastAsia="Microsoft YaHei" w:cs="Microsoft YaHei"/>
        </w:rPr>
        <w:t>降下</w:t>
      </w:r>
      <w:r>
        <w:rPr>
          <w:rFonts w:ascii="MS Gothic" w:hAnsi="MS Gothic" w:eastAsia="MS Gothic" w:cs="MS Gothic"/>
        </w:rPr>
        <w:t>が</w:t>
      </w:r>
      <w:r>
        <w:rPr>
          <w:rFonts w:ascii="Microsoft YaHei" w:hAnsi="Microsoft YaHei" w:eastAsia="Microsoft YaHei" w:cs="Microsoft YaHei"/>
        </w:rPr>
        <w:t>、</w:t>
      </w:r>
      <w:r>
        <w:rPr>
          <w:rFonts w:ascii="Times New Roman" w:hAnsi="Times New Roman" w:eastAsia="Times New Roman" w:cs="Times New Roman"/>
        </w:rPr>
        <w:t>9/11</w:t>
      </w:r>
      <w:r>
        <w:rPr>
          <w:rFonts w:ascii="MS Gothic" w:hAnsi="MS Gothic" w:eastAsia="MS Gothic" w:cs="MS Gothic"/>
        </w:rPr>
        <w:t>における</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降下</w:t>
      </w:r>
      <w:r>
        <w:rPr>
          <w:rFonts w:ascii="MS Gothic" w:hAnsi="MS Gothic" w:eastAsia="MS Gothic" w:cs="MS Gothic"/>
        </w:rPr>
        <w:t>と</w:t>
      </w:r>
      <w:r>
        <w:rPr>
          <w:rFonts w:ascii="Microsoft YaHei" w:hAnsi="Microsoft YaHei" w:eastAsia="Microsoft YaHei" w:cs="Microsoft YaHei"/>
        </w:rPr>
        <w:t>一致</w:t>
      </w:r>
      <w:r>
        <w:rPr>
          <w:rFonts w:ascii="MS Gothic" w:hAnsi="MS Gothic" w:eastAsia="MS Gothic" w:cs="MS Gothic"/>
        </w:rPr>
        <w:t>することを</w:t>
      </w:r>
      <w:r>
        <w:rPr>
          <w:rFonts w:ascii="Microsoft YaHei" w:hAnsi="Microsoft YaHei" w:eastAsia="Microsoft YaHei" w:cs="Microsoft YaHei"/>
        </w:rPr>
        <w:t>示</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、二人</w:t>
      </w:r>
      <w:r>
        <w:rPr>
          <w:rFonts w:ascii="MS Gothic" w:hAnsi="MS Gothic" w:eastAsia="MS Gothic" w:cs="MS Gothic"/>
        </w:rPr>
        <w:t>の</w:t>
      </w:r>
      <w:r>
        <w:rPr>
          <w:rFonts w:ascii="Microsoft YaHei" w:hAnsi="Microsoft YaHei" w:eastAsia="Microsoft YaHei" w:cs="Microsoft YaHei"/>
        </w:rPr>
        <w:t>証人</w:t>
      </w:r>
      <w:r>
        <w:rPr>
          <w:rFonts w:ascii="MS Gothic" w:hAnsi="MS Gothic" w:eastAsia="MS Gothic" w:cs="MS Gothic"/>
        </w:rPr>
        <w:t>とともに</w:t>
      </w:r>
      <w:r>
        <w:rPr>
          <w:rFonts w:ascii="Microsoft YaHei" w:hAnsi="Microsoft YaHei" w:eastAsia="Microsoft YaHei" w:cs="Microsoft YaHei"/>
        </w:rPr>
        <w:t>食</w:t>
      </w:r>
      <w:r>
        <w:rPr>
          <w:rFonts w:ascii="MS Gothic" w:hAnsi="MS Gothic" w:eastAsia="MS Gothic" w:cs="MS Gothic"/>
        </w:rPr>
        <w:t>されねばならない</w:t>
      </w:r>
      <w:r>
        <w:rPr>
          <w:rFonts w:ascii="Microsoft YaHei" w:hAnsi="Microsoft YaHei" w:eastAsia="Microsoft YaHei" w:cs="Microsoft YaHei"/>
        </w:rPr>
        <w:t>試</w:t>
      </w:r>
      <w:r>
        <w:rPr>
          <w:rFonts w:ascii="MS Gothic" w:hAnsi="MS Gothic" w:eastAsia="MS Gothic" w:cs="MS Gothic"/>
        </w:rPr>
        <w:t>みのメッセージを</w:t>
      </w:r>
      <w:r>
        <w:rPr>
          <w:rFonts w:ascii="Microsoft YaHei" w:hAnsi="Microsoft YaHei" w:eastAsia="Microsoft YaHei" w:cs="Microsoft YaHei"/>
        </w:rPr>
        <w:t>特定</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失望</w:t>
      </w:r>
      <w:r>
        <w:rPr>
          <w:rFonts w:ascii="MS Gothic" w:hAnsi="MS Gothic" w:eastAsia="MS Gothic" w:cs="MS Gothic"/>
        </w:rPr>
        <w:t>を</w:t>
      </w:r>
      <w:r>
        <w:rPr>
          <w:rFonts w:ascii="Microsoft YaHei" w:hAnsi="Microsoft YaHei" w:eastAsia="Microsoft YaHei" w:cs="Microsoft YaHei"/>
        </w:rPr>
        <w:t>第一</w:t>
      </w:r>
      <w:r>
        <w:rPr>
          <w:rFonts w:ascii="MS Gothic" w:hAnsi="MS Gothic" w:eastAsia="MS Gothic" w:cs="MS Gothic"/>
        </w:rPr>
        <w:t>の</w:t>
      </w:r>
      <w:r>
        <w:rPr>
          <w:rFonts w:ascii="Microsoft YaHei" w:hAnsi="Microsoft YaHei" w:eastAsia="Microsoft YaHei" w:cs="Microsoft YaHei"/>
        </w:rPr>
        <w:t>道標</w:t>
      </w:r>
      <w:r>
        <w:rPr>
          <w:rFonts w:ascii="MS Gothic" w:hAnsi="MS Gothic" w:eastAsia="MS Gothic" w:cs="MS Gothic"/>
        </w:rPr>
        <w:t>と</w:t>
      </w:r>
      <w:r>
        <w:rPr>
          <w:rFonts w:ascii="Microsoft YaHei" w:hAnsi="Microsoft YaHei" w:eastAsia="Microsoft YaHei" w:cs="Microsoft YaHei"/>
        </w:rPr>
        <w:t>一致</w:t>
      </w:r>
      <w:r>
        <w:rPr>
          <w:rFonts w:ascii="MS Gothic" w:hAnsi="MS Gothic" w:eastAsia="MS Gothic" w:cs="MS Gothic"/>
        </w:rPr>
        <w:t>させるのである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«Семь громов» представляют собой пророческий период, который начинается разочарованием и заканчивается ещё большим разочарованием.</w:t>
      </w:r>
    </w:p>
    <w:p>
      <w:pPr>
        <w:pStyle w:val="ArticleBody"/>
        <w:jc w:val="left"/>
      </w:pPr>
      <w:r>
        <w:rPr>
          <w:rFonts w:ascii="Times New Roman" w:hAnsi="Times New Roman" w:eastAsia="Times New Roman" w:cs="Times New Roman"/>
        </w:rPr>
        <w:t>Мұндай құрылымда бірінші періштенің түсуіне қатысты пайғамбарлық желі екінші періштенің келуімен үйлестірілгенде, ол «ақиқаттың құрылымын» тудырады. Ақиқат үш қадам арқылы айқындалады: оның бірінші және соңғысы бірдей, ал ортаңғы қадам бүлікті білдіреді. Алғашқы екі періштені осы үлгімен үйлестіру арқылы бірінші және екінші періштелерден тұратын құрылым қалыптасады; бұл құрылым Аян он сегіздегі үшінші періштені бейнелейді, ал Аян он сегіздегі үшінші періште — бірінші және екінші періштелердің екеуінің де қосындысы.</w:t>
      </w:r>
    </w:p>
    <w:p>
      <w:pPr>
        <w:pStyle w:val="ArticleBody"/>
        <w:jc w:val="left"/>
      </w:pPr>
      <w:r>
        <w:rPr>
          <w:rFonts w:ascii="Nirmala UI" w:hAnsi="Nirmala UI" w:eastAsia="Nirmala UI" w:cs="Nirmala UI"/>
        </w:rPr>
        <w:t>दफ्कहा</w:t>
      </w:r>
      <w:r>
        <w:rPr>
          <w:rFonts w:ascii="Times New Roman" w:hAnsi="Times New Roman" w:eastAsia="Times New Roman" w:cs="Times New Roman"/>
        </w:rPr>
        <w:t xml:space="preserve"> </w:t>
      </w:r>
      <w:r>
        <w:rPr>
          <w:rFonts w:ascii="Nirmala UI" w:hAnsi="Nirmala UI" w:eastAsia="Nirmala UI" w:cs="Nirmala UI"/>
        </w:rPr>
        <w:t>झथयम</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9/11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न्यूयॉर्क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इमारतें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9/11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दफ्कहा</w:t>
      </w:r>
      <w:r>
        <w:rPr>
          <w:rFonts w:ascii="Times New Roman" w:hAnsi="Times New Roman" w:eastAsia="Times New Roman" w:cs="Times New Roman"/>
        </w:rPr>
        <w:t xml:space="preserve"> </w:t>
      </w:r>
      <w:r>
        <w:rPr>
          <w:rFonts w:ascii="Nirmala UI" w:hAnsi="Nirmala UI" w:eastAsia="Nirmala UI" w:cs="Nirmala UI"/>
        </w:rPr>
        <w:t>झथयम</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संयोजन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दफ्कहा</w:t>
      </w:r>
      <w:r>
        <w:rPr>
          <w:rFonts w:ascii="Times New Roman" w:hAnsi="Times New Roman" w:eastAsia="Times New Roman" w:cs="Times New Roman"/>
        </w:rPr>
        <w:t xml:space="preserve"> </w:t>
      </w:r>
      <w:r>
        <w:rPr>
          <w:rFonts w:ascii="Nirmala UI" w:hAnsi="Nirmala UI" w:eastAsia="Nirmala UI" w:cs="Nirmala UI"/>
        </w:rPr>
        <w:t>झथयम</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संरेखित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Dos ángeles llegan al primer chasco, y ambos ángeles están relacionados proféticamente, y ambos tienen un mensaje de prueba que está en la mano del ángel. El siguiente hito representado en la línea son las tablas de Habacuc, lo cual está directamente asociado con la mano de Dios. En la línea del primer ángel, la carta de 1843 se produce en mayo de 1842, y en la línea del segundo ángel, no hubo carta. La carta había concluido con la llegada del segundo ángel. El hito de la tabla de Habacuc en la línea del segundo ángel es el retiro de la mano de Dios de un error en las cifras de la carta de 1843.</w:t>
      </w:r>
    </w:p>
    <w:p>
      <w:pPr>
        <w:pStyle w:val="ArticleBody"/>
        <w:jc w:val="left"/>
      </w:pPr>
      <w:r>
        <w:rPr>
          <w:rFonts w:ascii="Times New Roman" w:hAnsi="Times New Roman" w:eastAsia="Times New Roman" w:cs="Times New Roman"/>
        </w:rPr>
        <w:t>Ginukuban han Iyang kamot ang usa ka kasaypanan diha sa waymark sa unang manulonda, ug ang Iyang kamot gikuha sa mao gayong waymark, diha sa linya sa ikaduhang manulonda. Busa, ang waymark sa mga lamesa ni Habakkuk sa magkaparehong mga linya sa unang ug ikaduhang manulonda nagrepresentar sa duha ka mga lakang. Sa unang lakang, ang Iyang kamot nagatabon sa usa ka kasaypanan, ug sa katapusan sa yugto sa waymark sa mga lamesa ni Habakkuk, Iyang kuhaon ang Iyang kamot. Ang panahon sa paghulat nagsugod sa pag-abot sa ikaduhang manulonda, ug ang panahon sa paghulat matapos sa hinayhinayng paagi, nga nagsugod sa pagkuha sa Iyang kamot. Ang waymark sa mga lamesa ni Habakkuk nagrepresentar sa usa ka yugto sa panahon nga gimarkahan sa kamot ni Cristo sa sinugdanan ug sa Iyang kamot sa katapusan.</w:t>
      </w:r>
    </w:p>
    <w:p>
      <w:pPr>
        <w:pStyle w:val="ArticleBody"/>
        <w:jc w:val="left"/>
      </w:pPr>
      <w:r>
        <w:rPr>
          <w:rFonts w:ascii="Times New Roman" w:hAnsi="Times New Roman" w:eastAsia="Times New Roman" w:cs="Times New Roman"/>
        </w:rPr>
        <w:t>Мэнзеджыкьу зи пэрыт зылъыфэу зэгъэкӀуэным иужь, тӀу ныпхъэ къызэфӀэхащ, а тӀум и нэгъуэщӀэу мыхьанэ лъэпкъгъуэ нэгъуэщӀ иджыри къызэгъэщтэну, къыщӀэу къихьэну хуейщ. Ауэ иужькӀэ, зэгъэпсалъэныгъэ лъэхъэнэ уахътэ, щытыкӀэ нэхъыщхьэ къэпхьэгъахэр къызэщӀэтщ, Тхьэм и ныпхъэм къызэрыщӀэкӀуэу къезгъэпсэу, уэ и ныпхъэм къызэрыщӀэмыкӀуэу къызэухьыр. Адрей лъэныкъуэм и ӀэужьыкӀэу щытащ Exeter-м и лагер зэхуэс, мызакӀуэм и къыжьыжьыбжьэур Христос и ныпхъэм къыкӀуэну хуейхэм зэхигъэкӀуэу, зэхихъумыжыу, Ар лъапсэу Нэхущ и ПлэщӀэ Хьэдэщэу къыщыщӀэфынур.</w:t>
      </w:r>
    </w:p>
    <w:p>
      <w:pPr>
        <w:pStyle w:val="ArticleBody"/>
        <w:jc w:val="left"/>
      </w:pPr>
      <w:r>
        <w:rPr>
          <w:rFonts w:ascii="Times New Roman" w:hAnsi="Times New Roman" w:eastAsia="Times New Roman" w:cs="Times New Roman"/>
        </w:rPr>
        <w:t>When Christ moved into the Most Holy Place, He lifted up His hand to heaven and swore that time would be no longer. He had just sealed up the “seven thunders” which represent the history of the first two angels, repeating in the history of the third. He sealed up the “seven thunders” as He had sealed up the prophecies of Daniel in chapter twelve. In chapter twelve of Daniel, at the first of three symbolic periods of time, Christ raises both hands to heaven and proclaims that when the scattering of God’s people is finished, those who become “men wondered at” would be purified and lifted up as an offering. The structure of the first and second angels which we are currently considering, symbolically manifests God’s hand at every step.</w:t>
      </w:r>
    </w:p>
    <w:p>
      <w:pPr>
        <w:pStyle w:val="ArticleBody"/>
        <w:jc w:val="left"/>
      </w:pPr>
      <w:r>
        <w:rPr>
          <w:rFonts w:ascii="Times New Roman" w:hAnsi="Times New Roman" w:eastAsia="Times New Roman" w:cs="Times New Roman"/>
        </w:rPr>
        <w:t>Quand Il couvre la vérité, cela produit une déception, et lorsqu’Il retire Sa main, la lumière est produite, et cette lumière est celle du message du Cri de Minuit. La première déception jusqu’à la grande déception porte la signature de l’alpha et de l’oméga et est exposée dans la structure de la vérité. Le commencement représente la fin, et le point de repère entre les deux déceptions dépeint l’effet du scellement et du descèlement des tables d’Habacuc, lequel est un descèlement des anciens sentiers de Jérémie, et représente le fondement sur lequel le temple est édifié avant la loi du dimanche, lorsque le temple achevé est élevé au-dessus de toutes les montagnes. Le point de repère central dans la parole de vérité représente la rébellion, et dans l’histoire représentée par la séparation finale du blé et de l’ivraie, il manifeste la rébellion des vierges folles.</w:t>
      </w:r>
    </w:p>
    <w:p>
      <w:pPr>
        <w:pStyle w:val="ArticleBody"/>
        <w:jc w:val="left"/>
      </w:pPr>
      <w:r>
        <w:rPr>
          <w:rFonts w:ascii="Times New Roman" w:hAnsi="Times New Roman" w:eastAsia="Times New Roman" w:cs="Times New Roman"/>
        </w:rPr>
        <w:t>Le soulèvement représenté par le jalon des tables d’Habacuc est présenté comme progressif, car il ne s’agit pas d’un seul jalon, mais d’une période ayant un commencement et une fin définis, ainsi que le représente la main de Dieu. La main de Dieu apparaît deux fois lors de la première déception, car il y a deux anges qui portent chacun un message dans leurs mains. Le jalon suivant de la rébellion possède une main au commencement et une main à la fin ; il comporte donc lui aussi deux mains dans ses caractéristiques prophétiques. Le troisième jalon de la grande déception montre Christ levant sa main et jurant vers le ciel, dans le passage même où les sept tonnerres sont scellés, comme c’était le cas dans Daniel chapitre douze. Au point même où l’ange marque la fin de la structure prophétique des deux premiers anges que nous considérons maintenant, Il met fin à l’application du temps prophétique et se place dans un passage parallèle du livre de Daniel, où Il ne lève pas sa main, mais lève ses deux mains.</w:t>
      </w:r>
    </w:p>
    <w:p>
      <w:pPr>
        <w:pStyle w:val="ArticleBody"/>
        <w:jc w:val="left"/>
      </w:pPr>
      <w:r>
        <w:rPr>
          <w:rFonts w:ascii="Times New Roman" w:hAnsi="Times New Roman" w:eastAsia="Times New Roman" w:cs="Times New Roman"/>
        </w:rPr>
        <w:t>Wɔ Daniel ti duonu no mu no, nkɔmhyɛ mmere abiɛsa bi wɔ hɔ a wɔbue ano wɔ nna a edi akyiri no mu, efisɛ eyi ne nea ɛba Onyankopɔn nkurɔfo so wɔ nna a edi akyiri no mu. Ade a edi kan a wɔkaa ho asɛm wɔ Daniel anisoadehu a etwa to, a ɛyɛ nea ɛso yɛ den paa no mu ne sɛ, Daniel, a ogyina hɔ ma Onyankopɔn nkurɔfo nkaefo no, nyaa nimdeɛ wɔ ade no ne anisoadehu no nyinaa ho. Ade a etwa to a Daniel kyerɛw too hɔ ne sɛnea Yuda abusuakuw no Gyata no de nimdeɛ a ɛrenya nkɔanim no yɛɛ adwumadi de baa nkanyan a etwa to ne nsakrae a etwa to wɔ Onyankopɔn nkurɔfo a wɔda nsow sɛ wɔn na wɔte ase no mu. Ɔnam Adiyisɛm no “aprannaa ason” no a ɔrebue ano, wɔ Daniel ti duonu no “mmere abiɛsa” no a ɔrebue ano no ho, na ɛwie ne nkurɔfo no sɔanohyɛ no.</w:t>
      </w:r>
    </w:p>
    <w:p>
      <w:pPr>
        <w:pStyle w:val="ArticleBody"/>
        <w:jc w:val="left"/>
      </w:pPr>
      <w:r>
        <w:rPr>
          <w:rFonts w:ascii="Microsoft Himalaya" w:hAnsi="Microsoft Himalaya" w:eastAsia="Microsoft Himalaya" w:cs="Microsoft Himalaya"/>
        </w:rPr>
        <w:t>ཡེ་ཤུས་ལུང་བསྟན་གྱི་ཉིན་གསུམ་དང་ཕྱེད་ཀའི་མཐར།</w:t>
      </w:r>
      <w:r>
        <w:rPr>
          <w:rFonts w:ascii="Times New Roman" w:hAnsi="Times New Roman" w:eastAsia="Times New Roman" w:cs="Times New Roman"/>
        </w:rPr>
        <w:t xml:space="preserve"> </w:t>
      </w:r>
      <w:r>
        <w:rPr>
          <w:rFonts w:ascii="Microsoft Himalaya" w:hAnsi="Microsoft Himalaya" w:eastAsia="Microsoft Himalaya" w:cs="Microsoft Himalaya"/>
        </w:rPr>
        <w:t>ཁ་ཐོར་དུ་གྱུར་པའི་དཀོན་མཆོག་གི་མི་སེར་གྱི་ནུས་པ་འཐོར་བའི་མཐར་</w:t>
      </w:r>
      <w:r>
        <w:rPr>
          <w:rFonts w:ascii="Times New Roman" w:hAnsi="Times New Roman" w:eastAsia="Times New Roman" w:cs="Times New Roman"/>
        </w:rPr>
        <w:t xml:space="preserve"> “</w:t>
      </w:r>
      <w:r>
        <w:rPr>
          <w:rFonts w:ascii="Microsoft Himalaya" w:hAnsi="Microsoft Himalaya" w:eastAsia="Microsoft Himalaya" w:cs="Microsoft Himalaya"/>
        </w:rPr>
        <w:t>ངོ་མཚར་ཐམས་ཅད་</w:t>
      </w:r>
      <w:r>
        <w:rPr>
          <w:rFonts w:ascii="Times New Roman" w:hAnsi="Times New Roman" w:eastAsia="Times New Roman" w:cs="Times New Roman"/>
        </w:rPr>
        <w:t xml:space="preserve">” </w:t>
      </w:r>
      <w:r>
        <w:rPr>
          <w:rFonts w:ascii="Microsoft Himalaya" w:hAnsi="Microsoft Himalaya" w:eastAsia="Microsoft Himalaya" w:cs="Microsoft Himalaya"/>
        </w:rPr>
        <w:t>རྫོགས་པར་འགྱུར་ཞེས་ངོས་འཛིན་གནང་བའི་ཚེ།</w:t>
      </w:r>
      <w:r>
        <w:rPr>
          <w:rFonts w:ascii="Times New Roman" w:hAnsi="Times New Roman" w:eastAsia="Times New Roman" w:cs="Times New Roman"/>
        </w:rPr>
        <w:t xml:space="preserve"> </w:t>
      </w:r>
      <w:r>
        <w:rPr>
          <w:rFonts w:ascii="Microsoft Himalaya" w:hAnsi="Microsoft Himalaya" w:eastAsia="Microsoft Himalaya" w:cs="Microsoft Himalaya"/>
        </w:rPr>
        <w:t>དེས་མཚོན་པ་ནི་མངོན་རྟོགས་བཅུ་གཅིག་པའི་ནང་གི་ལམ་ལུགས་དུ་ཤི་བའི་ཉིན་གསུམ་དང་ཕྱེད་ཀ་རྫོགས་པའི་སྤྱི་ལོ་</w:t>
      </w:r>
      <w:r>
        <w:rPr>
          <w:rFonts w:ascii="Times New Roman" w:hAnsi="Times New Roman" w:eastAsia="Times New Roman" w:cs="Times New Roman"/>
        </w:rPr>
        <w:t xml:space="preserve"> 2023 </w:t>
      </w:r>
      <w:r>
        <w:rPr>
          <w:rFonts w:ascii="Microsoft Himalaya" w:hAnsi="Microsoft Himalaya" w:eastAsia="Microsoft Himalaya" w:cs="Microsoft Himalaya"/>
        </w:rPr>
        <w:t>ལོའི་ཟླ་བ་བདུན་པ་དེ་ཡིན།</w:t>
      </w:r>
      <w:r>
        <w:rPr>
          <w:rFonts w:ascii="Times New Roman" w:hAnsi="Times New Roman" w:eastAsia="Times New Roman" w:cs="Times New Roman"/>
        </w:rPr>
        <w:t xml:space="preserve"> </w:t>
      </w:r>
      <w:r>
        <w:rPr>
          <w:rFonts w:ascii="Microsoft Himalaya" w:hAnsi="Microsoft Himalaya" w:eastAsia="Microsoft Himalaya" w:cs="Microsoft Himalaya"/>
        </w:rPr>
        <w:t>ད་ནི་ངོ་མཚར་དེ་དག་ཉི་མ་གཅིག་པའི་ཁྲིམས་ལུགས་མ་འོངས་པའི་སྔོན་ལ་རྫོགས་པར་འགྱུར།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ཁོང་གིས་ཕྱག་གཅིག་མིན་པར།</w:t>
      </w:r>
      <w:r>
        <w:rPr>
          <w:rFonts w:ascii="Times New Roman" w:hAnsi="Times New Roman" w:eastAsia="Times New Roman" w:cs="Times New Roman"/>
        </w:rPr>
        <w:t xml:space="preserve"> </w:t>
      </w:r>
      <w:r>
        <w:rPr>
          <w:rFonts w:ascii="Microsoft Himalaya" w:hAnsi="Microsoft Himalaya" w:eastAsia="Microsoft Himalaya" w:cs="Microsoft Himalaya"/>
        </w:rPr>
        <w:t>གཉིས་ཀ་ཡར་བསྐྱངས་ཏེ།</w:t>
      </w:r>
      <w:r>
        <w:rPr>
          <w:rFonts w:ascii="Times New Roman" w:hAnsi="Times New Roman" w:eastAsia="Times New Roman" w:cs="Times New Roman"/>
        </w:rPr>
        <w:t xml:space="preserve"> </w:t>
      </w:r>
      <w:r>
        <w:rPr>
          <w:rFonts w:ascii="Microsoft Himalaya" w:hAnsi="Microsoft Himalaya" w:eastAsia="Microsoft Himalaya" w:cs="Microsoft Himalaya"/>
        </w:rPr>
        <w:t>སྤྱི་ལོ་</w:t>
      </w:r>
      <w:r>
        <w:rPr>
          <w:rFonts w:ascii="Times New Roman" w:hAnsi="Times New Roman" w:eastAsia="Times New Roman" w:cs="Times New Roman"/>
        </w:rPr>
        <w:t xml:space="preserve"> 2023 </w:t>
      </w:r>
      <w:r>
        <w:rPr>
          <w:rFonts w:ascii="Microsoft Himalaya" w:hAnsi="Microsoft Himalaya" w:eastAsia="Microsoft Himalaya" w:cs="Microsoft Himalaya"/>
        </w:rPr>
        <w:t>ལོའི་ཟླ་བ་བདུན་པ་དེ་མཚན་རྟགས་བཀོད་གནང་བ་ཡིན།</w:t>
      </w:r>
      <w:r>
        <w:rPr>
          <w:rFonts w:ascii="Times New Roman" w:hAnsi="Times New Roman" w:eastAsia="Times New Roman" w:cs="Times New Roman"/>
        </w:rPr>
        <w:t xml:space="preserve"> </w:t>
      </w:r>
      <w:r>
        <w:rPr>
          <w:rFonts w:ascii="Microsoft Himalaya" w:hAnsi="Microsoft Himalaya" w:eastAsia="Microsoft Himalaya" w:cs="Microsoft Himalaya"/>
        </w:rPr>
        <w:t>དེ་ལྟར་གནང་བ་དེས།</w:t>
      </w:r>
      <w:r>
        <w:rPr>
          <w:rFonts w:ascii="Times New Roman" w:hAnsi="Times New Roman" w:eastAsia="Times New Roman" w:cs="Times New Roman"/>
        </w:rPr>
        <w:t xml:space="preserve"> </w:t>
      </w:r>
      <w:r>
        <w:rPr>
          <w:rFonts w:ascii="Microsoft Himalaya" w:hAnsi="Microsoft Himalaya" w:eastAsia="Microsoft Himalaya" w:cs="Microsoft Himalaya"/>
        </w:rPr>
        <w:t>མི་ལེ་རའི་ལོ་རྒྱུས་ནང་གི་ནོར་འཁྲུལ་ལས་ཁོང་གིས་ཕྱག་ཕྱིར་བསྡུས་པའི་ཚེ་ཇི་ལྟར་ཡིན་པ་བཞིན།</w:t>
      </w:r>
      <w:r>
        <w:rPr>
          <w:rFonts w:ascii="Times New Roman" w:hAnsi="Times New Roman" w:eastAsia="Times New Roman" w:cs="Times New Roman"/>
        </w:rPr>
        <w:t xml:space="preserve"> </w:t>
      </w:r>
      <w:r>
        <w:rPr>
          <w:rFonts w:ascii="Microsoft Himalaya" w:hAnsi="Microsoft Himalaya" w:eastAsia="Microsoft Himalaya" w:cs="Microsoft Himalaya"/>
        </w:rPr>
        <w:t>ཕྱིར་འགྱངས་ཀྱི་དུས་ཡུན་གྱི་མཐའ་མཚམས་ལ་མཚན་རྟགས་བཀོད་པ་ཡིན།</w:t>
      </w:r>
      <w:r>
        <w:rPr>
          <w:rFonts w:ascii="Times New Roman" w:hAnsi="Times New Roman" w:eastAsia="Times New Roman" w:cs="Times New Roman"/>
        </w:rPr>
        <w:t xml:space="preserve"> </w:t>
      </w:r>
      <w:r>
        <w:rPr>
          <w:rFonts w:ascii="Microsoft Himalaya" w:hAnsi="Microsoft Himalaya" w:eastAsia="Microsoft Himalaya" w:cs="Microsoft Himalaya"/>
        </w:rPr>
        <w:t>ཐོག་མའི་ཕམ་ཉེས་ནི་མི་ལེ་ར་པ་ཚོའི་ཐོག་མའི་ཕམ་ཉེས་ཀྱིས་མཚོན་པ་བཞིན།</w:t>
      </w:r>
      <w:r>
        <w:rPr>
          <w:rFonts w:ascii="Times New Roman" w:hAnsi="Times New Roman" w:eastAsia="Times New Roman" w:cs="Times New Roman"/>
        </w:rPr>
        <w:t xml:space="preserve"> </w:t>
      </w:r>
      <w:r>
        <w:rPr>
          <w:rFonts w:ascii="Microsoft Himalaya" w:hAnsi="Microsoft Himalaya" w:eastAsia="Microsoft Himalaya" w:cs="Microsoft Himalaya"/>
        </w:rPr>
        <w:t>སྤྱི་ལོ་</w:t>
      </w:r>
      <w:r>
        <w:rPr>
          <w:rFonts w:ascii="Times New Roman" w:hAnsi="Times New Roman" w:eastAsia="Times New Roman" w:cs="Times New Roman"/>
        </w:rPr>
        <w:t xml:space="preserve"> 2020 </w:t>
      </w:r>
      <w:r>
        <w:rPr>
          <w:rFonts w:ascii="Microsoft Himalaya" w:hAnsi="Microsoft Himalaya" w:eastAsia="Microsoft Himalaya" w:cs="Microsoft Himalaya"/>
        </w:rPr>
        <w:t>ལོའི་ཟླ་</w:t>
      </w:r>
      <w:r>
        <w:rPr>
          <w:rFonts w:ascii="Times New Roman" w:hAnsi="Times New Roman" w:eastAsia="Times New Roman" w:cs="Times New Roman"/>
        </w:rPr>
        <w:t xml:space="preserve"> 7 </w:t>
      </w:r>
      <w:r>
        <w:rPr>
          <w:rFonts w:ascii="Microsoft Himalaya" w:hAnsi="Microsoft Himalaya" w:eastAsia="Microsoft Himalaya" w:cs="Microsoft Himalaya"/>
        </w:rPr>
        <w:t>པའི་ཚེས་</w:t>
      </w:r>
      <w:r>
        <w:rPr>
          <w:rFonts w:ascii="Times New Roman" w:hAnsi="Times New Roman" w:eastAsia="Times New Roman" w:cs="Times New Roman"/>
        </w:rPr>
        <w:t xml:space="preserve"> 18 </w:t>
      </w:r>
      <w:r>
        <w:rPr>
          <w:rFonts w:ascii="Microsoft Himalaya" w:hAnsi="Microsoft Himalaya" w:eastAsia="Microsoft Himalaya" w:cs="Microsoft Himalaya"/>
        </w:rPr>
        <w:t>ཉིན་དུ་བྱུང་ལ།</w:t>
      </w:r>
      <w:r>
        <w:rPr>
          <w:rFonts w:ascii="Times New Roman" w:hAnsi="Times New Roman" w:eastAsia="Times New Roman" w:cs="Times New Roman"/>
        </w:rPr>
        <w:t xml:space="preserve"> </w:t>
      </w:r>
      <w:r>
        <w:rPr>
          <w:rFonts w:ascii="Microsoft Himalaya" w:hAnsi="Microsoft Himalaya" w:eastAsia="Microsoft Himalaya" w:cs="Microsoft Himalaya"/>
        </w:rPr>
        <w:t>ཕྱིར་འགྱངས་ཀྱི་དུས་ཡུན་ཡང་དེ་ནས་འགོ་བརྩམས་ཏེ།</w:t>
      </w:r>
      <w:r>
        <w:rPr>
          <w:rFonts w:ascii="Times New Roman" w:hAnsi="Times New Roman" w:eastAsia="Times New Roman" w:cs="Times New Roman"/>
        </w:rPr>
        <w:t xml:space="preserve"> </w:t>
      </w:r>
      <w:r>
        <w:rPr>
          <w:rFonts w:ascii="Microsoft Himalaya" w:hAnsi="Microsoft Himalaya" w:eastAsia="Microsoft Himalaya" w:cs="Microsoft Himalaya"/>
        </w:rPr>
        <w:t>ཁོང་གིས་སྤྱི་ལོ་</w:t>
      </w:r>
      <w:r>
        <w:rPr>
          <w:rFonts w:ascii="Times New Roman" w:hAnsi="Times New Roman" w:eastAsia="Times New Roman" w:cs="Times New Roman"/>
        </w:rPr>
        <w:t xml:space="preserve"> 2023 </w:t>
      </w:r>
      <w:r>
        <w:rPr>
          <w:rFonts w:ascii="Microsoft Himalaya" w:hAnsi="Microsoft Himalaya" w:eastAsia="Microsoft Himalaya" w:cs="Microsoft Himalaya"/>
        </w:rPr>
        <w:t>ལོའི་ཟླ་བ་བདུན་པར་ལྷག་མར་ལུས་པའི་ཁོང་གི་མི་སེར་བསྡུ་བའི་ཕྱིར་ཕྱག་ཐེངས་གཉིས་པ་བསྲིངས་གནང་བའི་བར་དུ་མུ་མཐུད་ནས་གནས་ཡོད།</w:t>
      </w:r>
    </w:p>
    <w:p>
      <w:pPr>
        <w:pStyle w:val="ArticleBody"/>
        <w:jc w:val="left"/>
      </w:pPr>
      <w:r>
        <w:rPr>
          <w:rFonts w:ascii="Times New Roman" w:hAnsi="Times New Roman" w:eastAsia="Times New Roman" w:cs="Times New Roman"/>
        </w:rPr>
        <w:t>هی مایوسیے خُدا دے ہتھ ولوں اک غلطی نوں ڈھکّن نال ظاہر کیتی گئی اے، جو میلریاں دے لئی ایں گل وچ سی کہ اوہناں نے 22 اکتوبر 1844 دی بجائے سال 1843 دی نشاندہی کیتی۔ ایہہ مایوسی باب بارہ دی بارہویں آیت وچ ظاہر کیتی گئی اے۔ پہلی مایوسی اُس دے ہتھ دے غلطی نوں ڈھکّن نال ظاہر کیتی گئی اے، تے اِس دی تمثیل میلریاں نال ہوئی جو پہلی مایوسی تک پہنچے۔ بارہویں آیت وچ لفظ “cometh” اے۔ مبارک اے اوہ جو انتظار کردا اے، تے جو 1335 تک “cometh” کردا اے؛ مبارک اے اوہ جو 19 اپریل 1844 دی مایوسی تک “cometh” کردا اے۔ جس لفظ دا ترجمہ “cometh” کیتا گیا اے، اُس دا معنی اے “چھونا”۔ میلریاں نے اپنی پہلی مایوسی اُس وقت آزمائی جدوں سال 1843 نے سال 1844 نوں چھُہ لیا۔ دانی ایل بارہ دی بارہویں آیت 19 اپریل 1844 دی پہلی مایوسی نوں، پر اِس توں وی زیادہ براہِ راست 18 جولائی 2020 دی پہلی مایوسی نوں متعین کردی اے۔</w:t>
      </w:r>
    </w:p>
    <w:p>
      <w:pPr>
        <w:pStyle w:val="ArticleBody"/>
        <w:jc w:val="left"/>
      </w:pPr>
      <w:r>
        <w:rPr>
          <w:rFonts w:ascii="Times New Roman" w:hAnsi="Times New Roman" w:eastAsia="Times New Roman" w:cs="Times New Roman"/>
        </w:rPr>
        <w:t>Le premier temps prophétique et le dernier temps prophétique des trois temps qui sont descellés au temps de la fin, lorsque la connaissance augmente et accomplit la séparation finale du blé et de l’ivraie, identifiant ainsi le descellement de la lumière prophétique qui scelle les cent quarante-quatre mille, constituent un seul et même temps prophétique.</w:t>
      </w:r>
    </w:p>
    <w:p>
      <w:pPr>
        <w:pStyle w:val="ArticleBody"/>
        <w:jc w:val="left"/>
      </w:pPr>
      <w:r>
        <w:rPr>
          <w:rFonts w:ascii="Times New Roman" w:hAnsi="Times New Roman" w:eastAsia="Times New Roman" w:cs="Times New Roman"/>
        </w:rPr>
        <w:t>La première période du verset sept est l’achèvement de la dispersion des trois jours et demi d’Apocalypse onze, en juillet 2023, et la période du verset douze est le commencement de cette même dispersion le 18 juillet 2020. L’Alpha et l’Oméga avaient désigné, dans Daniel douze, l’histoire des sept tonnerres comme étant l’histoire qui commence à la déception du 18 juillet 2020 et s’achève trois jours et demi symboliques plus tard, en juillet 2023. Il est tout aussi important de noter que, lorsque l’Alpha et l’Oméga marqua le commencement et la fin du dernier temps d’attente, Il leva vers le ciel non pas une seule, mais ses deux mains, et jura par Celui qui vit aux siècles des siècles.</w:t>
      </w:r>
    </w:p>
    <w:p>
      <w:pPr>
        <w:pStyle w:val="ArticleBody"/>
        <w:jc w:val="left"/>
      </w:pPr>
      <w:r>
        <w:rPr>
          <w:rFonts w:ascii="Times New Roman" w:hAnsi="Times New Roman" w:eastAsia="Times New Roman" w:cs="Times New Roman"/>
        </w:rPr>
        <w:t>Mwana wa Nzambe oyo azali mwana na moto azali kosala ndai elongo na Tata, kaka na esika oyo nsuka monene ya lisolo ya bato ya boyokani ya Nzambe ebandaki, tango Klisto abengaki Abrama mpo na mbala ya liboso na elaka, mpe na nsima akokisaki elaka yango, na ndai. Longola sapato na yo, ozali na mabele mosantu!</w:t>
      </w:r>
    </w:p>
    <w:p>
      <w:pPr>
        <w:pStyle w:val="ArticleBody"/>
        <w:jc w:val="left"/>
      </w:pPr>
      <w:r>
        <w:rPr>
          <w:rFonts w:ascii="Times New Roman" w:hAnsi="Times New Roman" w:eastAsia="Times New Roman" w:cs="Times New Roman"/>
        </w:rPr>
        <w:t>Maandishi ya kati kati ya vipindi vitatu vya kinabii si kitu kingine ila ni utimilifu wa omega wa unabii wa wakati wa agano wa miaka 430 wa Abramu na Paulo, kama unavyowakilishwa katika miaka 1290 ya aya ya kumi na moja. Aya hiyo, ikikaribiwa kwa ufahamu wa Wamillerite, ilitambua kipindi cha miaka thelathini cha maandalizi kwa upapa, kisha miaka 1260 ya mateso ya kipapa inayofuata. Miaka 430 ya Abramu inawakilisha utumwa na ukombozi katika taifa maalumu, sambamba na kwamba miaka thelathini ya kwanza inawakilisha Bwana akiingia katika agano na Abramu. Miaka thelathini ya maandalizi kwa makuhani ilianza mwaka 1989 wakati wa mwisho, na miaka hiyo thelathini huisha katika sheria ya Jumapili, wakati aya hiyo inapotambua kwamba chukizo la uharibifu lingewekwa, na ndipo lingewatesa watu wa Mungu kwa miaka 1260 ya kiishara, ikilingana na miezi 42 ya kiishara ya Yohana katika Ufunuo kumi na tatu.</w:t>
      </w:r>
    </w:p>
    <w:p>
      <w:pPr>
        <w:pStyle w:val="ArticleBody"/>
        <w:jc w:val="left"/>
      </w:pPr>
      <w:r>
        <w:rPr>
          <w:rFonts w:ascii="Times New Roman" w:hAnsi="Times New Roman" w:eastAsia="Times New Roman" w:cs="Times New Roman"/>
        </w:rPr>
        <w:t>Le mouvement réformateur des cent quarante-quatre mille commença en 1989, lorsque le Seigneur entreprit son œuvre de préparation d’un sacerdoce pour servir durant la crise de minuit, qui commence à la loi du dimanche. L’Alpha et l’Oméga se tint au-dessus des eaux du Hiddékel et leva ses deux mains vers le ciel, jurant que, lorsque la dispersion du 18 juillet 2020 jusqu’en juillet 2023 serait accomplie, les merveilles associées à l’œuvre du Christ consistant à unir sa divinité à l’humanité seraient achevées.</w:t>
      </w:r>
    </w:p>
    <w:p>
      <w:pPr>
        <w:pStyle w:val="ArticleBody"/>
        <w:jc w:val="left"/>
      </w:pPr>
      <w:r>
        <w:rPr>
          <w:rFonts w:ascii="Times New Roman" w:hAnsi="Times New Roman" w:eastAsia="Times New Roman" w:cs="Times New Roman"/>
        </w:rPr>
        <w:t>Ceci est la même déclaration qu’au chapitre dix, dans la ligne des sept tonnerres, car là non seulement Il mit fin à l’application prophétique du temps, mais Il indiqua aussi que, aux jours où le septième ange ferait retentir la trompette, le mystère de Dieu serait achevé. Le passage parallèle de Daniel 12 indique que, lorsque la dispersion prit fin en juillet 2023, l’achèvement du scellement du peuple de Dieu serait accompli, comme le représente la sonnerie de la septième trompette, laquelle coïncida avec le fait que le Christ leva la main et jura dans les deux passages parallèles.</w:t>
      </w:r>
    </w:p>
    <w:p>
      <w:pPr>
        <w:pStyle w:val="ArticleBody"/>
        <w:jc w:val="left"/>
      </w:pPr>
      <w:r>
        <w:rPr>
          <w:rFonts w:ascii="Times New Roman" w:hAnsi="Times New Roman" w:eastAsia="Times New Roman" w:cs="Times New Roman"/>
        </w:rPr>
        <w:t>Période prophétique الأولى et période prophétique الأخيرة du message triple de Daniel douze portent une signature alpha et oméga. La première période du verset sept identifie la fin de cette même période dont le verset douze marque le commencement. Entre les versets sept et douze est représentée l’histoire du temps de la fin, depuis 1989 jusqu’à la clôture du temps de grâce. Au milieu de la période alpha du verset sept et de l’histoire oméga du verset douze est représentée la rébellion finale de l’humanité, depuis la loi du dimanche jusqu’au moment où Michel se lèvera; et elle est représentée dans le chapitre même où Michel se lève.</w:t>
      </w:r>
    </w:p>
    <w:p>
      <w:pPr>
        <w:pStyle w:val="ArticleBody"/>
        <w:jc w:val="left"/>
      </w:pPr>
      <w:r>
        <w:rPr>
          <w:rFonts w:ascii="Times New Roman" w:hAnsi="Times New Roman" w:eastAsia="Times New Roman" w:cs="Times New Roman"/>
        </w:rPr>
        <w:t>La rébellion de la période intermédiaire est avant tout l’histoire extérieure de la rébellion, mais les trente premières années constituent l’histoire intérieure de la préparation des prêtres qui sont en confrontation directe avec les forces extérieures représentées dans la période de 1260 qui suit.</w:t>
      </w:r>
    </w:p>
    <w:p>
      <w:pPr>
        <w:pStyle w:val="ArticleBody"/>
        <w:jc w:val="left"/>
      </w:pPr>
      <w:r>
        <w:rPr>
          <w:rFonts w:ascii="Times New Roman" w:hAnsi="Times New Roman" w:eastAsia="Times New Roman" w:cs="Times New Roman"/>
        </w:rPr>
        <w:t>La période médiane représente la rébellion de la treizième lettre de l’alphabet hébreu, et elle se combine avec l’interne en ce qu’elle dépeint la bataille finale du grand conflit sur la planète Terre, tandis que le temps de grâce se prolonge. Sa combinaison de l’externe et de l’interne est aussi le message de la dernière vision de Daniel, représentée par le fleuve Hiddékel et les trois chapitres qui portent également la signature de l’Alpha et de l’Oméga, et qui sont bâtis sur la structure de la vérité. Le premier et le dernier chapitre traitent du scellement du peuple de Dieu, lequel est dépeint comme les étoiles qui brillent à toujours. Le chapitre médian de la rébellion identifie la même histoire, représentée au verset onze par les 1290 années, lequel est le verset médian dans cette même structure.</w:t>
      </w:r>
    </w:p>
    <w:p>
      <w:pPr>
        <w:pStyle w:val="ArticleBody"/>
        <w:jc w:val="left"/>
      </w:pPr>
      <w:r>
        <w:rPr>
          <w:rFonts w:ascii="Times New Roman" w:hAnsi="Times New Roman" w:eastAsia="Times New Roman" w:cs="Times New Roman"/>
        </w:rPr>
        <w:t>جڏهن مسيح پنهنجي هٿ کي نبوي ڍانچي جي اندر استعمال ڪري ٿو، تڏهن اهو ڪيترين ئي سچائين جي نمائندگي ڪري ٿو، پر اهو پڻ انهيءَ راهه جي نمائندگي ڪري ٿو جنهن تي هو پنهنجي قوم کي هلائي رهيو آهي. يسوع مسيح جو مڪاشفو جولاءِ 2023ع ۾ کُلڻ شروع ٿيو. انهيءَ کُلڻ ۾ ستن گرجن جي کُلڻ ۽ دانيال جي پيغام جو کُلڻ پڻ شامل آهي، جيئن اهو ٻارهين باب جي اندر ظاهر ڪيو ويو آهي. اهو کُلڻ آيت چاليه جي لڪل تاريخ جي اندر واقع ٿئي ٿو، جيڪا 1989ع ۾ شروع ٿي ۽ آچر جي قانون تي پوري ٿئي ٿي. انهيءَ تاريخ ۾ خدا جي قوم مُهر ڪئي ويندي، ۽ اهي پاڪ روح جي اُڇلجڻ وسيلي مُهر ڪيا وڃن ٿا. پاڪ روح جي آخري اُڇلجڻ جي سڃاڻپ مڪاشفي جي اٺين باب ۾ ڪئي وئي آهي، جتي ان جي نمائندگي ستين، ۽ تنهن ڪري آخري مُهر طور ڪئي وئي آهي. يهوداه جي قبيلي وارو شير پنجين باب ۾ غالب آيو ته اُن ڪتاب کي کولي، جيڪو ستن مُهرن سان مُهر ٿيل هو۔</w:t>
      </w:r>
    </w:p>
    <w:p>
      <w:pPr>
        <w:pStyle w:val="ArticleBody"/>
        <w:jc w:val="left"/>
      </w:pPr>
      <w:r>
        <w:rPr>
          <w:rFonts w:ascii="Times New Roman" w:hAnsi="Times New Roman" w:eastAsia="Times New Roman" w:cs="Times New Roman"/>
        </w:rPr>
        <w:t>Ogata aasia yi adeɛkyerɛ no maa asɛmmisa no so wɔ ti asia no awiei, bisae sɛ hena na obetumi agyina mu wɔ bere a afɔremuka biara nni hɔ bio mma bɔne ho.</w:t>
      </w:r>
    </w:p>
    <w:p>
      <w:pPr>
        <w:pStyle w:val="ArticleScripture"/>
        <w:jc w:val="left"/>
      </w:pPr>
      <w:r>
        <w:rPr>
          <w:rFonts w:ascii="Times New Roman" w:hAnsi="Times New Roman" w:eastAsia="Times New Roman" w:cs="Times New Roman"/>
        </w:rPr>
        <w:t>Car le grand jour de sa colère est venu; et qui pourra subsister? Apocalypse 6:17.</w:t>
      </w:r>
    </w:p>
    <w:p>
      <w:pPr>
        <w:pStyle w:val="ArticleBody"/>
        <w:jc w:val="left"/>
      </w:pPr>
      <w:r>
        <w:rPr>
          <w:rFonts w:ascii="Microsoft YaHei" w:hAnsi="Microsoft YaHei" w:eastAsia="Microsoft YaHei" w:cs="Microsoft YaHei"/>
        </w:rPr>
        <w:t>文中的下一章</w:t>
      </w:r>
      <w:r>
        <w:rPr>
          <w:rFonts w:ascii="Times New Roman" w:hAnsi="Times New Roman" w:eastAsia="Times New Roman" w:cs="Times New Roman"/>
        </w:rPr>
        <w:t>,</w:t>
      </w:r>
      <w:r>
        <w:rPr>
          <w:rFonts w:ascii="Microsoft YaHei" w:hAnsi="Microsoft YaHei" w:eastAsia="Microsoft YaHei" w:cs="Microsoft YaHei"/>
        </w:rPr>
        <w:t>或者也可以说下一节</w:t>
      </w:r>
      <w:r>
        <w:rPr>
          <w:rFonts w:ascii="Times New Roman" w:hAnsi="Times New Roman" w:eastAsia="Times New Roman" w:cs="Times New Roman"/>
        </w:rPr>
        <w:t>,</w:t>
      </w:r>
      <w:r>
        <w:rPr>
          <w:rFonts w:ascii="Microsoft YaHei" w:hAnsi="Microsoft YaHei" w:eastAsia="Microsoft YaHei" w:cs="Microsoft YaHei"/>
        </w:rPr>
        <w:t>引出了在星期日法令危机期间</w:t>
      </w:r>
      <w:r>
        <w:rPr>
          <w:rFonts w:ascii="Times New Roman" w:hAnsi="Times New Roman" w:eastAsia="Times New Roman" w:cs="Times New Roman"/>
        </w:rPr>
        <w:t>,</w:t>
      </w:r>
      <w:r>
        <w:rPr>
          <w:rFonts w:ascii="Microsoft YaHei" w:hAnsi="Microsoft YaHei" w:eastAsia="Microsoft YaHei" w:cs="Microsoft YaHei"/>
        </w:rPr>
        <w:t>那十四万四千人的受印</w:t>
      </w:r>
      <w:r>
        <w:rPr>
          <w:rFonts w:ascii="Times New Roman" w:hAnsi="Times New Roman" w:eastAsia="Times New Roman" w:cs="Times New Roman"/>
        </w:rPr>
        <w:t>,</w:t>
      </w:r>
      <w:r>
        <w:rPr>
          <w:rFonts w:ascii="Microsoft YaHei" w:hAnsi="Microsoft YaHei" w:eastAsia="Microsoft YaHei" w:cs="Microsoft YaHei"/>
        </w:rPr>
        <w:t>以及那被聚集进入上帝国度的大群众</w:t>
      </w:r>
      <w:r>
        <w:rPr>
          <w:rFonts w:ascii="Times New Roman" w:hAnsi="Times New Roman" w:eastAsia="Times New Roman" w:cs="Times New Roman"/>
        </w:rPr>
        <w:t>.</w:t>
      </w:r>
      <w:r>
        <w:rPr>
          <w:rFonts w:ascii="Microsoft YaHei" w:hAnsi="Microsoft YaHei" w:eastAsia="Microsoft YaHei" w:cs="Microsoft YaHei"/>
        </w:rPr>
        <w:t>那十四万四千人</w:t>
      </w:r>
      <w:r>
        <w:rPr>
          <w:rFonts w:ascii="Times New Roman" w:hAnsi="Times New Roman" w:eastAsia="Times New Roman" w:cs="Times New Roman"/>
        </w:rPr>
        <w:t>,</w:t>
      </w:r>
      <w:r>
        <w:rPr>
          <w:rFonts w:ascii="Microsoft YaHei" w:hAnsi="Microsoft YaHei" w:eastAsia="Microsoft YaHei" w:cs="Microsoft YaHei"/>
        </w:rPr>
        <w:t>就是第六印之问题的答案</w:t>
      </w:r>
      <w:r>
        <w:rPr>
          <w:rFonts w:ascii="Times New Roman" w:hAnsi="Times New Roman" w:eastAsia="Times New Roman" w:cs="Times New Roman"/>
        </w:rPr>
        <w:t>.</w:t>
      </w:r>
      <w:r>
        <w:rPr>
          <w:rFonts w:ascii="Microsoft YaHei" w:hAnsi="Microsoft YaHei" w:eastAsia="Microsoft YaHei" w:cs="Microsoft YaHei"/>
        </w:rPr>
        <w:t>在他们于第七章中被表明之后</w:t>
      </w:r>
      <w:r>
        <w:rPr>
          <w:rFonts w:ascii="Times New Roman" w:hAnsi="Times New Roman" w:eastAsia="Times New Roman" w:cs="Times New Roman"/>
        </w:rPr>
        <w:t>,</w:t>
      </w:r>
      <w:r>
        <w:rPr>
          <w:rFonts w:ascii="Microsoft YaHei" w:hAnsi="Microsoft YaHei" w:eastAsia="Microsoft YaHei" w:cs="Microsoft YaHei"/>
        </w:rPr>
        <w:t>第八章便指出第七个、也是最后一个印被揭开了</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Lorsque l’Agneau ouvrit le septième sceau, il se fit dans le ciel un silence d’environ une demi-heure. Et je vis les sept anges qui se tiennent devant Dieu, et sept trompettes leur furent données. Un autre ange vint ensuite, et il se tint près de l’autel, tenant un encensoir d’or; on lui donna beaucoup de parfum, afin qu’il l’offrît, avec les prières de tous les saints, sur l’autel d’or qui est devant le trône. Et la fumée des parfums monta, avec les prières des saints, de la main de l’ange devant Dieu.</w:t>
      </w:r>
    </w:p>
    <w:p>
      <w:pPr>
        <w:pStyle w:val="ArticleScripture"/>
        <w:jc w:val="left"/>
      </w:pPr>
      <w:r>
        <w:rPr>
          <w:rFonts w:ascii="Times New Roman" w:hAnsi="Times New Roman" w:eastAsia="Times New Roman" w:cs="Times New Roman"/>
        </w:rPr>
        <w:t>En l’ange prit l’encensoir, le remplit du feu de l’autel, et le jeta sur la terre; et il y eut des voix, des tonnerres, des éclairs, et un tremblement de terre. Apocalypse 8:1–5.</w:t>
      </w:r>
    </w:p>
    <w:p>
      <w:pPr>
        <w:pStyle w:val="ArticleBody"/>
        <w:jc w:val="left"/>
      </w:pPr>
      <w:r>
        <w:rPr>
          <w:rFonts w:ascii="Times New Roman" w:hAnsi="Times New Roman" w:eastAsia="Times New Roman" w:cs="Times New Roman"/>
        </w:rPr>
        <w:t>Le « feu », représenté au chapitre six d’Ésaïe comme une « braise », que Sœur White identifie comme un symbole de purification, est pris de l’autel et jeté sur la terre. Le « feu » venu du ciel à la Pentecôte fut représenté comme des langues de « feu ». Le « feu » est ce que le Messager de l’Alliance emploie pour purifier les fils de Lévi.</w:t>
      </w:r>
    </w:p>
    <w:p>
      <w:pPr>
        <w:pStyle w:val="ArticleScripture"/>
        <w:jc w:val="left"/>
      </w:pPr>
      <w:r>
        <w:rPr>
          <w:rFonts w:ascii="Times New Roman" w:hAnsi="Times New Roman" w:eastAsia="Times New Roman" w:cs="Times New Roman"/>
        </w:rPr>
        <w:t>“‘Wanene sheƙarsa take a hannunsa, zai kuwa tsabtace masussukarsa sarai, ya tattara alkamarinsa cikin rumbu.’ Matiyu 3:12. Wannan yana ɗaya daga cikin lokutan tsarkakewa. Ta wurin kalmomin gaskiya, ana rarrabe ƙaiƙayi daga alkama. Domin sun cika da banza da adalcin kai har suka ƙi karɓar tsawatawa, kuma suna son duniya ƙwarai har suka ƙi yarda da rayuwar tawali’u, da yawa suka juya baya ga Yesu. Har yanzu mutane da yawa suna yin abu ɗaya. Ana gwada rayuka a yau kamar yadda aka gwada waɗancan almajirai a majami’ar Kafarnahum. Sa’ad da aka kai gaskiya ga zuciya, suna ganin cewa rayuwarsu ba ta jituwa da nufin Allah. Suna ganin bukatar cikakken sauyi a cikin kansu; amma ba su yarda su ɗauki aikin musun kai ba. Saboda haka suna fushi sa’ad da aka gano zunubansu. Suna tafiya a ɓata rai, kamar yadda almajiran suka bar Yesu, suna gunaguni, ‘Wannan magana mai wuya ce; wa zai saurare ta?’” The Desire of Ages, 392.</w:t>
      </w:r>
    </w:p>
    <w:p>
      <w:pPr>
        <w:pStyle w:val="ArticleBody"/>
        <w:jc w:val="left"/>
      </w:pPr>
      <w:r>
        <w:rPr>
          <w:rFonts w:ascii="Times New Roman" w:hAnsi="Times New Roman" w:eastAsia="Times New Roman" w:cs="Times New Roman"/>
        </w:rPr>
        <w:t>Moto nde eye ekitaki likolo ya mbeka ya Eliya, ndenge moko mpe na mbeka ya Gideona epai ya anzelu. “Moto” ya bopetoli ezali Liloba ya Nzambe, mpo kokóma mosantu ezali kosantisama na Liloba na Ye. “Moto” oyo ebwakami na nse awa na mabele ntango elembo ya nsambo elongolami emonisi kopesama nguya ya nsango ya esakweli oyo efungolami na mikolo ya nsuka, na eleko ya kobeta kelelo ya nsambo, na kokokisama ya nsuka mpe ya kokoka ya makambo oyo emonisamaki na nkake nsambo mpe endimisamaki na bileko misato ya esakweli ya Danyele zomi na mibale oyo ekangamaki kino na mikolo ya nsuka.</w:t>
      </w:r>
    </w:p>
    <w:p>
      <w:pPr>
        <w:pStyle w:val="ArticleBody"/>
        <w:jc w:val="left"/>
      </w:pPr>
      <w:r>
        <w:rPr>
          <w:rFonts w:ascii="Times New Roman" w:hAnsi="Times New Roman" w:eastAsia="Times New Roman" w:cs="Times New Roman"/>
        </w:rPr>
        <w:t>ﷺ علانیه‌کردنی عیسی مەسیح کە تەنها پێش داخستنی ماوەی تاقیکردنەوەی مرۆڤ کراوەتەوە—لەخۆدەگرێت کردنەوەی حەوت هەورەتریسکە، لابردنی مۆری حەوتەم، کردنەوەی دانیال دوانزە، و کردنەوەی مێژووی شاراوەی ئایەتی چلەمی دانیال یازدە، ئەوەی بەڕاستی هەمان مێژوویە کە تیایدا فریشتەکە لەو پیاوەی جل‌کتانی لەبەردا پرسی: کۆتایی ئەم سەرسوڕهێنەرانە چی دەبێت.</w:t>
      </w:r>
    </w:p>
    <w:p>
      <w:pPr>
        <w:pStyle w:val="ArticleBody"/>
        <w:jc w:val="left"/>
      </w:pPr>
      <w:r>
        <w:rPr>
          <w:rFonts w:ascii="Times New Roman" w:hAnsi="Times New Roman" w:eastAsia="Times New Roman" w:cs="Times New Roman"/>
        </w:rPr>
        <w:t>Muntu oyo alataki bilamba ya lini ayanolaki mpe alobaki—Ntango bokokóma na nsuka ya eleko ya kozela na sanza ya Yuli ya mobu 2023, bokokómi na lisoló ya kotiama elembo ya nkóto nkama moko na ntuku minei na minei.</w:t>
      </w:r>
    </w:p>
    <w:p>
      <w:pPr>
        <w:pStyle w:val="ArticleBody"/>
        <w:jc w:val="left"/>
      </w:pPr>
      <w:r>
        <w:rPr>
          <w:rFonts w:ascii="Microsoft YaHei" w:hAnsi="Microsoft YaHei" w:eastAsia="Microsoft YaHei" w:cs="Microsoft YaHei"/>
        </w:rPr>
        <w:t>他还说</w:t>
      </w:r>
      <w:r>
        <w:rPr>
          <w:rFonts w:ascii="Times New Roman" w:hAnsi="Times New Roman" w:eastAsia="Times New Roman" w:cs="Times New Roman"/>
        </w:rPr>
        <w:t>——</w:t>
      </w:r>
      <w:r>
        <w:rPr>
          <w:rFonts w:ascii="Microsoft YaHei" w:hAnsi="Microsoft YaHei" w:eastAsia="Microsoft YaHei" w:cs="Microsoft YaHei"/>
        </w:rPr>
        <w:t>在</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第十一章所预表的三个半象征性日子结束之时</w:t>
      </w:r>
      <w:r>
        <w:rPr>
          <w:rFonts w:ascii="Times New Roman" w:hAnsi="Times New Roman" w:eastAsia="Times New Roman" w:cs="Times New Roman"/>
        </w:rPr>
        <w:t>,</w:t>
      </w:r>
      <w:r>
        <w:rPr>
          <w:rFonts w:ascii="Microsoft YaHei" w:hAnsi="Microsoft YaHei" w:eastAsia="Microsoft YaHei" w:cs="Microsoft YaHei"/>
        </w:rPr>
        <w:t>出自</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的一项预言信息将被开启</w:t>
      </w:r>
      <w:r>
        <w:rPr>
          <w:rFonts w:ascii="Times New Roman" w:hAnsi="Times New Roman" w:eastAsia="Times New Roman" w:cs="Times New Roman"/>
        </w:rPr>
        <w:t>,</w:t>
      </w:r>
      <w:r>
        <w:rPr>
          <w:rFonts w:ascii="Microsoft YaHei" w:hAnsi="Microsoft YaHei" w:eastAsia="Microsoft YaHei" w:cs="Microsoft YaHei"/>
        </w:rPr>
        <w:t>正如</w:t>
      </w:r>
      <w:r>
        <w:rPr>
          <w:rFonts w:ascii="Times New Roman" w:hAnsi="Times New Roman" w:eastAsia="Times New Roman" w:cs="Times New Roman"/>
        </w:rPr>
        <w:t>1798</w:t>
      </w:r>
      <w:r>
        <w:rPr>
          <w:rFonts w:ascii="Microsoft YaHei" w:hAnsi="Microsoft YaHei" w:eastAsia="Microsoft YaHei" w:cs="Microsoft YaHei"/>
        </w:rPr>
        <w:t>年所标志的末时所预表的那样</w:t>
      </w:r>
      <w:r>
        <w:rPr>
          <w:rFonts w:ascii="Times New Roman" w:hAnsi="Times New Roman" w:eastAsia="Times New Roman" w:cs="Times New Roman"/>
        </w:rPr>
        <w:t>.</w:t>
      </w:r>
      <w:r>
        <w:rPr>
          <w:rFonts w:ascii="Microsoft YaHei" w:hAnsi="Microsoft YaHei" w:eastAsia="Microsoft YaHei" w:cs="Microsoft YaHei"/>
        </w:rPr>
        <w:t>那时将被开启的真理</w:t>
      </w:r>
      <w:r>
        <w:rPr>
          <w:rFonts w:ascii="Times New Roman" w:hAnsi="Times New Roman" w:eastAsia="Times New Roman" w:cs="Times New Roman"/>
        </w:rPr>
        <w:t>,</w:t>
      </w:r>
      <w:r>
        <w:rPr>
          <w:rFonts w:ascii="Microsoft YaHei" w:hAnsi="Microsoft YaHei" w:eastAsia="Microsoft YaHei" w:cs="Microsoft YaHei"/>
        </w:rPr>
        <w:t>就是在这三个半象征性日子结束之际所显明的真理</w:t>
      </w:r>
      <w:r>
        <w:rPr>
          <w:rFonts w:ascii="Times New Roman" w:hAnsi="Times New Roman" w:eastAsia="Times New Roman" w:cs="Times New Roman"/>
        </w:rPr>
        <w:t>,</w:t>
      </w:r>
      <w:r>
        <w:rPr>
          <w:rFonts w:ascii="Microsoft YaHei" w:hAnsi="Microsoft YaHei" w:eastAsia="Microsoft YaHei" w:cs="Microsoft YaHei"/>
        </w:rPr>
        <w:t>正位于</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中那九节经文之内</w:t>
      </w:r>
      <w:r>
        <w:rPr>
          <w:rFonts w:ascii="Times New Roman" w:hAnsi="Times New Roman" w:eastAsia="Times New Roman" w:cs="Times New Roman"/>
        </w:rPr>
        <w:t>;</w:t>
      </w:r>
      <w:r>
        <w:rPr>
          <w:rFonts w:ascii="Microsoft YaHei" w:hAnsi="Microsoft YaHei" w:eastAsia="Microsoft YaHei" w:cs="Microsoft YaHei"/>
        </w:rPr>
        <w:t>正是那九节经文指明并界定了</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的封住与开启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Nous poursuivrons ces choses dans le prochain article.</w:t>
      </w:r>
    </w:p>
    <w:p>
      <w:pPr>
        <w:pStyle w:val="ArticleScripture"/>
        <w:jc w:val="left"/>
      </w:pPr>
      <w:r>
        <w:rPr>
          <w:rFonts w:ascii="Times New Roman" w:hAnsi="Times New Roman" w:eastAsia="Times New Roman" w:cs="Times New Roman"/>
        </w:rPr>
        <w:t>“Wakati Kristo alipokuja katika dunia hii, mapokeo yaliyokuwa yamerithishwa kutoka kizazi hadi kizazi, pamoja na tafsiri za kibinadamu za Maandiko, yaliuficha kwa wanadamu ukweli kama ulivyo katika Yesu. Ukweli ulikuwa umezikwa chini ya wingi wa mapokeo. Maana ya kiroho ya vitabu vitakatifu ilikuwa imepotea; kwa maana katika kutokuamini kwao wanadamu waliufunga mlango wa hazina ya mbinguni. Giza likaifunika dunia, na giza kuu likawafunika watu. Kweli ikatazama kutoka mbinguni kuielekea dunia; lakini mahali popote chapa ya uungu haikudhihirishwa. Huzuni nzito kama sanda ya mauti ilienea juu ya dunia.</w:t>
      </w:r>
    </w:p>
    <w:p>
      <w:pPr>
        <w:pStyle w:val="ArticleScripture"/>
        <w:jc w:val="left"/>
      </w:pPr>
      <w:r>
        <w:rPr>
          <w:rFonts w:ascii="Times New Roman" w:hAnsi="Times New Roman" w:eastAsia="Times New Roman" w:cs="Times New Roman"/>
        </w:rPr>
        <w:t>“Ake uNgonyama yesizwe sakwaJuda yanqoba. Yavula uphawu olwalulivale incwadi yomyalelo wobuNkulunkulu. Izwe lavunyelwa ukubuka iqiniso elimsulwa, elingenakho ukuxutshwa. Iqiniso uqobo lehla ukuze lihlehlise ubumnyama futhi limelane nephutha. Kwathunywa uMfundisi evela ezulwini enokukhanya okwakuzokhanyisa wonke umuntu oza emhlabeni. Kwakukhona amadoda nabesifazane ababefuna ulwazi ngentshiseko, izwi lesiprofetho eliqinisekileyo, futhi lapho lifika, laba njengokukhanya okukhanya endaweni emnyama.” Spalding Magan, 58.</w:t>
      </w:r>
    </w:p>
    <w:p>
      <w:pPr>
        <w:pStyle w:val="ArticleScripture"/>
        <w:jc w:val="left"/>
      </w:pPr>
      <w:r>
        <w:rPr>
          <w:rFonts w:ascii="Times New Roman" w:hAnsi="Times New Roman" w:eastAsia="Times New Roman" w:cs="Times New Roman"/>
        </w:rPr>
        <w:t>“Les scribes et les pharisiens prétendaient expliquer les Écritures, mais ils les expliquaient conformément à leurs propres idées et traditions. Leurs usages et leurs maximes devenaient de plus en plus exigeants. Dans son sens spirituel, la Parole sacrée devenait pour le peuple comme un livre scellé, fermé à son intelligence.” Signs of the Times, 17 mai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a Joel na Nkorɛfo Asɔre a ɛyɛ Laodikea Seventh-day Adventist - Nɔma Dununson}</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