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bilong Joel na Siot bilong Seventh-day Adventist bilong Laodicea - Namba Twenti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Namba Twenti</w:t>
      </w:r>
    </w:p>
    <w:p>
      <w:pPr>
        <w:pStyle w:val="ArticleBody"/>
        <w:jc w:val="left"/>
      </w:pPr>
      <w:r>
        <w:rPr>
          <w:rFonts w:ascii="Times New Roman" w:hAnsi="Times New Roman" w:eastAsia="Times New Roman" w:cs="Times New Roman"/>
        </w:rPr>
        <w:t>Le livre de Joël indique que la destruction de la vigne de Dieu a lieu à la quatrième génération.</w:t>
      </w:r>
    </w:p>
    <w:p>
      <w:pPr>
        <w:pStyle w:val="ArticleScripture"/>
        <w:jc w:val="left"/>
      </w:pPr>
      <w:r>
        <w:rPr>
          <w:rFonts w:ascii="Times New Roman" w:hAnsi="Times New Roman" w:eastAsia="Times New Roman" w:cs="Times New Roman"/>
        </w:rPr>
        <w:t>La parole de l’Éternel qui fut adressée à Joël, fils de Pethuel.</w:t>
      </w:r>
    </w:p>
    <w:p>
      <w:pPr>
        <w:pStyle w:val="ArticleScripture"/>
        <w:jc w:val="left"/>
      </w:pPr>
      <w:r>
        <w:rPr>
          <w:rFonts w:ascii="Times New Roman" w:hAnsi="Times New Roman" w:eastAsia="Times New Roman" w:cs="Times New Roman"/>
        </w:rPr>
        <w:t>Écoutez ceci, vous, anciens, et prêtez l’oreille, vous tous, habitants du pays. Cela est-il arrivé de vos jours, ou même aux jours de vos pères? Racontez-le à vos enfants, et que vos enfants le racontent à leurs enfants, et leurs enfants à une autre génération.</w:t>
      </w:r>
    </w:p>
    <w:p>
      <w:pPr>
        <w:pStyle w:val="ArticleScripture"/>
        <w:jc w:val="left"/>
      </w:pPr>
      <w:r>
        <w:rPr>
          <w:rFonts w:ascii="Times New Roman" w:hAnsi="Times New Roman" w:eastAsia="Times New Roman" w:cs="Times New Roman"/>
        </w:rPr>
        <w:t>Cee nam beetle-nu nyamee no, ayɛtɛre no na akokɔsradee adidi; na c ee nam akokɔsradee no nyamee no, ayɛtɛre no na asase-bonsam adidi; na c ee nam asase-bonsam no nyamee no, ayɛtɛre no na afunumu adidi.</w:t>
      </w:r>
    </w:p>
    <w:p>
      <w:pPr>
        <w:pStyle w:val="ArticleScripture"/>
        <w:jc w:val="left"/>
      </w:pPr>
      <w:r>
        <w:rPr>
          <w:rFonts w:ascii="Times New Roman" w:hAnsi="Times New Roman" w:eastAsia="Times New Roman" w:cs="Times New Roman"/>
        </w:rPr>
        <w:t>کم اٹھیو، اے مے نوشو، اور نوحہ کرو؛ اور واویلا کرو، اے سب مے پینے والو، نئی مے کے سبب؛ کیونکہ وہ تمہارے منہ سے منقطع کر دی گئی ہے۔ یوایل 1:1–5۔</w:t>
      </w:r>
    </w:p>
    <w:p>
      <w:pPr>
        <w:pStyle w:val="ArticleBody"/>
        <w:jc w:val="left"/>
      </w:pPr>
      <w:r>
        <w:rPr>
          <w:rFonts w:ascii="Times New Roman" w:hAnsi="Times New Roman" w:eastAsia="Times New Roman" w:cs="Times New Roman"/>
        </w:rPr>
        <w:t>La parabole des dix vierges est la parabole de l’adventisme, et le réveil qui s’y produit survient lorsque le blé et l’ivraie sont séparés; alors, l’ivraie s’éveille au fait qu’elle a été « retranchée » du « vin nouveau ». Le mot « retranché » représente la première étape de l’alliance d’Abram, où une génisse, une chèvre et un bélier furent coupés en deux dans le rite destiné à ratifier l’alliance par le sang. Dans ce même passage relatif à l’alliance, Dieu déclare qu’Il visitera Son peuple en jugement durant la quatrième génération.</w:t>
      </w:r>
    </w:p>
    <w:p>
      <w:pPr>
        <w:pStyle w:val="ArticleScripture"/>
        <w:jc w:val="left"/>
      </w:pPr>
      <w:r>
        <w:rPr>
          <w:rFonts w:ascii="Times New Roman" w:hAnsi="Times New Roman" w:eastAsia="Times New Roman" w:cs="Times New Roman"/>
        </w:rPr>
        <w:t>Tunc dixit ad Abram: Scito praenoscens quod semen tuum peregrinum erit in terra non sua, et subicient eos servituti; affligentque eos quadringentis annis. Verumtamen gentem cui servituri sunt ego iudicabo: et post haec egredientur cum magna substantia. Tu autem ibis ad patres tuos in pace, sepultus in senectute bona. Generatione vero quarta revertentur huc: necdum enim completae sunt iniquitates Amorrhaeorum usque ad praesens tempus. Genesis 15:13–16.</w:t>
      </w:r>
    </w:p>
    <w:p>
      <w:pPr>
        <w:pStyle w:val="ArticleBody"/>
        <w:jc w:val="left"/>
      </w:pPr>
      <w:r>
        <w:rPr>
          <w:rFonts w:ascii="Microsoft YaHei" w:hAnsi="Microsoft YaHei" w:eastAsia="Microsoft YaHei" w:cs="Microsoft YaHei"/>
        </w:rPr>
        <w:t>播</w:t>
      </w:r>
      <w:r>
        <w:rPr>
          <w:rFonts w:ascii="Times New Roman" w:hAnsi="Times New Roman" w:eastAsia="Times New Roman" w:cs="Times New Roman"/>
        </w:rPr>
        <w:t xml:space="preserve"> the prophecy was fulfilled in the fourth generation, in the generation of Moses, the Lord set forth the Ten Commandments as a symbol of the covenant with God and His chosen people. In the second of those ten laws the light of Abram’s four generations was magnified.</w:t>
      </w:r>
    </w:p>
    <w:p>
      <w:pPr>
        <w:pStyle w:val="ArticleScripture"/>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डाह</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रखनेवालों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निर्गमन</w:t>
      </w:r>
      <w:r>
        <w:rPr>
          <w:rFonts w:ascii="Times New Roman" w:hAnsi="Times New Roman" w:eastAsia="Times New Roman" w:cs="Times New Roman"/>
        </w:rPr>
        <w:t xml:space="preserve"> 20:4–6.</w:t>
      </w:r>
    </w:p>
    <w:p>
      <w:pPr>
        <w:pStyle w:val="ArticleBody"/>
        <w:jc w:val="left"/>
      </w:pPr>
      <w:r>
        <w:rPr>
          <w:rFonts w:ascii="Times New Roman" w:hAnsi="Times New Roman" w:eastAsia="Times New Roman" w:cs="Times New Roman"/>
        </w:rPr>
        <w:t>Les quatre générations de l’alliance d’Abram furent intégrées à la mise en évidence du caractère de Dieu en tant que Dieu jaloux. Sa jalousie est mise en contraste avec les images taillées. Avec la quatrième génération d’Abram, nous trouvons également un jugement progressif. Ce jugement s’exerçait sur la nation où le peuple de Dieu était en servitude, ainsi que sur le peuple de Dieu, et ensuite les Amoréens seraient jugés. Abram identifie un processus de jugement progressif qui commence par la maison de Dieu et se poursuit progressivement à travers le monde, et le deuxième commandement montre que le processus de jugement divise l’humanité en une catégorie de ceux qui haïssent Dieu, et une catégorie de ceux qui aiment Dieu, typifiant ainsi la loi dominicale qui proclame : « Si vous m’aimez, gardez mes commandements. »</w:t>
      </w:r>
    </w:p>
    <w:p>
      <w:pPr>
        <w:pStyle w:val="ArticleBody"/>
        <w:jc w:val="left"/>
      </w:pPr>
      <w:r>
        <w:rPr>
          <w:rFonts w:ascii="Times New Roman" w:hAnsi="Times New Roman" w:eastAsia="Times New Roman" w:cs="Times New Roman"/>
        </w:rPr>
        <w:t>في الفترة نفسها التي كان فيها الناموس يُعطى في سيناء، أُظهر لموسى طابعُ الله.</w:t>
      </w:r>
    </w:p>
    <w:p>
      <w:pPr>
        <w:pStyle w:val="ArticleScripture"/>
        <w:jc w:val="left"/>
      </w:pPr>
      <w:r>
        <w:rPr>
          <w:rFonts w:ascii="Times New Roman" w:hAnsi="Times New Roman" w:eastAsia="Times New Roman" w:cs="Times New Roman"/>
        </w:rPr>
        <w:t>Seigneur dit à Moïse : Taille deux tables de pierre semblables aux premières ; et j’écrirai sur ces tables les paroles qui étaient sur les premières tables, que tu as brisées. Sois prêt pour le matin, et monte dès le matin sur le mont Sinaï, et présente-toi là devant moi, au sommet de la montagne. Que nul homme ne monte avec toi, et que nul homme ne paraisse sur toute la montagne ; que même les brebis et les bœufs ne paissent point devant cette montagne.</w:t>
      </w:r>
    </w:p>
    <w:p>
      <w:pPr>
        <w:pStyle w:val="ArticleScripture"/>
        <w:jc w:val="left"/>
      </w:pPr>
      <w:r>
        <w:rPr>
          <w:rFonts w:ascii="Times New Roman" w:hAnsi="Times New Roman" w:eastAsia="Times New Roman" w:cs="Times New Roman"/>
        </w:rPr>
        <w:t>Ug hakop niya ang duha ka papan nga bato, sama sa nahauna; ug si Moises mibangon pagsayo sa buntag, ug mitungas ngadto sa bukid sa Sinai, sumala sa gisugo kaniya sa Ginoo, ug gidala sa iyang kamot ang duha ka papan nga bato. Ug ang Ginoo mikunsad diha sa panganod, ug mitindog uban kaniya didto, ug gipahayag ang ngalan sa Ginoo. Ug ang Ginoo miagi sa iyang atubangan, ug mipahayag,</w:t>
      </w:r>
    </w:p>
    <w:p>
      <w:pPr>
        <w:pStyle w:val="ArticleScripture"/>
        <w:jc w:val="left"/>
      </w:pPr>
      <w:r>
        <w:rPr>
          <w:rFonts w:ascii="Times New Roman" w:hAnsi="Times New Roman" w:eastAsia="Times New Roman" w:cs="Times New Roman"/>
        </w:rPr>
        <w:t>Le Seigneur, le Seigneur Dieu, miséricordieux et compatissant, lent à la colère, et abondant en bonté et en vérité, conservant sa miséricorde jusqu’à mille générations, pardonnant l’iniquité, la transgression et le péché, et ne tenant point le coupable pour innocent ; punissant l’iniquité des pères sur les enfants et sur les enfants des enfants, jusqu’à la troisième et à la quatrième génération.</w:t>
      </w:r>
    </w:p>
    <w:p>
      <w:pPr>
        <w:pStyle w:val="ArticleScripture"/>
        <w:jc w:val="left"/>
      </w:pPr>
      <w:r>
        <w:rPr>
          <w:rFonts w:ascii="Times New Roman" w:hAnsi="Times New Roman" w:eastAsia="Times New Roman" w:cs="Times New Roman"/>
        </w:rPr>
        <w:t>I Möseyndighea sig og bugaði seg við jørðini og tilbað. Og hann segði: Um eg nú havi funnið náði í tínum eygum, Harri, so lat, biði eg teg, Harrin fara okkara millum; tí tað er eitt harðsnakið fólk; og fyrigev misgerð okkara og synd okkara, og tak okkum til tín arv. 2 Mósebók 34:1–9.</w:t>
      </w:r>
    </w:p>
    <w:p>
      <w:pPr>
        <w:pStyle w:val="ArticleBody"/>
        <w:jc w:val="left"/>
      </w:pPr>
      <w:r>
        <w:rPr>
          <w:rFonts w:ascii="Times New Roman" w:hAnsi="Times New Roman" w:eastAsia="Times New Roman" w:cs="Times New Roman"/>
        </w:rPr>
        <w:t>Qānūn dā khāo dōsri martaba diyā jānā, 1850 dē pioneer chart nāl mutābiqat rakhda hai. Pahli takhtiyāṅ tōṛ dittiyāṅ gaīāṅ san, ate pahli takhtī dē aṅkāṅ vich galatī sī. Us samēṅ prāchīn Isrā’īl nūṅ sharī‘at dā amānatdār banāyā giā, ate usē samēṅ ādhunik Isrā’īl nūṅ Parmeśvar dī sharī‘at ate Parmeśvar dē nabūvatī Kalām dē qawānīn dā amānatdār banāyā giā. Jadōṅ do takhtiyāṅ pahli vāri pesh kītīāṅ gaīāṅ, tāṅ lashkar vich shābdik baghāwat sī, ate jadōṅ 1850 dā chart pesh kītā giā, tāṅ lashkar vich rūhānī baghāwat pak rahī sī. Abram dī chauthī nasal vālī nabūvat Mūsā de rahiṅ chauthī nasal vich pūrī hoī, jithē Parmeśvar ne dōsrē hukam vich chauthī nasal andar adālat dī wahī nūṅ wase‘ kītā. Tarāshīāṅ hoiāṅ mūrtīāṅ Parmeśvar dī sachī ibādat dā ja‘lī badal ban gaīāṅ, ate Parmeśvar dē kirdār dī ghairat faislē nāl joṛ dittī gaī. Phir Mūsā ne Parmeśvar dī mahimā vekhī. Us ne Parmeśvar dī ghairat nūṅ Parmeśvar dē kirdār dē ikk ansar vajoṅ vekhiā, jis dī numā’ish Us de “nām” dvārā hundī hai, ate ibādat-guzār ate unāṅ de pio-purkhiāṅ de gunāhāṅ de darmiyān sambandh bayān kītā giā hai.</w:t>
      </w:r>
    </w:p>
    <w:p>
      <w:pPr>
        <w:pStyle w:val="ArticleBody"/>
        <w:jc w:val="left"/>
      </w:pPr>
      <w:r>
        <w:rPr>
          <w:rFonts w:ascii="Times New Roman" w:hAnsi="Times New Roman" w:eastAsia="Times New Roman" w:cs="Times New Roman"/>
        </w:rPr>
        <w:t>Na ka tlhwekiso ya tempele lekgetlo la pele, barutwa ba Hae ba ile ba hopola hore tjheseho ya ntlo ya Hae e ne e mo qetile. “Tjheseho” ke lentswe “lefufa.” Sebopeho sa Modimo se bontshang lefufa la Hae ke sona se ileng sa ba tsusumetso e ileng ya isa Kreste ho hlwekisa tempele ya Hae, mme semelo sa boporofeta sa tlhoko ya ho ipolela dibe tseo tsa bontata lona, hamorao se ne se tla fetoha karolo ya bohlokwa ya pitso ya pako ka hare ho kahlolo ya “makgetlo a supileng” ya Levitike mashome a mabedi a metso e tsheletseng. “Moloko wa bone” wa Abrame o hola ka boima bo eketsehileng ha o ntse o tswela pele historing ya selekane. Buka ya Joele e emela nako ya pula ya morao, e etsahalang matsatsing a qetelo. Buka ya Joele e hlahisa molaetsa wa yona hodima kenyelletso ya molaetsa wa meloko e mene, e le sehlooho se ileng sa ngolwa mohato wa pele wa selekane se menahaneng hararo sa Abrame le Modimo. Sehlooho seo se fihla qetellong ya sona bukeng ya Joele.</w:t>
      </w:r>
    </w:p>
    <w:p>
      <w:pPr>
        <w:pStyle w:val="ArticleBody"/>
        <w:jc w:val="left"/>
      </w:pPr>
      <w:r>
        <w:rPr>
          <w:rFonts w:ascii="Times New Roman" w:hAnsi="Times New Roman" w:eastAsia="Times New Roman" w:cs="Times New Roman"/>
        </w:rPr>
        <w:t>Quand ils furent entrés dans le pays promis, l’Arche de l’alliance se trouvait à Silo, où Éli, le souverain sacrificateur, homme méchant et insensé, ainsi que ses deux fils corrompus, sont mis en contraste avec l’appel de Samuel. Silo devait constituer une étape dans le parcours de l’Arche, qui était le symbole de l’alliance. Après que l’Arche eut servi de symbole pour faire tomber les murailles de Jéricho, elle demeura à Silo pendant environ quatre cents ans, jusqu’à la mort d’Éli et de ses fils méchants. Elle fut alors prise par les Philistins, et plus tard, lorsque David transporta l’Arche à Jérusalem, la première illustration de l’entrée triomphale à Jérusalem fut accomplie. La raison déclarée du transfert du symbole de l’alliance à Jérusalem était que Dieu avait choisi de placer Son nom à Jérusalem, et Son nom est associé à Sa jalousie, laquelle est associée à Son jugement jaloux sur la quatrième génération.</w:t>
      </w:r>
    </w:p>
    <w:p>
      <w:pPr>
        <w:pStyle w:val="ArticleBody"/>
        <w:jc w:val="left"/>
      </w:pPr>
      <w:r>
        <w:rPr>
          <w:rFonts w:ascii="Times New Roman" w:hAnsi="Times New Roman" w:eastAsia="Times New Roman" w:cs="Times New Roman"/>
        </w:rPr>
        <w:t>Au moment de la loi dominicale, le Seigneur élèvera l’Église triomphante au-dessus de toutes les collines et de toutes les montagnes, et les nations diront : « Venez, et montons à la maison de Dieu. »</w:t>
      </w:r>
    </w:p>
    <w:p>
      <w:pPr>
        <w:pStyle w:val="ArticleScripture"/>
        <w:jc w:val="left"/>
      </w:pPr>
      <w:r>
        <w:rPr>
          <w:rFonts w:ascii="Times New Roman" w:hAnsi="Times New Roman" w:eastAsia="Times New Roman" w:cs="Times New Roman"/>
        </w:rPr>
        <w:t>Og det skal skje i de siste dager at fjellet hvor Herrens hus står, skal være grunnfestet over toppen av fjellene og opphøyet over haugene; og alle folkeslag skal strømme til det. Og mange folk skal gå av sted og si: Kom, la oss gå opp til Herrens fjell, til Jakobs Guds hus; og han skal lære oss sine veier, og vi vil vandre på hans stier. For fra Sion skal lov utgå, og Herrens ord fra Jerusalem. Jesaja 2:2, 3.</w:t>
      </w:r>
    </w:p>
    <w:p>
      <w:pPr>
        <w:pStyle w:val="ArticleBody"/>
        <w:jc w:val="left"/>
      </w:pPr>
      <w:r>
        <w:rPr>
          <w:rFonts w:ascii="Times New Roman" w:hAnsi="Times New Roman" w:eastAsia="Times New Roman" w:cs="Times New Roman"/>
        </w:rPr>
        <w:t>Seigneur, et se tint là auprès de lui, et proclama le nom de l’Éternel. Et l’Éternel passa devant lui, et proclama,</w:t>
      </w:r>
    </w:p>
    <w:p>
      <w:pPr>
        <w:pStyle w:val="ArticleScripture"/>
        <w:jc w:val="left"/>
      </w:pPr>
      <w:r>
        <w:rPr>
          <w:rFonts w:ascii="Times New Roman" w:hAnsi="Times New Roman" w:eastAsia="Times New Roman" w:cs="Times New Roman"/>
        </w:rPr>
        <w:t>L’Éternel, l’Éternel Dieu, miséricordieux et compatissant, lent à la colère, riche en bonté et en vérité, qui conserve sa miséricorde jusqu’à mille générations, qui pardonne l’iniquité, la transgression et le péché, mais qui ne tient point le coupable pour innocent ; qui punit l’iniquité des pères sur les enfants et sur les enfants des enfants, jusqu’à la troisième et à la quatrième génération. Exode 34:6, 7.</w:t>
      </w:r>
    </w:p>
    <w:p>
      <w:pPr>
        <w:pStyle w:val="ArticleBody"/>
        <w:jc w:val="left"/>
      </w:pPr>
      <w:r>
        <w:rPr>
          <w:rFonts w:ascii="Microsoft YaHei" w:hAnsi="Microsoft YaHei" w:eastAsia="Microsoft YaHei" w:cs="Microsoft YaHei"/>
        </w:rPr>
        <w:t>「御名」</w:t>
      </w:r>
      <w:r>
        <w:rPr>
          <w:rFonts w:ascii="MS Gothic" w:hAnsi="MS Gothic" w:eastAsia="MS Gothic" w:cs="MS Gothic"/>
        </w:rPr>
        <w:t>とは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御性質</w:t>
      </w:r>
      <w:r>
        <w:rPr>
          <w:rFonts w:ascii="MS Gothic" w:hAnsi="MS Gothic" w:eastAsia="MS Gothic" w:cs="MS Gothic"/>
        </w:rPr>
        <w:t>であり</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御性質</w:t>
      </w:r>
      <w:r>
        <w:rPr>
          <w:rFonts w:ascii="MS Gothic" w:hAnsi="MS Gothic" w:eastAsia="MS Gothic" w:cs="MS Gothic"/>
        </w:rPr>
        <w:t>はきわめて</w:t>
      </w:r>
      <w:r>
        <w:rPr>
          <w:rFonts w:ascii="Microsoft YaHei" w:hAnsi="Microsoft YaHei" w:eastAsia="Microsoft YaHei" w:cs="Microsoft YaHei"/>
        </w:rPr>
        <w:t>複雑</w:t>
      </w:r>
      <w:r>
        <w:rPr>
          <w:rFonts w:ascii="MS Gothic" w:hAnsi="MS Gothic" w:eastAsia="MS Gothic" w:cs="MS Gothic"/>
        </w:rPr>
        <w:t>であると</w:t>
      </w:r>
      <w:r>
        <w:rPr>
          <w:rFonts w:ascii="Microsoft YaHei" w:hAnsi="Microsoft YaHei" w:eastAsia="Microsoft YaHei" w:cs="Microsoft YaHei"/>
        </w:rPr>
        <w:t>同時</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きわめて</w:t>
      </w:r>
      <w:r>
        <w:rPr>
          <w:rFonts w:ascii="Microsoft YaHei" w:hAnsi="Microsoft YaHei" w:eastAsia="Microsoft YaHei" w:cs="Microsoft YaHei"/>
        </w:rPr>
        <w:t>単純</w:t>
      </w:r>
      <w:r>
        <w:rPr>
          <w:rFonts w:ascii="MS Gothic" w:hAnsi="MS Gothic" w:eastAsia="MS Gothic" w:cs="MS Gothic"/>
        </w:rPr>
        <w:t>でもある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愛</w:t>
      </w:r>
      <w:r>
        <w:rPr>
          <w:rFonts w:ascii="MS Gothic" w:hAnsi="MS Gothic" w:eastAsia="MS Gothic" w:cs="MS Gothic"/>
        </w:rPr>
        <w:t>である</w:t>
      </w:r>
      <w:r>
        <w:rPr>
          <w:rFonts w:ascii="Microsoft YaHei" w:hAnsi="Microsoft YaHei" w:eastAsia="Microsoft YaHei" w:cs="Microsoft YaHei"/>
        </w:rPr>
        <w:t>、</w:t>
      </w:r>
      <w:r>
        <w:rPr>
          <w:rFonts w:ascii="MS Gothic" w:hAnsi="MS Gothic" w:eastAsia="MS Gothic" w:cs="MS Gothic"/>
        </w:rPr>
        <w:t>というのは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御性質</w:t>
      </w:r>
      <w:r>
        <w:rPr>
          <w:rFonts w:ascii="MS Gothic" w:hAnsi="MS Gothic" w:eastAsia="MS Gothic" w:cs="MS Gothic"/>
        </w:rPr>
        <w:t>を</w:t>
      </w:r>
      <w:r>
        <w:rPr>
          <w:rFonts w:ascii="Microsoft YaHei" w:hAnsi="Microsoft YaHei" w:eastAsia="Microsoft YaHei" w:cs="Microsoft YaHei"/>
        </w:rPr>
        <w:t>完全</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しかも</w:t>
      </w:r>
      <w:r>
        <w:rPr>
          <w:rFonts w:ascii="Microsoft YaHei" w:hAnsi="Microsoft YaHei" w:eastAsia="Microsoft YaHei" w:cs="Microsoft YaHei"/>
        </w:rPr>
        <w:t>簡潔</w:t>
      </w:r>
      <w:r>
        <w:rPr>
          <w:rFonts w:ascii="MS Gothic" w:hAnsi="MS Gothic" w:eastAsia="MS Gothic" w:cs="MS Gothic"/>
        </w:rPr>
        <w:t>に</w:t>
      </w:r>
      <w:r>
        <w:rPr>
          <w:rFonts w:ascii="Microsoft YaHei" w:hAnsi="Microsoft YaHei" w:eastAsia="Microsoft YaHei" w:cs="Microsoft YaHei"/>
        </w:rPr>
        <w:t>表</w:t>
      </w:r>
      <w:r>
        <w:rPr>
          <w:rFonts w:ascii="MS Gothic" w:hAnsi="MS Gothic" w:eastAsia="MS Gothic" w:cs="MS Gothic"/>
        </w:rPr>
        <w:t>したものである</w:t>
      </w:r>
      <w:r>
        <w:rPr>
          <w:rFonts w:ascii="Times New Roman" w:hAnsi="Times New Roman" w:eastAsia="Times New Roman" w:cs="Times New Roman"/>
        </w:rPr>
        <w:t>.</w:t>
      </w:r>
      <w:r>
        <w:rPr>
          <w:rFonts w:ascii="MS Gothic" w:hAnsi="MS Gothic" w:eastAsia="MS Gothic" w:cs="MS Gothic"/>
        </w:rPr>
        <w:t>アブラムに</w:t>
      </w:r>
      <w:r>
        <w:rPr>
          <w:rFonts w:ascii="Microsoft YaHei" w:hAnsi="Microsoft YaHei" w:eastAsia="Microsoft YaHei" w:cs="Microsoft YaHei"/>
        </w:rPr>
        <w:t>与</w:t>
      </w:r>
      <w:r>
        <w:rPr>
          <w:rFonts w:ascii="MS Gothic" w:hAnsi="MS Gothic" w:eastAsia="MS Gothic" w:cs="MS Gothic"/>
        </w:rPr>
        <w:t>えられた</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である</w:t>
      </w:r>
      <w:r>
        <w:rPr>
          <w:rFonts w:ascii="Microsoft YaHei" w:hAnsi="Microsoft YaHei" w:eastAsia="Microsoft YaHei" w:cs="Microsoft YaHei"/>
        </w:rPr>
        <w:t>「四代目</w:t>
      </w:r>
      <w:r>
        <w:rPr>
          <w:rFonts w:ascii="MS Gothic" w:hAnsi="MS Gothic" w:eastAsia="MS Gothic" w:cs="MS Gothic"/>
        </w:rPr>
        <w:t>におけるさばき</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めにおいて</w:t>
      </w:r>
      <w:r>
        <w:rPr>
          <w:rFonts w:ascii="Microsoft YaHei" w:hAnsi="Microsoft YaHei" w:eastAsia="Microsoft YaHei" w:cs="Microsoft YaHei"/>
        </w:rPr>
        <w:t>第四代</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するさらなる</w:t>
      </w:r>
      <w:r>
        <w:rPr>
          <w:rFonts w:ascii="Microsoft YaHei" w:hAnsi="Microsoft YaHei" w:eastAsia="Microsoft YaHei" w:cs="Microsoft YaHei"/>
        </w:rPr>
        <w:t>光</w:t>
      </w:r>
      <w:r>
        <w:rPr>
          <w:rFonts w:ascii="MS Gothic" w:hAnsi="MS Gothic" w:eastAsia="MS Gothic" w:cs="MS Gothic"/>
        </w:rPr>
        <w:t>が</w:t>
      </w:r>
      <w:r>
        <w:rPr>
          <w:rFonts w:ascii="Microsoft YaHei" w:hAnsi="Microsoft YaHei" w:eastAsia="Microsoft YaHei" w:cs="Microsoft YaHei"/>
        </w:rPr>
        <w:t>加</w:t>
      </w:r>
      <w:r>
        <w:rPr>
          <w:rFonts w:ascii="MS Gothic" w:hAnsi="MS Gothic" w:eastAsia="MS Gothic" w:cs="MS Gothic"/>
        </w:rPr>
        <w:t>えられることにより</w:t>
      </w:r>
      <w:r>
        <w:rPr>
          <w:rFonts w:ascii="Microsoft YaHei" w:hAnsi="Microsoft YaHei" w:eastAsia="Microsoft YaHei" w:cs="Microsoft YaHei"/>
        </w:rPr>
        <w:t>、「教</w:t>
      </w:r>
      <w:r>
        <w:rPr>
          <w:rFonts w:ascii="MS Gothic" w:hAnsi="MS Gothic" w:eastAsia="MS Gothic" w:cs="MS Gothic"/>
        </w:rPr>
        <w:t>えに</w:t>
      </w:r>
      <w:r>
        <w:rPr>
          <w:rFonts w:ascii="Microsoft YaHei" w:hAnsi="Microsoft YaHei" w:eastAsia="Microsoft YaHei" w:cs="Microsoft YaHei"/>
        </w:rPr>
        <w:t>教</w:t>
      </w:r>
      <w:r>
        <w:rPr>
          <w:rFonts w:ascii="MS Gothic" w:hAnsi="MS Gothic" w:eastAsia="MS Gothic" w:cs="MS Gothic"/>
        </w:rPr>
        <w:t>えを</w:t>
      </w:r>
      <w:r>
        <w:rPr>
          <w:rFonts w:ascii="Microsoft YaHei" w:hAnsi="Microsoft YaHei" w:eastAsia="Microsoft YaHei" w:cs="Microsoft YaHei"/>
        </w:rPr>
        <w:t>加</w:t>
      </w:r>
      <w:r>
        <w:rPr>
          <w:rFonts w:ascii="MS Gothic" w:hAnsi="MS Gothic" w:eastAsia="MS Gothic" w:cs="MS Gothic"/>
        </w:rPr>
        <w:t>え</w:t>
      </w:r>
      <w:r>
        <w:rPr>
          <w:rFonts w:ascii="Microsoft YaHei" w:hAnsi="Microsoft YaHei" w:eastAsia="Microsoft YaHei" w:cs="Microsoft YaHei"/>
        </w:rPr>
        <w:t>」</w:t>
      </w:r>
      <w:r>
        <w:rPr>
          <w:rFonts w:ascii="MS Gothic" w:hAnsi="MS Gothic" w:eastAsia="MS Gothic" w:cs="MS Gothic"/>
        </w:rPr>
        <w:t>つつ</w:t>
      </w:r>
      <w:r>
        <w:rPr>
          <w:rFonts w:ascii="Microsoft YaHei" w:hAnsi="Microsoft YaHei" w:eastAsia="Microsoft YaHei" w:cs="Microsoft YaHei"/>
        </w:rPr>
        <w:t>拡大</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さらにモーセの</w:t>
      </w:r>
      <w:r>
        <w:rPr>
          <w:rFonts w:ascii="Microsoft YaHei" w:hAnsi="Microsoft YaHei" w:eastAsia="Microsoft YaHei" w:cs="Microsoft YaHei"/>
        </w:rPr>
        <w:t>経験</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御性質</w:t>
      </w:r>
      <w:r>
        <w:rPr>
          <w:rFonts w:ascii="MS Gothic" w:hAnsi="MS Gothic" w:eastAsia="MS Gothic" w:cs="MS Gothic"/>
        </w:rPr>
        <w:t>と</w:t>
      </w:r>
      <w:r>
        <w:rPr>
          <w:rFonts w:ascii="Microsoft YaHei" w:hAnsi="Microsoft YaHei" w:eastAsia="Microsoft YaHei" w:cs="Microsoft YaHei"/>
        </w:rPr>
        <w:t>第四代</w:t>
      </w:r>
      <w:r>
        <w:rPr>
          <w:rFonts w:ascii="MS Gothic" w:hAnsi="MS Gothic" w:eastAsia="MS Gothic" w:cs="MS Gothic"/>
        </w:rPr>
        <w:t>との</w:t>
      </w:r>
      <w:r>
        <w:rPr>
          <w:rFonts w:ascii="Microsoft YaHei" w:hAnsi="Microsoft YaHei" w:eastAsia="Microsoft YaHei" w:cs="Microsoft YaHei"/>
        </w:rPr>
        <w:t>結</w:t>
      </w:r>
      <w:r>
        <w:rPr>
          <w:rFonts w:ascii="MS Gothic" w:hAnsi="MS Gothic" w:eastAsia="MS Gothic" w:cs="MS Gothic"/>
        </w:rPr>
        <w:t>びつきに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光</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そのねたみに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光</w:t>
      </w:r>
      <w:r>
        <w:rPr>
          <w:rFonts w:ascii="MS Gothic" w:hAnsi="MS Gothic" w:eastAsia="MS Gothic" w:cs="MS Gothic"/>
        </w:rPr>
        <w:t>を</w:t>
      </w:r>
      <w:r>
        <w:rPr>
          <w:rFonts w:ascii="Microsoft YaHei" w:hAnsi="Microsoft YaHei" w:eastAsia="Microsoft YaHei" w:cs="Microsoft YaHei"/>
        </w:rPr>
        <w:t>加</w:t>
      </w:r>
      <w:r>
        <w:rPr>
          <w:rFonts w:ascii="MS Gothic" w:hAnsi="MS Gothic" w:eastAsia="MS Gothic" w:cs="MS Gothic"/>
        </w:rPr>
        <w:t>えることによって</w:t>
      </w:r>
      <w:r>
        <w:rPr>
          <w:rFonts w:ascii="Microsoft YaHei" w:hAnsi="Microsoft YaHei" w:eastAsia="Microsoft YaHei" w:cs="Microsoft YaHei"/>
        </w:rPr>
        <w:t>、</w:t>
      </w:r>
      <w:r>
        <w:rPr>
          <w:rFonts w:ascii="MS Gothic" w:hAnsi="MS Gothic" w:eastAsia="MS Gothic" w:cs="MS Gothic"/>
        </w:rPr>
        <w:t>いっそう</w:t>
      </w:r>
      <w:r>
        <w:rPr>
          <w:rFonts w:ascii="Microsoft YaHei" w:hAnsi="Microsoft YaHei" w:eastAsia="Microsoft YaHei" w:cs="Microsoft YaHei"/>
        </w:rPr>
        <w:t>展開</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霊感</w:t>
      </w:r>
      <w:r>
        <w:rPr>
          <w:rFonts w:ascii="MS Gothic" w:hAnsi="MS Gothic" w:eastAsia="MS Gothic" w:cs="MS Gothic"/>
        </w:rPr>
        <w:t>は</w:t>
      </w:r>
      <w:r>
        <w:rPr>
          <w:rFonts w:ascii="Microsoft YaHei" w:hAnsi="Microsoft YaHei" w:eastAsia="Microsoft YaHei" w:cs="Microsoft YaHei"/>
        </w:rPr>
        <w:t>、性格</w:t>
      </w:r>
      <w:r>
        <w:rPr>
          <w:rFonts w:ascii="MS Gothic" w:hAnsi="MS Gothic" w:eastAsia="MS Gothic" w:cs="MS Gothic"/>
        </w:rPr>
        <w:t>を</w:t>
      </w:r>
      <w:r>
        <w:rPr>
          <w:rFonts w:ascii="Microsoft YaHei" w:hAnsi="Microsoft YaHei" w:eastAsia="Microsoft YaHei" w:cs="Microsoft YaHei"/>
        </w:rPr>
        <w:t>「思想</w:t>
      </w:r>
      <w:r>
        <w:rPr>
          <w:rFonts w:ascii="MS Gothic" w:hAnsi="MS Gothic" w:eastAsia="MS Gothic" w:cs="MS Gothic"/>
        </w:rPr>
        <w:t>と</w:t>
      </w:r>
      <w:r>
        <w:rPr>
          <w:rFonts w:ascii="Microsoft YaHei" w:hAnsi="Microsoft YaHei" w:eastAsia="Microsoft YaHei" w:cs="Microsoft YaHei"/>
        </w:rPr>
        <w:t>思</w:t>
      </w:r>
      <w:r>
        <w:rPr>
          <w:rFonts w:ascii="MS Gothic" w:hAnsi="MS Gothic" w:eastAsia="MS Gothic" w:cs="MS Gothic"/>
        </w:rPr>
        <w:t>いとの</w:t>
      </w:r>
      <w:r>
        <w:rPr>
          <w:rFonts w:ascii="Microsoft YaHei" w:hAnsi="Microsoft YaHei" w:eastAsia="Microsoft YaHei" w:cs="Microsoft YaHei"/>
        </w:rPr>
        <w:t>結合」</w:t>
      </w:r>
      <w:r>
        <w:rPr>
          <w:rFonts w:ascii="MS Gothic" w:hAnsi="MS Gothic" w:eastAsia="MS Gothic" w:cs="MS Gothic"/>
        </w:rPr>
        <w:t>と</w:t>
      </w:r>
      <w:r>
        <w:rPr>
          <w:rFonts w:ascii="Microsoft YaHei" w:hAnsi="Microsoft YaHei" w:eastAsia="Microsoft YaHei" w:cs="Microsoft YaHei"/>
        </w:rPr>
        <w:t>定義</w:t>
      </w:r>
      <w:r>
        <w:rPr>
          <w:rFonts w:ascii="MS Gothic" w:hAnsi="MS Gothic" w:eastAsia="MS Gothic" w:cs="MS Gothic"/>
        </w:rPr>
        <w:t>してきたが</w:t>
      </w:r>
      <w:r>
        <w:rPr>
          <w:rFonts w:ascii="Microsoft YaHei" w:hAnsi="Microsoft YaHei" w:eastAsia="Microsoft YaHei" w:cs="Microsoft YaHei"/>
        </w:rPr>
        <w:t>、同時</w:t>
      </w:r>
      <w:r>
        <w:rPr>
          <w:rFonts w:ascii="MS Gothic" w:hAnsi="MS Gothic" w:eastAsia="MS Gothic" w:cs="MS Gothic"/>
        </w:rPr>
        <w:t>にまた</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思</w:t>
      </w:r>
      <w:r>
        <w:rPr>
          <w:rFonts w:ascii="MS Gothic" w:hAnsi="MS Gothic" w:eastAsia="MS Gothic" w:cs="MS Gothic"/>
        </w:rPr>
        <w:t>いは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思</w:t>
      </w:r>
      <w:r>
        <w:rPr>
          <w:rFonts w:ascii="MS Gothic" w:hAnsi="MS Gothic" w:eastAsia="MS Gothic" w:cs="MS Gothic"/>
        </w:rPr>
        <w:t>いとは</w:t>
      </w:r>
      <w:r>
        <w:rPr>
          <w:rFonts w:ascii="Microsoft YaHei" w:hAnsi="Microsoft YaHei" w:eastAsia="Microsoft YaHei" w:cs="Microsoft YaHei"/>
        </w:rPr>
        <w:t>異</w:t>
      </w:r>
      <w:r>
        <w:rPr>
          <w:rFonts w:ascii="MS Gothic" w:hAnsi="MS Gothic" w:eastAsia="MS Gothic" w:cs="MS Gothic"/>
        </w:rPr>
        <w:t>なることをも</w:t>
      </w:r>
      <w:r>
        <w:rPr>
          <w:rFonts w:ascii="Microsoft YaHei" w:hAnsi="Microsoft YaHei" w:eastAsia="Microsoft YaHei" w:cs="Microsoft YaHei"/>
        </w:rPr>
        <w:t>告</w:t>
      </w:r>
      <w:r>
        <w:rPr>
          <w:rFonts w:ascii="MS Gothic" w:hAnsi="MS Gothic" w:eastAsia="MS Gothic" w:cs="MS Gothic"/>
        </w:rPr>
        <w:t>げている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御性質</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思想</w:t>
      </w:r>
      <w:r>
        <w:rPr>
          <w:rFonts w:ascii="MS Gothic" w:hAnsi="MS Gothic" w:eastAsia="MS Gothic" w:cs="MS Gothic"/>
        </w:rPr>
        <w:t>と</w:t>
      </w:r>
      <w:r>
        <w:rPr>
          <w:rFonts w:ascii="Microsoft YaHei" w:hAnsi="Microsoft YaHei" w:eastAsia="Microsoft YaHei" w:cs="Microsoft YaHei"/>
        </w:rPr>
        <w:t>思</w:t>
      </w:r>
      <w:r>
        <w:rPr>
          <w:rFonts w:ascii="MS Gothic" w:hAnsi="MS Gothic" w:eastAsia="MS Gothic" w:cs="MS Gothic"/>
        </w:rPr>
        <w:t>いとの</w:t>
      </w:r>
      <w:r>
        <w:rPr>
          <w:rFonts w:ascii="Microsoft YaHei" w:hAnsi="Microsoft YaHei" w:eastAsia="Microsoft YaHei" w:cs="Microsoft YaHei"/>
        </w:rPr>
        <w:t>結合</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御性質</w:t>
      </w:r>
      <w:r>
        <w:rPr>
          <w:rFonts w:ascii="MS Gothic" w:hAnsi="MS Gothic" w:eastAsia="MS Gothic" w:cs="MS Gothic"/>
        </w:rPr>
        <w:t>には</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単純</w:t>
      </w:r>
      <w:r>
        <w:rPr>
          <w:rFonts w:ascii="MS Gothic" w:hAnsi="MS Gothic" w:eastAsia="MS Gothic" w:cs="MS Gothic"/>
        </w:rPr>
        <w:t>な</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思想</w:t>
      </w:r>
      <w:r>
        <w:rPr>
          <w:rFonts w:ascii="MS Gothic" w:hAnsi="MS Gothic" w:eastAsia="MS Gothic" w:cs="MS Gothic"/>
        </w:rPr>
        <w:t>や</w:t>
      </w:r>
      <w:r>
        <w:rPr>
          <w:rFonts w:ascii="Microsoft YaHei" w:hAnsi="Microsoft YaHei" w:eastAsia="Microsoft YaHei" w:cs="Microsoft YaHei"/>
        </w:rPr>
        <w:t>思</w:t>
      </w:r>
      <w:r>
        <w:rPr>
          <w:rFonts w:ascii="MS Gothic" w:hAnsi="MS Gothic" w:eastAsia="MS Gothic" w:cs="MS Gothic"/>
        </w:rPr>
        <w:t>いをはるかに</w:t>
      </w:r>
      <w:r>
        <w:rPr>
          <w:rFonts w:ascii="Microsoft YaHei" w:hAnsi="Microsoft YaHei" w:eastAsia="Microsoft YaHei" w:cs="Microsoft YaHei"/>
        </w:rPr>
        <w:t>超</w:t>
      </w:r>
      <w:r>
        <w:rPr>
          <w:rFonts w:ascii="MS Gothic" w:hAnsi="MS Gothic" w:eastAsia="MS Gothic" w:cs="MS Gothic"/>
        </w:rPr>
        <w:t>える</w:t>
      </w:r>
      <w:r>
        <w:rPr>
          <w:rFonts w:ascii="Microsoft YaHei" w:hAnsi="Microsoft YaHei" w:eastAsia="Microsoft YaHei" w:cs="Microsoft YaHei"/>
        </w:rPr>
        <w:t>非常</w:t>
      </w:r>
      <w:r>
        <w:rPr>
          <w:rFonts w:ascii="MS Gothic" w:hAnsi="MS Gothic" w:eastAsia="MS Gothic" w:cs="MS Gothic"/>
        </w:rPr>
        <w:t>に</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側面</w:t>
      </w:r>
      <w:r>
        <w:rPr>
          <w:rFonts w:ascii="MS Gothic" w:hAnsi="MS Gothic" w:eastAsia="MS Gothic" w:cs="MS Gothic"/>
        </w:rPr>
        <w:t>があるのであって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相違</w:t>
      </w:r>
      <w:r>
        <w:rPr>
          <w:rFonts w:ascii="MS Gothic" w:hAnsi="MS Gothic" w:eastAsia="MS Gothic" w:cs="MS Gothic"/>
        </w:rPr>
        <w:t>は</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高</w:t>
      </w:r>
      <w:r>
        <w:rPr>
          <w:rFonts w:ascii="MS Gothic" w:hAnsi="MS Gothic" w:eastAsia="MS Gothic" w:cs="MS Gothic"/>
        </w:rPr>
        <w:t>さにも</w:t>
      </w:r>
      <w:r>
        <w:rPr>
          <w:rFonts w:ascii="Microsoft YaHei" w:hAnsi="Microsoft YaHei" w:eastAsia="Microsoft YaHei" w:cs="Microsoft YaHei"/>
        </w:rPr>
        <w:t>等</w:t>
      </w:r>
      <w:r>
        <w:rPr>
          <w:rFonts w:ascii="MS Gothic" w:hAnsi="MS Gothic" w:eastAsia="MS Gothic" w:cs="MS Gothic"/>
        </w:rPr>
        <w:t>しく</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思</w:t>
      </w:r>
      <w:r>
        <w:rPr>
          <w:rFonts w:ascii="MS Gothic" w:hAnsi="MS Gothic" w:eastAsia="MS Gothic" w:cs="MS Gothic"/>
        </w:rPr>
        <w:t>いが</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思</w:t>
      </w:r>
      <w:r>
        <w:rPr>
          <w:rFonts w:ascii="MS Gothic" w:hAnsi="MS Gothic" w:eastAsia="MS Gothic" w:cs="MS Gothic"/>
        </w:rPr>
        <w:t>いよりも</w:t>
      </w:r>
      <w:r>
        <w:rPr>
          <w:rFonts w:ascii="Microsoft YaHei" w:hAnsi="Microsoft YaHei" w:eastAsia="Microsoft YaHei" w:cs="Microsoft YaHei"/>
        </w:rPr>
        <w:t>高</w:t>
      </w:r>
      <w:r>
        <w:rPr>
          <w:rFonts w:ascii="MS Gothic" w:hAnsi="MS Gothic" w:eastAsia="MS Gothic" w:cs="MS Gothic"/>
        </w:rPr>
        <w:t>いということである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Kwa maana mawazo yangu si mawazo yenu, wala njia zenu si njia zangu, asema Bwana. Kwa kuwa kama mbingu zilivyo juu kuliko nchi, ndivyo njia zangu zilivyo juu kuliko njia zenu, na mawazo yangu kuliko mawazo yenu. Isaya 55:8, 9.</w:t>
      </w:r>
    </w:p>
    <w:p>
      <w:pPr>
        <w:pStyle w:val="ArticleBody"/>
        <w:jc w:val="left"/>
      </w:pPr>
      <w:r>
        <w:rPr>
          <w:rFonts w:ascii="Nirmala UI" w:hAnsi="Nirmala UI" w:eastAsia="Nirmala UI" w:cs="Nirmala UI"/>
        </w:rPr>
        <w:t>ছো</w:t>
      </w:r>
      <w:r>
        <w:rPr>
          <w:rFonts w:ascii="Times New Roman" w:hAnsi="Times New Roman" w:eastAsia="Times New Roman" w:cs="Times New Roman"/>
        </w:rPr>
        <w:t xml:space="preserve">, </w:t>
      </w:r>
      <w:r>
        <w:rPr>
          <w:rFonts w:ascii="Nirmala UI" w:hAnsi="Nirmala UI" w:eastAsia="Nirmala UI" w:cs="Nirmala UI"/>
        </w:rPr>
        <w:t>এইখানে</w:t>
      </w:r>
      <w:r>
        <w:rPr>
          <w:rFonts w:ascii="Times New Roman" w:hAnsi="Times New Roman" w:eastAsia="Times New Roman" w:cs="Times New Roman"/>
        </w:rPr>
        <w:t xml:space="preserve"> </w:t>
      </w:r>
      <w:r>
        <w:rPr>
          <w:rFonts w:ascii="Nirmala UI" w:hAnsi="Nirmala UI" w:eastAsia="Nirmala UI" w:cs="Nirmala UI"/>
        </w:rPr>
        <w:t>ভাবিবার</w:t>
      </w:r>
      <w:r>
        <w:rPr>
          <w:rFonts w:ascii="Times New Roman" w:hAnsi="Times New Roman" w:eastAsia="Times New Roman" w:cs="Times New Roman"/>
        </w:rPr>
        <w:t xml:space="preserve"> </w:t>
      </w:r>
      <w:r>
        <w:rPr>
          <w:rFonts w:ascii="Nirmala UI" w:hAnsi="Nirmala UI" w:eastAsia="Nirmala UI" w:cs="Nirmala UI"/>
        </w:rPr>
        <w:t>নিমিত্তে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নামের</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প্রকাশই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চরিত্রেরই</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ভাববাণীময়</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পালমোনি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আশ্চর্য</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w:t>
      </w:r>
      <w:r>
        <w:rPr>
          <w:rFonts w:ascii="Nirmala UI" w:hAnsi="Nirmala UI" w:eastAsia="Nirmala UI" w:cs="Nirmala UI"/>
        </w:rPr>
        <w:t>সংখ্যাকারী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শুষ্ক</w:t>
      </w:r>
      <w:r>
        <w:rPr>
          <w:rFonts w:ascii="Times New Roman" w:hAnsi="Times New Roman" w:eastAsia="Times New Roman" w:cs="Times New Roman"/>
        </w:rPr>
        <w:t xml:space="preserve"> </w:t>
      </w:r>
      <w:r>
        <w:rPr>
          <w:rFonts w:ascii="Nirmala UI" w:hAnsi="Nirmala UI" w:eastAsia="Nirmala UI" w:cs="Nirmala UI"/>
        </w:rPr>
        <w:t>ভূমি</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মূল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জ্বলন্ত</w:t>
      </w:r>
      <w:r>
        <w:rPr>
          <w:rFonts w:ascii="Times New Roman" w:hAnsi="Times New Roman" w:eastAsia="Times New Roman" w:cs="Times New Roman"/>
        </w:rPr>
        <w:t xml:space="preserve"> </w:t>
      </w:r>
      <w:r>
        <w:rPr>
          <w:rFonts w:ascii="Nirmala UI" w:hAnsi="Nirmala UI" w:eastAsia="Nirmala UI" w:cs="Nirmala UI"/>
        </w:rPr>
        <w:t>ঝোপ</w:t>
      </w:r>
      <w:r>
        <w:rPr>
          <w:rFonts w:ascii="Times New Roman" w:hAnsi="Times New Roman" w:eastAsia="Times New Roman" w:cs="Times New Roman"/>
        </w:rPr>
        <w:t xml:space="preserve">, </w:t>
      </w:r>
      <w:r>
        <w:rPr>
          <w:rFonts w:ascii="Nirmala UI" w:hAnsi="Nirmala UI" w:eastAsia="Nirmala UI" w:cs="Nirmala UI"/>
        </w:rPr>
        <w:t>অগ্নিস্তম্ভ</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মীখায়েল</w:t>
      </w:r>
      <w:r>
        <w:rPr>
          <w:rFonts w:ascii="Times New Roman" w:hAnsi="Times New Roman" w:eastAsia="Times New Roman" w:cs="Times New Roman"/>
        </w:rPr>
        <w:t xml:space="preserve">, </w:t>
      </w:r>
      <w:r>
        <w:rPr>
          <w:rFonts w:ascii="Nirmala UI" w:hAnsi="Nirmala UI" w:eastAsia="Nirmala UI" w:cs="Nirmala UI"/>
        </w:rPr>
        <w:t>ইত্যাদি</w:t>
      </w:r>
      <w:r>
        <w:rPr>
          <w:rFonts w:ascii="Times New Roman" w:hAnsi="Times New Roman" w:eastAsia="Times New Roman" w:cs="Times New Roman"/>
        </w:rPr>
        <w:t xml:space="preserve">, </w:t>
      </w:r>
      <w:r>
        <w:rPr>
          <w:rFonts w:ascii="Nirmala UI" w:hAnsi="Nirmala UI" w:eastAsia="Nirmala UI" w:cs="Nirmala UI"/>
        </w:rPr>
        <w:t>ইত্যাদি।</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চরিত্রের</w:t>
      </w:r>
      <w:r>
        <w:rPr>
          <w:rFonts w:ascii="Times New Roman" w:hAnsi="Times New Roman" w:eastAsia="Times New Roman" w:cs="Times New Roman"/>
        </w:rPr>
        <w:t xml:space="preserve"> </w:t>
      </w:r>
      <w:r>
        <w:rPr>
          <w:rFonts w:ascii="Nirmala UI" w:hAnsi="Nirmala UI" w:eastAsia="Nirmala UI" w:cs="Nirmala UI"/>
        </w:rPr>
        <w:t>গুণাবলি</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বিবিধ</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প্রাপ্ত</w:t>
      </w:r>
      <w:r>
        <w:rPr>
          <w:rFonts w:ascii="Times New Roman" w:hAnsi="Times New Roman" w:eastAsia="Times New Roman" w:cs="Times New Roman"/>
        </w:rPr>
        <w:t xml:space="preserve">, </w:t>
      </w:r>
      <w:r>
        <w:rPr>
          <w:rFonts w:ascii="Nirmala UI" w:hAnsi="Nirmala UI" w:eastAsia="Nirmala UI" w:cs="Nirmala UI"/>
        </w:rPr>
        <w:t>অন্তহীন।</w:t>
      </w:r>
      <w:r>
        <w:rPr>
          <w:rFonts w:ascii="Times New Roman" w:hAnsi="Times New Roman" w:eastAsia="Times New Roman" w:cs="Times New Roman"/>
        </w:rPr>
        <w:t xml:space="preserve"> ‘</w:t>
      </w:r>
      <w:r>
        <w:rPr>
          <w:rFonts w:ascii="Nirmala UI" w:hAnsi="Nirmala UI" w:eastAsia="Nirmala UI" w:cs="Nirmala UI"/>
        </w:rPr>
        <w:t>ভাবিবার</w:t>
      </w:r>
      <w:r>
        <w:rPr>
          <w:rFonts w:ascii="Times New Roman" w:hAnsi="Times New Roman" w:eastAsia="Times New Roman" w:cs="Times New Roman"/>
        </w:rPr>
        <w:t xml:space="preserve"> </w:t>
      </w:r>
      <w:r>
        <w:rPr>
          <w:rFonts w:ascii="Nirmala UI" w:hAnsi="Nirmala UI" w:eastAsia="Nirmala UI" w:cs="Nirmala UI"/>
        </w:rPr>
        <w:t>নিমিত্তে</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চরিত্রের</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প্রকার</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বিদ্যমান</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w:t>
      </w:r>
      <w:r>
        <w:rPr>
          <w:rFonts w:ascii="Nirmala UI" w:hAnsi="Nirmala UI" w:eastAsia="Nirmala UI" w:cs="Nirmala UI"/>
        </w:rPr>
        <w:t>আব্রামের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w:t>
      </w:r>
      <w:r>
        <w:rPr>
          <w:rFonts w:ascii="Nirmala UI" w:hAnsi="Nirmala UI" w:eastAsia="Nirmala UI" w:cs="Nirmala UI"/>
        </w:rPr>
        <w:t>প্রক্রিয়ার</w:t>
      </w:r>
      <w:r>
        <w:rPr>
          <w:rFonts w:ascii="Times New Roman" w:hAnsi="Times New Roman" w:eastAsia="Times New Roman" w:cs="Times New Roman"/>
        </w:rPr>
        <w:t xml:space="preserve"> </w:t>
      </w:r>
      <w:r>
        <w:rPr>
          <w:rFonts w:ascii="Nirmala UI" w:hAnsi="Nirmala UI" w:eastAsia="Nirmala UI" w:cs="Nirmala UI"/>
        </w:rPr>
        <w:t>একেবারে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w:t>
      </w:r>
      <w:r>
        <w:rPr>
          <w:rFonts w:ascii="Nirmala UI" w:hAnsi="Nirmala UI" w:eastAsia="Nirmala UI" w:cs="Nirmala UI"/>
        </w:rPr>
        <w:t>পদক্ষেপে</w:t>
      </w:r>
      <w:r>
        <w:rPr>
          <w:rFonts w:ascii="Times New Roman" w:hAnsi="Times New Roman" w:eastAsia="Times New Roman" w:cs="Times New Roman"/>
        </w:rPr>
        <w:t>—“</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পুরুষের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নিয়মের</w:t>
      </w:r>
      <w:r>
        <w:rPr>
          <w:rFonts w:ascii="Times New Roman" w:hAnsi="Times New Roman" w:eastAsia="Times New Roman" w:cs="Times New Roman"/>
        </w:rPr>
        <w:t xml:space="preserve"> </w:t>
      </w:r>
      <w:r>
        <w:rPr>
          <w:rFonts w:ascii="Nirmala UI" w:hAnsi="Nirmala UI" w:eastAsia="Nirmala UI" w:cs="Nirmala UI"/>
        </w:rPr>
        <w:t>ভিত্তিমূলক</w:t>
      </w:r>
      <w:r>
        <w:rPr>
          <w:rFonts w:ascii="Times New Roman" w:hAnsi="Times New Roman" w:eastAsia="Times New Roman" w:cs="Times New Roman"/>
        </w:rPr>
        <w:t xml:space="preserve"> </w:t>
      </w:r>
      <w:r>
        <w:rPr>
          <w:rFonts w:ascii="Nirmala UI" w:hAnsi="Nirmala UI" w:eastAsia="Nirmala UI" w:cs="Nirmala UI"/>
        </w:rPr>
        <w:t>উক্তি</w:t>
      </w:r>
      <w:r>
        <w:rPr>
          <w:rFonts w:ascii="Times New Roman" w:hAnsi="Times New Roman" w:eastAsia="Times New Roman" w:cs="Times New Roman"/>
        </w:rPr>
        <w:t>—</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প্রতিফলিত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ইহার</w:t>
      </w:r>
      <w:r>
        <w:rPr>
          <w:rFonts w:ascii="Times New Roman" w:hAnsi="Times New Roman" w:eastAsia="Times New Roman" w:cs="Times New Roman"/>
        </w:rPr>
        <w:t xml:space="preserve"> </w:t>
      </w:r>
      <w:r>
        <w:rPr>
          <w:rFonts w:ascii="Nirmala UI" w:hAnsi="Nirmala UI" w:eastAsia="Nirmala UI" w:cs="Nirmala UI"/>
        </w:rPr>
        <w:t>তাৎপর্য</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Хәм Ул Ибраһимгә әйтте: «Һичшиксез бел: синең нәселең үзләренеке булмаган бер җирдә чит ил кешеләре кебек яшәр, һәм аларга коллыкта хезмәт итәр; һәм аларны дүрт йөз ел җәберләрләр. Әмма алар хезмәт итәчәк шул халыкны Мин хөкем итәрмен; һәм шуннан соң алар зур мал-мөлкәт белән чыгарлар. Ә син аталарың янына иминлектә китәрсең; яхшы картлыкта күмелерсең. Әмма дүртенче буында алар монда яңадан кайтырлар; чөнки әмериләрнең гөнаһы әле тулмаган». Яратылыш 15:13–16.</w:t>
      </w:r>
    </w:p>
    <w:p>
      <w:pPr>
        <w:pStyle w:val="ArticleBody"/>
        <w:jc w:val="left"/>
      </w:pPr>
      <w:r>
        <w:rPr>
          <w:rFonts w:ascii="Times New Roman" w:hAnsi="Times New Roman" w:eastAsia="Times New Roman" w:cs="Times New Roman"/>
        </w:rPr>
        <w:t>Lucifer, huu ni mfano wa parafrazing kwa lugha ya "ff" isiyoeleweka. Tafadhali taja lugha lengwa halisi inayokusudiwa na “ff” ili niweze kutafsiri maandishi kwa usahihi.</w:t>
      </w:r>
    </w:p>
    <w:p>
      <w:pPr>
        <w:pStyle w:val="ArticleBody"/>
        <w:jc w:val="left"/>
      </w:pPr>
      <w:r>
        <w:rPr>
          <w:rFonts w:ascii="Times New Roman" w:hAnsi="Times New Roman" w:eastAsia="Times New Roman" w:cs="Times New Roman"/>
        </w:rPr>
        <w:t>Kui Joeli raamat asetatakse Kesköö Hüüu ärkamise juurde salmis viis ning nende suust on „uus vein” „ära lõigatud”, siis selle valitud lepingurahva viimse lepingulise eraldamise sissejuhatuseks on lepingu aluseline sõnum, mis esitab lepingurahva mässu, kelle kohta seejärel öeldakse, et nad on „ära lõigatud”, ning näitab, et see viiakse täide neljandas sugupõlves. Nad on „ära lõigatud”, sest nad ei mõista lepingu aluselist sõnumit.</w:t>
      </w:r>
    </w:p>
    <w:p>
      <w:pPr>
        <w:pStyle w:val="ArticleBody"/>
        <w:jc w:val="left"/>
      </w:pPr>
      <w:r>
        <w:rPr>
          <w:rFonts w:ascii="Microsoft YaHei" w:hAnsi="Microsoft YaHei" w:eastAsia="Microsoft YaHei" w:cs="Microsoft YaHei"/>
        </w:rPr>
        <w:t>那个立约之信息</w:t>
      </w:r>
      <w:r>
        <w:rPr>
          <w:rFonts w:ascii="Times New Roman" w:hAnsi="Times New Roman" w:eastAsia="Times New Roman" w:cs="Times New Roman"/>
        </w:rPr>
        <w:t>——</w:t>
      </w:r>
      <w:r>
        <w:rPr>
          <w:rFonts w:ascii="Microsoft YaHei" w:hAnsi="Microsoft YaHei" w:eastAsia="Microsoft YaHei" w:cs="Microsoft YaHei"/>
        </w:rPr>
        <w:t>记载于</w:t>
      </w:r>
      <w:r>
        <w:rPr>
          <w:rFonts w:ascii="Times New Roman" w:hAnsi="Times New Roman" w:eastAsia="Times New Roman" w:cs="Times New Roman"/>
        </w:rPr>
        <w:t>«</w:t>
      </w:r>
      <w:r>
        <w:rPr>
          <w:rFonts w:ascii="Microsoft YaHei" w:hAnsi="Microsoft YaHei" w:eastAsia="Microsoft YaHei" w:cs="Microsoft YaHei"/>
        </w:rPr>
        <w:t>创世记</w:t>
      </w:r>
      <w:r>
        <w:rPr>
          <w:rFonts w:ascii="Times New Roman" w:hAnsi="Times New Roman" w:eastAsia="Times New Roman" w:cs="Times New Roman"/>
        </w:rPr>
        <w:t>»</w:t>
      </w:r>
      <w:r>
        <w:rPr>
          <w:rFonts w:ascii="Microsoft YaHei" w:hAnsi="Microsoft YaHei" w:eastAsia="Microsoft YaHei" w:cs="Microsoft YaHei"/>
        </w:rPr>
        <w:t>第十五章那四节经文中的根基性信息</w:t>
      </w:r>
      <w:r>
        <w:rPr>
          <w:rFonts w:ascii="Times New Roman" w:hAnsi="Times New Roman" w:eastAsia="Times New Roman" w:cs="Times New Roman"/>
        </w:rPr>
        <w:t>——</w:t>
      </w:r>
      <w:r>
        <w:rPr>
          <w:rFonts w:ascii="Microsoft YaHei" w:hAnsi="Microsoft YaHei" w:eastAsia="Microsoft YaHei" w:cs="Microsoft YaHei"/>
        </w:rPr>
        <w:t>乃是量度的准绳</w:t>
      </w:r>
      <w:r>
        <w:rPr>
          <w:rFonts w:ascii="Times New Roman" w:hAnsi="Times New Roman" w:eastAsia="Times New Roman" w:cs="Times New Roman"/>
        </w:rPr>
        <w:t>,</w:t>
      </w:r>
      <w:r>
        <w:rPr>
          <w:rFonts w:ascii="Microsoft YaHei" w:hAnsi="Microsoft YaHei" w:eastAsia="Microsoft YaHei" w:cs="Microsoft YaHei"/>
        </w:rPr>
        <w:t>是在末后的日子里</w:t>
      </w:r>
      <w:r>
        <w:rPr>
          <w:rFonts w:ascii="Times New Roman" w:hAnsi="Times New Roman" w:eastAsia="Times New Roman" w:cs="Times New Roman"/>
        </w:rPr>
        <w:t>,</w:t>
      </w:r>
      <w:r>
        <w:rPr>
          <w:rFonts w:ascii="Microsoft YaHei" w:hAnsi="Microsoft YaHei" w:eastAsia="Microsoft YaHei" w:cs="Microsoft YaHei"/>
        </w:rPr>
        <w:t>当立约之顶石信息以</w:t>
      </w:r>
      <w:r>
        <w:rPr>
          <w:rFonts w:ascii="Times New Roman" w:hAnsi="Times New Roman" w:eastAsia="Times New Roman" w:cs="Times New Roman"/>
        </w:rPr>
        <w:t>“</w:t>
      </w:r>
      <w:r>
        <w:rPr>
          <w:rFonts w:ascii="Microsoft YaHei" w:hAnsi="Microsoft YaHei" w:eastAsia="Microsoft YaHei" w:cs="Microsoft YaHei"/>
        </w:rPr>
        <w:t>新酒</w:t>
      </w:r>
      <w:r>
        <w:rPr>
          <w:rFonts w:ascii="Times New Roman" w:hAnsi="Times New Roman" w:eastAsia="Times New Roman" w:cs="Times New Roman"/>
        </w:rPr>
        <w:t>”</w:t>
      </w:r>
      <w:r>
        <w:rPr>
          <w:rFonts w:ascii="Microsoft YaHei" w:hAnsi="Microsoft YaHei" w:eastAsia="Microsoft YaHei" w:cs="Microsoft YaHei"/>
        </w:rPr>
        <w:t>呈现之时</w:t>
      </w:r>
      <w:r>
        <w:rPr>
          <w:rFonts w:ascii="Times New Roman" w:hAnsi="Times New Roman" w:eastAsia="Times New Roman" w:cs="Times New Roman"/>
        </w:rPr>
        <w:t>,</w:t>
      </w:r>
      <w:r>
        <w:rPr>
          <w:rFonts w:ascii="Microsoft YaHei" w:hAnsi="Microsoft YaHei" w:eastAsia="Microsoft YaHei" w:cs="Microsoft YaHei"/>
        </w:rPr>
        <w:t>所使用的审判之线</w:t>
      </w:r>
      <w:r>
        <w:rPr>
          <w:rFonts w:ascii="Times New Roman" w:hAnsi="Times New Roman" w:eastAsia="Times New Roman" w:cs="Times New Roman"/>
        </w:rPr>
        <w:t>.</w:t>
      </w:r>
      <w:r>
        <w:rPr>
          <w:rFonts w:ascii="Microsoft YaHei" w:hAnsi="Microsoft YaHei" w:eastAsia="Microsoft YaHei" w:cs="Microsoft YaHei"/>
        </w:rPr>
        <w:t>与以法莲醉酒之人被唤醒相关的那种严重性</w:t>
      </w:r>
      <w:r>
        <w:rPr>
          <w:rFonts w:ascii="Times New Roman" w:hAnsi="Times New Roman" w:eastAsia="Times New Roman" w:cs="Times New Roman"/>
        </w:rPr>
        <w:t>——</w:t>
      </w:r>
      <w:r>
        <w:rPr>
          <w:rFonts w:ascii="Microsoft YaHei" w:hAnsi="Microsoft YaHei" w:eastAsia="Microsoft YaHei" w:cs="Microsoft YaHei"/>
        </w:rPr>
        <w:t>当</w:t>
      </w:r>
      <w:r>
        <w:rPr>
          <w:rFonts w:ascii="Times New Roman" w:hAnsi="Times New Roman" w:eastAsia="Times New Roman" w:cs="Times New Roman"/>
        </w:rPr>
        <w:t>“</w:t>
      </w:r>
      <w:r>
        <w:rPr>
          <w:rFonts w:ascii="Microsoft YaHei" w:hAnsi="Microsoft YaHei" w:eastAsia="Microsoft YaHei" w:cs="Microsoft YaHei"/>
        </w:rPr>
        <w:t>新酒</w:t>
      </w:r>
      <w:r>
        <w:rPr>
          <w:rFonts w:ascii="Times New Roman" w:hAnsi="Times New Roman" w:eastAsia="Times New Roman" w:cs="Times New Roman"/>
        </w:rPr>
        <w:t>”</w:t>
      </w:r>
      <w:r>
        <w:rPr>
          <w:rFonts w:ascii="Microsoft YaHei" w:hAnsi="Microsoft YaHei" w:eastAsia="Microsoft YaHei" w:cs="Microsoft YaHei"/>
        </w:rPr>
        <w:t>被</w:t>
      </w:r>
      <w:r>
        <w:rPr>
          <w:rFonts w:ascii="Times New Roman" w:hAnsi="Times New Roman" w:eastAsia="Times New Roman" w:cs="Times New Roman"/>
        </w:rPr>
        <w:t>“</w:t>
      </w:r>
      <w:r>
        <w:rPr>
          <w:rFonts w:ascii="Microsoft YaHei" w:hAnsi="Microsoft YaHei" w:eastAsia="Microsoft YaHei" w:cs="Microsoft YaHei"/>
        </w:rPr>
        <w:t>断绝</w:t>
      </w:r>
      <w:r>
        <w:rPr>
          <w:rFonts w:ascii="Times New Roman" w:hAnsi="Times New Roman" w:eastAsia="Times New Roman" w:cs="Times New Roman"/>
        </w:rPr>
        <w:t>”</w:t>
      </w:r>
      <w:r>
        <w:rPr>
          <w:rFonts w:ascii="Microsoft YaHei" w:hAnsi="Microsoft YaHei" w:eastAsia="Microsoft YaHei" w:cs="Microsoft YaHei"/>
        </w:rPr>
        <w:t>之时</w:t>
      </w:r>
      <w:r>
        <w:rPr>
          <w:rFonts w:ascii="Times New Roman" w:hAnsi="Times New Roman" w:eastAsia="Times New Roman" w:cs="Times New Roman"/>
        </w:rPr>
        <w:t>——</w:t>
      </w:r>
      <w:r>
        <w:rPr>
          <w:rFonts w:ascii="Microsoft YaHei" w:hAnsi="Microsoft YaHei" w:eastAsia="Microsoft YaHei" w:cs="Microsoft YaHei"/>
        </w:rPr>
        <w:t>惟有将其置于这样一个背景之中</w:t>
      </w:r>
      <w:r>
        <w:rPr>
          <w:rFonts w:ascii="Times New Roman" w:hAnsi="Times New Roman" w:eastAsia="Times New Roman" w:cs="Times New Roman"/>
        </w:rPr>
        <w:t>,</w:t>
      </w:r>
      <w:r>
        <w:rPr>
          <w:rFonts w:ascii="Microsoft YaHei" w:hAnsi="Microsoft YaHei" w:eastAsia="Microsoft YaHei" w:cs="Microsoft YaHei"/>
        </w:rPr>
        <w:t>方能真正被理解：即在晚雨试验时期</w:t>
      </w:r>
      <w:r>
        <w:rPr>
          <w:rFonts w:ascii="Times New Roman" w:hAnsi="Times New Roman" w:eastAsia="Times New Roman" w:cs="Times New Roman"/>
        </w:rPr>
        <w:t>,</w:t>
      </w:r>
      <w:r>
        <w:rPr>
          <w:rFonts w:ascii="Microsoft YaHei" w:hAnsi="Microsoft YaHei" w:eastAsia="Microsoft YaHei" w:cs="Microsoft YaHei"/>
        </w:rPr>
        <w:t>对那悖逆之蒙拣选之民最后第四代所发出的审判宣告</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Mwanzo kumi na saba, twakuta hatua ya pili ya agano la namna tatu na Ibrahimu:</w:t>
      </w:r>
    </w:p>
    <w:p>
      <w:pPr>
        <w:pStyle w:val="ArticleScripture"/>
        <w:jc w:val="left"/>
      </w:pPr>
      <w:r>
        <w:rPr>
          <w:rFonts w:ascii="Leelawadee UI" w:hAnsi="Leelawadee UI" w:eastAsia="Leelawadee UI" w:cs="Leelawadee UI"/>
        </w:rPr>
        <w:t>ហើយព្រះទ្រង់មានព្រះបន្ទូលទៅកាន់អាប្រាហាំថា៖</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អ្នកត្រូវកាន់តាមសេចក្តីសញ្ញារបស់យើង</w:t>
      </w:r>
      <w:r>
        <w:rPr>
          <w:rFonts w:ascii="Times New Roman" w:hAnsi="Times New Roman" w:eastAsia="Times New Roman" w:cs="Times New Roman"/>
        </w:rPr>
        <w:t xml:space="preserve"> </w:t>
      </w:r>
      <w:r>
        <w:rPr>
          <w:rFonts w:ascii="Leelawadee UI" w:hAnsi="Leelawadee UI" w:eastAsia="Leelawadee UI" w:cs="Leelawadee UI"/>
        </w:rPr>
        <w:t>គឺអ្នក</w:t>
      </w:r>
      <w:r>
        <w:rPr>
          <w:rFonts w:ascii="Times New Roman" w:hAnsi="Times New Roman" w:eastAsia="Times New Roman" w:cs="Times New Roman"/>
        </w:rPr>
        <w:t xml:space="preserve"> </w:t>
      </w:r>
      <w:r>
        <w:rPr>
          <w:rFonts w:ascii="Leelawadee UI" w:hAnsi="Leelawadee UI" w:eastAsia="Leelawadee UI" w:cs="Leelawadee UI"/>
        </w:rPr>
        <w:t>និងពូជពង្សរបស់អ្នកបន្ទាប់ពីអ្នក</w:t>
      </w:r>
      <w:r>
        <w:rPr>
          <w:rFonts w:ascii="Times New Roman" w:hAnsi="Times New Roman" w:eastAsia="Times New Roman" w:cs="Times New Roman"/>
        </w:rPr>
        <w:t xml:space="preserve"> </w:t>
      </w:r>
      <w:r>
        <w:rPr>
          <w:rFonts w:ascii="Leelawadee UI" w:hAnsi="Leelawadee UI" w:eastAsia="Leelawadee UI" w:cs="Leelawadee UI"/>
        </w:rPr>
        <w:t>តាមជំនាន់របស់ពួកគេ។</w:t>
      </w:r>
      <w:r>
        <w:rPr>
          <w:rFonts w:ascii="Times New Roman" w:hAnsi="Times New Roman" w:eastAsia="Times New Roman" w:cs="Times New Roman"/>
        </w:rPr>
        <w:t xml:space="preserve"> </w:t>
      </w:r>
      <w:r>
        <w:rPr>
          <w:rFonts w:ascii="Leelawadee UI" w:hAnsi="Leelawadee UI" w:eastAsia="Leelawadee UI" w:cs="Leelawadee UI"/>
        </w:rPr>
        <w:t>នេះជាសេចក្តីសញ្ញារបស់យើង</w:t>
      </w:r>
      <w:r>
        <w:rPr>
          <w:rFonts w:ascii="Times New Roman" w:hAnsi="Times New Roman" w:eastAsia="Times New Roman" w:cs="Times New Roman"/>
        </w:rPr>
        <w:t xml:space="preserve"> </w:t>
      </w:r>
      <w:r>
        <w:rPr>
          <w:rFonts w:ascii="Leelawadee UI" w:hAnsi="Leelawadee UI" w:eastAsia="Leelawadee UI" w:cs="Leelawadee UI"/>
        </w:rPr>
        <w:t>ដែលអ្នករាល់គ្នាត្រូវកាន់តាម</w:t>
      </w:r>
      <w:r>
        <w:rPr>
          <w:rFonts w:ascii="Times New Roman" w:hAnsi="Times New Roman" w:eastAsia="Times New Roman" w:cs="Times New Roman"/>
        </w:rPr>
        <w:t xml:space="preserve"> </w:t>
      </w:r>
      <w:r>
        <w:rPr>
          <w:rFonts w:ascii="Leelawadee UI" w:hAnsi="Leelawadee UI" w:eastAsia="Leelawadee UI" w:cs="Leelawadee UI"/>
        </w:rPr>
        <w:t>រវាងយើង</w:t>
      </w:r>
      <w:r>
        <w:rPr>
          <w:rFonts w:ascii="Times New Roman" w:hAnsi="Times New Roman" w:eastAsia="Times New Roman" w:cs="Times New Roman"/>
        </w:rPr>
        <w:t xml:space="preserve"> </w:t>
      </w:r>
      <w:r>
        <w:rPr>
          <w:rFonts w:ascii="Leelawadee UI" w:hAnsi="Leelawadee UI" w:eastAsia="Leelawadee UI" w:cs="Leelawadee UI"/>
        </w:rPr>
        <w:t>និងអ្នក</w:t>
      </w:r>
      <w:r>
        <w:rPr>
          <w:rFonts w:ascii="Times New Roman" w:hAnsi="Times New Roman" w:eastAsia="Times New Roman" w:cs="Times New Roman"/>
        </w:rPr>
        <w:t xml:space="preserve"> </w:t>
      </w:r>
      <w:r>
        <w:rPr>
          <w:rFonts w:ascii="Leelawadee UI" w:hAnsi="Leelawadee UI" w:eastAsia="Leelawadee UI" w:cs="Leelawadee UI"/>
        </w:rPr>
        <w:t>ព្រមទាំងពូជពង្សរបស់អ្នកបន្ទាប់ពីអ្នក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كلُّ ذَكَرٍ مِنْكُمْ يُخْتَنُ. فَتَخْتِنُونَ لَحْمَ غُرْلَتِكُمْ، فَيَكُونُ ذَلِكَ عَلاَمَةَ الْعَهْدِ بَيْنِي وَبَيْنَكُمْ. وَابْنُ الثَّمَانِيَةِ أَيَّامٍ يُخْتَنُ مِنْكُمْ، كُلُّ ذَكَرٍ فِي أَجْيَالِكُمْ، وَلِيدُ الْبَيْتِ وَالْمُبْتَاعُ بِفِضَّةٍ مِنْ كُلِّ ابْنِ غَرِيبٍ لَيْسَ مِنْ نَسْلِكَ. وَلِيدُ بَيْتِكَ وَالْمُبْتَاعُ بِفِضَّتِكَ يُخْتَنُ خِتَانًا، فَيَكُونُ عَهْدِي فِي لَحْمِكُمْ عَهْدًا أَبَدِيًّا. وَأَمَّا الذَّكَرُ الأَغْلَفُ الَّذِي لاَ يُخْتَنُ لَحْمُ غُرْلَتِهِ، فَتُقْطَعُ تِلْكَ النَّفْسُ مِنْ شَعْبِهَا. إِنَّهُ قَدْ نَكَثَ عَهْدِي. التكوين 17:9–14.</w:t>
      </w:r>
    </w:p>
    <w:p>
      <w:pPr>
        <w:pStyle w:val="ArticleBody"/>
        <w:jc w:val="left"/>
      </w:pPr>
      <w:r>
        <w:rPr>
          <w:rFonts w:ascii="Ebrima" w:hAnsi="Ebrima" w:eastAsia="Ebrima" w:cs="Ebrima"/>
        </w:rPr>
        <w:t>ደረጃው</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መቈረጥ</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ምስክርነትን</w:t>
      </w:r>
      <w:r>
        <w:rPr>
          <w:rFonts w:ascii="Times New Roman" w:hAnsi="Times New Roman" w:eastAsia="Times New Roman" w:cs="Times New Roman"/>
        </w:rPr>
        <w:t xml:space="preserve"> </w:t>
      </w:r>
      <w:r>
        <w:rPr>
          <w:rFonts w:ascii="Ebrima" w:hAnsi="Ebrima" w:eastAsia="Ebrima" w:cs="Ebrima"/>
        </w:rPr>
        <w:t>ያቀርባል።</w:t>
      </w:r>
      <w:r>
        <w:rPr>
          <w:rFonts w:ascii="Times New Roman" w:hAnsi="Times New Roman" w:eastAsia="Times New Roman" w:cs="Times New Roman"/>
        </w:rPr>
        <w:t xml:space="preserve"> “</w:t>
      </w:r>
      <w:r>
        <w:rPr>
          <w:rFonts w:ascii="Ebrima" w:hAnsi="Ebrima" w:eastAsia="Ebrima" w:cs="Ebrima"/>
        </w:rPr>
        <w:t>መቈረጥ</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የተተረጎመው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ሥሩን</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አብራም</w:t>
      </w:r>
      <w:r>
        <w:rPr>
          <w:rFonts w:ascii="Times New Roman" w:hAnsi="Times New Roman" w:eastAsia="Times New Roman" w:cs="Times New Roman"/>
        </w:rPr>
        <w:t xml:space="preserve"> </w:t>
      </w:r>
      <w:r>
        <w:rPr>
          <w:rFonts w:ascii="Ebrima" w:hAnsi="Ebrima" w:eastAsia="Ebrima" w:cs="Ebrima"/>
        </w:rPr>
        <w:t>እንስሶቹን</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ከፈለበት</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ያገኛል፤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ያልተገረዘ</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ይቈረጣል</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ግርዛት</w:t>
      </w:r>
      <w:r>
        <w:rPr>
          <w:rFonts w:ascii="Times New Roman" w:hAnsi="Times New Roman" w:eastAsia="Times New Roman" w:cs="Times New Roman"/>
        </w:rPr>
        <w:t xml:space="preserve"> </w:t>
      </w:r>
      <w:r>
        <w:rPr>
          <w:rFonts w:ascii="Ebrima" w:hAnsi="Ebrima" w:eastAsia="Ebrima" w:cs="Ebrima"/>
        </w:rPr>
        <w:t>በኪዳናዊ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በጥምቀት</w:t>
      </w:r>
      <w:r>
        <w:rPr>
          <w:rFonts w:ascii="Times New Roman" w:hAnsi="Times New Roman" w:eastAsia="Times New Roman" w:cs="Times New Roman"/>
        </w:rPr>
        <w:t xml:space="preserve"> </w:t>
      </w:r>
      <w:r>
        <w:rPr>
          <w:rFonts w:ascii="Ebrima" w:hAnsi="Ebrima" w:eastAsia="Ebrima" w:cs="Ebrima"/>
        </w:rPr>
        <w:t>ተተካ፤</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እያጸና</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ምሳሌያችን</w:t>
      </w:r>
      <w:r>
        <w:rPr>
          <w:rFonts w:ascii="Times New Roman" w:hAnsi="Times New Roman" w:eastAsia="Times New Roman" w:cs="Times New Roman"/>
        </w:rPr>
        <w:t xml:space="preserve"> </w:t>
      </w:r>
      <w:r>
        <w:rPr>
          <w:rFonts w:ascii="Ebrima" w:hAnsi="Ebrima" w:eastAsia="Ebrima" w:cs="Ebrima"/>
        </w:rPr>
        <w:t>በስምንተኛው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ከሞት</w:t>
      </w:r>
      <w:r>
        <w:rPr>
          <w:rFonts w:ascii="Times New Roman" w:hAnsi="Times New Roman" w:eastAsia="Times New Roman" w:cs="Times New Roman"/>
        </w:rPr>
        <w:t xml:space="preserve"> </w:t>
      </w:r>
      <w:r>
        <w:rPr>
          <w:rFonts w:ascii="Ebrima" w:hAnsi="Ebrima" w:eastAsia="Ebrima" w:cs="Ebrima"/>
        </w:rPr>
        <w:t>ተነሣ።</w:t>
      </w:r>
    </w:p>
    <w:p>
      <w:pPr>
        <w:pStyle w:val="ArticleBody"/>
        <w:jc w:val="left"/>
      </w:pPr>
      <w:r>
        <w:rPr>
          <w:rFonts w:ascii="Times New Roman" w:hAnsi="Times New Roman" w:eastAsia="Times New Roman" w:cs="Times New Roman"/>
        </w:rPr>
        <w:t>Ndẹti ngosi ahụ ga-emezu n’ụbọchị nke asatọ, dịka e gosiri ya site n’ime mkpụrụ obi asatọ ndị nọ n’ụgbọ mmiri ahụ. Ọ bụ n’ụkwụ nke abụọ ka a na-anọchi anya ule a na-ahụ anya, ma ọ bụ Israel ịhọrọ n’etiti ndị amụma Jezebel na Ilaija tupu ikpe Ilaija mezuru, ma ọ bụ ọdịdị ihu Daniel, Shedrak, Mishak na Abednego pụtara bụrụ nke ka mma ma bụrụkwa ndị ka eju afọ karịa ndị riri nri eze; ule nke abụọ bụ nke a na-ahụ anya. Ibi úgwù bụ ihe ịrịba ama nke ndụ, ndị mkpụrụ obi asatọ nọ n’elu ụgbọ mmiri ahụ na-anọchi anya ndị dị ndụ n’iche na ndị nwụrụ anwụ.</w:t>
      </w:r>
    </w:p>
    <w:p>
      <w:pPr>
        <w:pStyle w:val="ArticleBody"/>
        <w:jc w:val="left"/>
      </w:pPr>
      <w:r>
        <w:rPr>
          <w:rFonts w:ascii="Times New Roman" w:hAnsi="Times New Roman" w:eastAsia="Times New Roman" w:cs="Times New Roman"/>
        </w:rPr>
        <w:t>Kei roto i te hītori o te Karaiti, i te wā i whakawhitia ai te tohu o te kawenata ki te iriiringa, i whakamahia e te apotoro, e Paora, te tino hītori kawenata o ēnei irava hei whakaatu i te hurihanga nui i roto i te hītori o te kawenata. I whakamahia e ia te kikokiko e kotia atu ana i te kotinga, hei tohu mō te tangata i tōna hononga ki te Atua, ā, hei tohu anō mō te āhua o raro o te tangata i tōna hononga ki te āhua o runga ake o te tangata. I whakaako a Paora i āna ākonga mā te whakamahi i te Kupu poropiti a te Atua, ā, ko tāna kaupapa, hei “tangata i kōwhiria,” (e ai ki te tikanga o tōna ingoa, o Haora) he tautohu i te hurihanga nui i roto i te hītori o te kawenata e whakakanohitia ana e te whakawhitinga mai i a Īharaira tūturu ki a Īharaira wairua hei iwi kawenata a te Atua. I a ia e whakatutuki ana i te mahi i whakawhiwhia ki a ia, i whakatakotoria e ia tāna karere poropiti i roto i te horopaki o te hītori o te kawenata.</w:t>
      </w:r>
    </w:p>
    <w:p>
      <w:pPr>
        <w:pStyle w:val="ArticleBody"/>
        <w:jc w:val="left"/>
      </w:pPr>
      <w:r>
        <w:rPr>
          <w:rFonts w:ascii="Times New Roman" w:hAnsi="Times New Roman" w:eastAsia="Times New Roman" w:cs="Times New Roman"/>
        </w:rPr>
        <w:t>La Genèse dix-sept représente la deuxième étape des trois étapes fondamentales de l’alliance, qui trouvent leur accomplissement oméga dans les trois anges d’Apocalypse quatorze. La deuxième étape est représentée par le signe de la circoncision, typifiant le sceau de Dieu sur les cent quarante-quatre mille, lesquels sont l’enseigne, qui représente l’épreuve visuelle. Les trois anges sont l’oméga de l’alliance alpha d’Abraham. La troisième étape pour Abraham était le chapitre vingt-deux.</w:t>
      </w:r>
    </w:p>
    <w:p>
      <w:pPr>
        <w:pStyle w:val="ArticleScripture"/>
        <w:jc w:val="left"/>
      </w:pPr>
      <w:r>
        <w:rPr>
          <w:rFonts w:ascii="Times New Roman" w:hAnsi="Times New Roman" w:eastAsia="Times New Roman" w:cs="Times New Roman"/>
        </w:rPr>
        <w:t>Kwaye ingelosi yeNkosi yabiza kuAbraham ivela ezulwini okwesibili, yathi: Ngiye ngazifunga mina uqobo, usho uJehova, ngokuba wenzile le nto, futhi awuyekanga indodana yakho, eyakho yodwa; ukuthi ekukubusiseni ngiyakukubusisa, nasekwandiseni ngiyakwandise inzalo yakho ibe njengezinkanyezi zezulu, nanjengesihlabathi esisogwini lolwandle; futhi inzalo yakho iyakudla ifa isango lezitha zayo; futhi enzalweni yakho zonke izizwe zomhlaba ziyakubusiswa; ngokuba ulilalele izwi lami. UGenesise 22:15–18.</w:t>
      </w:r>
    </w:p>
    <w:p>
      <w:pPr>
        <w:pStyle w:val="ArticleBody"/>
        <w:jc w:val="left"/>
      </w:pPr>
      <w:r>
        <w:rPr>
          <w:rFonts w:ascii="Times New Roman" w:hAnsi="Times New Roman" w:eastAsia="Times New Roman" w:cs="Times New Roman"/>
        </w:rPr>
        <w:t>Այս գլխի առաջին համարը ասում է. «Եվ եղավ այս բաներից հետո, որ Աստված փորձեց Աբրահամին և ասաց նրան. Աբրահա՛մ. և նա ասաց. Ահա ես այստեղ եմ»։ Աստված փորձեց Աբրահամին՝ դրանով իսկ նշելով վերջին փորձությունը՝ երրորդ ուխտային հռչակագրից առաջ։ Երբ Աբրահամը անցավ այդ փորձությունը, ապա ներկայացվեցին Աբրահամի եռակի ուխտի վերջին չորս համարները։ Քանի որ Աբրահամը «հնազանդվեց» Աստծո ձայնին, որը այս հատվածում Նրա «ուխտի ձայնն» է, Աբրահամը պիտի օրհնվեր որպես ազգերի հայր։ Երրորդ հրեշտակը մի փորձություն է, որը, ինչպես Աբրահամը, ներկայացնում է մի փորձություն, որ դրսևորում է բնավորությունը, իսկ բնավորությունը հիմնված է այն բանի վրա, թե արդյոք դուք հավատում եք Աստծուն, ինչպես Աբրահամը, թե՝ ոչ։ Նրանք, ովքեր անցնում են այդ փորձությունը, ինչպես Աբրահամը, պիտի գործածվեն աշխարհի բոլոր ազգերին հավաքելու համար։ Երեք գլուխներից վերցված այդ տասնյոթ համարները նույնացնում են Աստծո և ընտրված ժողովրդի միջև եղած ուխտը, և այդպիսով ներկայացնում են ընտրված ժողովրդի ուխտի պատմության ալֆան, և նույն կերպ այդ համարները նաև ներկայացնում են ուխտի պատմության օմեգան, ինչպես այն ներկայացված է հարյուր քառասունչորս հազարի բարձրացմամբ։</w:t>
      </w:r>
    </w:p>
    <w:p>
      <w:pPr>
        <w:pStyle w:val="ArticleBody"/>
        <w:jc w:val="left"/>
      </w:pPr>
      <w:r>
        <w:rPr>
          <w:rFonts w:ascii="Times New Roman" w:hAnsi="Times New Roman" w:eastAsia="Times New Roman" w:cs="Times New Roman"/>
        </w:rPr>
        <w:t>کوار از ما بی‌آنکه نخست شروط قرارداد را بررسی کرده باشد، خانه‌ای یا وسیلهٔ نقلیه‌ای می‌خرد؟ چه شمار از اَدونتیست‌های لائودیکیه‌ایِ روز هفتم می‌دانند که نخستین شرطِ قراردادِ عهدِ ایشان با خدا این است که خدا خویشتن را آن خدای رحیم معرفی می‌کند که در نسل چهارم داوری می‌نماید؟ فاجعه آن است که نه حقایق بنیادیِ تاریخ میلریتی را می‌دانند، و نه حقایق بنیادیِ رابطهٔ عهدیِ مورد ادعای خویش را؛ و از این‌رو ایشان، همچون اسرائیلِ باستان، زمانِ بازدیدِ خویش را نمی‌شناسند. فرجامِ آن دورهٔ بازدید، که از 11 سپتامبر آغاز شد، آن‌گاه است که ایشان در نیمه‌شب بیدار می‌شوند، تنها برای آنکه دریابند که منقطع شده‌اند.</w:t>
      </w:r>
    </w:p>
    <w:p>
      <w:pPr>
        <w:pStyle w:val="ArticleBody"/>
        <w:jc w:val="left"/>
      </w:pPr>
      <w:r>
        <w:rPr>
          <w:rFonts w:ascii="Times New Roman" w:hAnsi="Times New Roman" w:eastAsia="Times New Roman" w:cs="Times New Roman"/>
        </w:rPr>
        <w:t>Nous continuerons dans l’article suivant.</w:t>
      </w:r>
    </w:p>
    <w:p>
      <w:pPr>
        <w:pStyle w:val="ArticleScripture"/>
        <w:jc w:val="left"/>
      </w:pPr>
      <w:r>
        <w:rPr>
          <w:rFonts w:ascii="Times New Roman" w:hAnsi="Times New Roman" w:eastAsia="Times New Roman" w:cs="Times New Roman"/>
        </w:rPr>
        <w:t>«Նոյեմբերի 18-ին, այն բանից երկու օր անց, երբ փլվող շենքերի տեսարանը անցել էր իմ առջևով, ես գնացի Լոս Անջելեսի Քարր Սթրիթ եկեղեցում ունեցած նշանակված հանդիպումս կատարելու։ Երբ մոտենում էինք եկեղեցուն, լսեցինք, թե ինչպես էին թերթավաճառ տղաները աղաղակում. “Սան Ֆրանցիսկոն երկրաշարժից կործանված է”։ Ծանր սրտով կարդացի այդ ահավոր աղետի մասին առաջին՝ հապճեպ տպագրված լուրը»։</w:t>
      </w:r>
    </w:p>
    <w:p>
      <w:pPr>
        <w:pStyle w:val="ArticleScripture"/>
        <w:jc w:val="left"/>
      </w:pPr>
      <w:r>
        <w:rPr>
          <w:rFonts w:ascii="Times New Roman" w:hAnsi="Times New Roman" w:eastAsia="Times New Roman" w:cs="Times New Roman"/>
        </w:rPr>
        <w:t>«В две недели спустя, на нашем обратном пути, мы проезжали через Сан-Франциско и, наняв экипаж, провели полтора часа, осматривая разрушения, произведённые в этом великом городе. Здания, которые считались неуязвимыми для бедствия, лежали в развалинах. В некоторых случаях здания частично ушли в землю. Город представлял собой самую страшную картину бессилия человеческой изобретательности создать огнеупорные и сейсмоустойчивые сооружения.</w:t>
      </w:r>
    </w:p>
    <w:p>
      <w:pPr>
        <w:pStyle w:val="ArticleScripture"/>
        <w:jc w:val="left"/>
      </w:pP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सपन्याह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निर्दिष्ट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कुकर्मियों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लाएँगे</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पक्षियों</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मछलियों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ठोकर</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डालूँगा</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 na e tlaa diragala mo letsatsing la setlhabelo sa Morena, gore ke tlaa otlhaya dikgosana, le bana ba kgosi, le botlhe ba ba apereng diaparo tsa sele. Mo letsatsing leo gape ke tlaa otlhaya botlhe ba ba tlolang mo mojako, ba ba tlatsang matlo a beng ba bone ka kgokgontsho le tsietso…. ”</w:t>
      </w:r>
    </w:p>
    <w:p>
      <w:pPr>
        <w:pStyle w:val="ArticleScripture"/>
        <w:jc w:val="left"/>
      </w:pPr>
      <w:r>
        <w:rPr>
          <w:rFonts w:ascii="Times New Roman" w:hAnsi="Times New Roman" w:eastAsia="Times New Roman" w:cs="Times New Roman"/>
        </w:rPr>
        <w:t>«و در آن زمان واقع خواهد شد که اورشلیم را با چراغ‌ها تفتیش خواهم کرد، و مردانی را که بر دُردِ خود آرام گرفته‌اند مجازات خواهم نمود؛ همانان که در دل خویش می‌گویند: خداوند نه نیکی خواهد کرد و نه بدی. ازاین‌رو، اموال ایشان به غنیمت بدل خواهد شد، و خانه‌هایشان به ویرانی؛ خانه‌ها نیز خواهند ساخت، اما در آنها ساکن نخواهند شد؛ و تاکستان‌ها خواهند کاشت، اما شراب آنها را نخواهند نوشید.»</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ថ្ងៃដ៏ធំរបស់ព្រះយេហូវ៉ាជិតមកដល់ហើយ</w:t>
      </w:r>
      <w:r>
        <w:rPr>
          <w:rFonts w:ascii="Times New Roman" w:hAnsi="Times New Roman" w:eastAsia="Times New Roman" w:cs="Times New Roman"/>
        </w:rPr>
        <w:t xml:space="preserve"> </w:t>
      </w:r>
      <w:r>
        <w:rPr>
          <w:rFonts w:ascii="Leelawadee UI" w:hAnsi="Leelawadee UI" w:eastAsia="Leelawadee UI" w:cs="Leelawadee UI"/>
        </w:rPr>
        <w:t>វាជិតមកដល់ហើយ</w:t>
      </w:r>
      <w:r>
        <w:rPr>
          <w:rFonts w:ascii="Times New Roman" w:hAnsi="Times New Roman" w:eastAsia="Times New Roman" w:cs="Times New Roman"/>
        </w:rPr>
        <w:t xml:space="preserve"> </w:t>
      </w:r>
      <w:r>
        <w:rPr>
          <w:rFonts w:ascii="Leelawadee UI" w:hAnsi="Leelawadee UI" w:eastAsia="Leelawadee UI" w:cs="Leelawadee UI"/>
        </w:rPr>
        <w:t>ហើយប្រញាប់យ៉ាងខ្លាំង</w:t>
      </w:r>
      <w:r>
        <w:rPr>
          <w:rFonts w:ascii="Times New Roman" w:hAnsi="Times New Roman" w:eastAsia="Times New Roman" w:cs="Times New Roman"/>
        </w:rPr>
        <w:t xml:space="preserve"> </w:t>
      </w:r>
      <w:r>
        <w:rPr>
          <w:rFonts w:ascii="Leelawadee UI" w:hAnsi="Leelawadee UI" w:eastAsia="Leelawadee UI" w:cs="Leelawadee UI"/>
        </w:rPr>
        <w:t>សូម្បីតែសំឡេងនៃថ្ងៃរបស់ព្រះយេហូវ៉ា៖</w:t>
      </w:r>
      <w:r>
        <w:rPr>
          <w:rFonts w:ascii="Times New Roman" w:hAnsi="Times New Roman" w:eastAsia="Times New Roman" w:cs="Times New Roman"/>
        </w:rPr>
        <w:t xml:space="preserve"> </w:t>
      </w:r>
      <w:r>
        <w:rPr>
          <w:rFonts w:ascii="Leelawadee UI" w:hAnsi="Leelawadee UI" w:eastAsia="Leelawadee UI" w:cs="Leelawadee UI"/>
        </w:rPr>
        <w:t>មនុស្សខ្លាំងក្លានឹងយំដោយជូរចត់នៅទីនោះ។</w:t>
      </w:r>
      <w:r>
        <w:rPr>
          <w:rFonts w:ascii="Times New Roman" w:hAnsi="Times New Roman" w:eastAsia="Times New Roman" w:cs="Times New Roman"/>
        </w:rPr>
        <w:t xml:space="preserve"> </w:t>
      </w:r>
      <w:r>
        <w:rPr>
          <w:rFonts w:ascii="Leelawadee UI" w:hAnsi="Leelawadee UI" w:eastAsia="Leelawadee UI" w:cs="Leelawadee UI"/>
        </w:rPr>
        <w:t>ថ្ងៃនោះជាថ្ងៃនៃសេចក្ដីក្រោធ</w:t>
      </w:r>
      <w:r>
        <w:rPr>
          <w:rFonts w:ascii="Times New Roman" w:hAnsi="Times New Roman" w:eastAsia="Times New Roman" w:cs="Times New Roman"/>
        </w:rPr>
        <w:t xml:space="preserve"> </w:t>
      </w:r>
      <w:r>
        <w:rPr>
          <w:rFonts w:ascii="Leelawadee UI" w:hAnsi="Leelawadee UI" w:eastAsia="Leelawadee UI" w:cs="Leelawadee UI"/>
        </w:rPr>
        <w:t>ជាថ្ងៃនៃទុក្ខវេទនា</w:t>
      </w:r>
      <w:r>
        <w:rPr>
          <w:rFonts w:ascii="Times New Roman" w:hAnsi="Times New Roman" w:eastAsia="Times New Roman" w:cs="Times New Roman"/>
        </w:rPr>
        <w:t xml:space="preserve"> </w:t>
      </w:r>
      <w:r>
        <w:rPr>
          <w:rFonts w:ascii="Leelawadee UI" w:hAnsi="Leelawadee UI" w:eastAsia="Leelawadee UI" w:cs="Leelawadee UI"/>
        </w:rPr>
        <w:t>និងសេចក្ដីលំបាក</w:t>
      </w:r>
      <w:r>
        <w:rPr>
          <w:rFonts w:ascii="Times New Roman" w:hAnsi="Times New Roman" w:eastAsia="Times New Roman" w:cs="Times New Roman"/>
        </w:rPr>
        <w:t xml:space="preserve"> </w:t>
      </w:r>
      <w:r>
        <w:rPr>
          <w:rFonts w:ascii="Leelawadee UI" w:hAnsi="Leelawadee UI" w:eastAsia="Leelawadee UI" w:cs="Leelawadee UI"/>
        </w:rPr>
        <w:t>ជាថ្ងៃនៃការបំផ្លាញ</w:t>
      </w:r>
      <w:r>
        <w:rPr>
          <w:rFonts w:ascii="Times New Roman" w:hAnsi="Times New Roman" w:eastAsia="Times New Roman" w:cs="Times New Roman"/>
        </w:rPr>
        <w:t xml:space="preserve"> </w:t>
      </w:r>
      <w:r>
        <w:rPr>
          <w:rFonts w:ascii="Leelawadee UI" w:hAnsi="Leelawadee UI" w:eastAsia="Leelawadee UI" w:cs="Leelawadee UI"/>
        </w:rPr>
        <w:t>និងការរង់រាយ</w:t>
      </w:r>
      <w:r>
        <w:rPr>
          <w:rFonts w:ascii="Times New Roman" w:hAnsi="Times New Roman" w:eastAsia="Times New Roman" w:cs="Times New Roman"/>
        </w:rPr>
        <w:t xml:space="preserve"> </w:t>
      </w:r>
      <w:r>
        <w:rPr>
          <w:rFonts w:ascii="Leelawadee UI" w:hAnsi="Leelawadee UI" w:eastAsia="Leelawadee UI" w:cs="Leelawadee UI"/>
        </w:rPr>
        <w:t>ជាថ្ងៃនៃភាពងងឹត</w:t>
      </w:r>
      <w:r>
        <w:rPr>
          <w:rFonts w:ascii="Times New Roman" w:hAnsi="Times New Roman" w:eastAsia="Times New Roman" w:cs="Times New Roman"/>
        </w:rPr>
        <w:t xml:space="preserve"> </w:t>
      </w:r>
      <w:r>
        <w:rPr>
          <w:rFonts w:ascii="Leelawadee UI" w:hAnsi="Leelawadee UI" w:eastAsia="Leelawadee UI" w:cs="Leelawadee UI"/>
        </w:rPr>
        <w:t>និងអ័ព្ទអាប់អួរ</w:t>
      </w:r>
      <w:r>
        <w:rPr>
          <w:rFonts w:ascii="Times New Roman" w:hAnsi="Times New Roman" w:eastAsia="Times New Roman" w:cs="Times New Roman"/>
        </w:rPr>
        <w:t xml:space="preserve"> </w:t>
      </w:r>
      <w:r>
        <w:rPr>
          <w:rFonts w:ascii="Leelawadee UI" w:hAnsi="Leelawadee UI" w:eastAsia="Leelawadee UI" w:cs="Leelawadee UI"/>
        </w:rPr>
        <w:t>ជាថ្ងៃនៃពពក</w:t>
      </w:r>
      <w:r>
        <w:rPr>
          <w:rFonts w:ascii="Times New Roman" w:hAnsi="Times New Roman" w:eastAsia="Times New Roman" w:cs="Times New Roman"/>
        </w:rPr>
        <w:t xml:space="preserve"> </w:t>
      </w:r>
      <w:r>
        <w:rPr>
          <w:rFonts w:ascii="Leelawadee UI" w:hAnsi="Leelawadee UI" w:eastAsia="Leelawadee UI" w:cs="Leelawadee UI"/>
        </w:rPr>
        <w:t>និងភាពងងឹតក្រាស់</w:t>
      </w:r>
      <w:r>
        <w:rPr>
          <w:rFonts w:ascii="Times New Roman" w:hAnsi="Times New Roman" w:eastAsia="Times New Roman" w:cs="Times New Roman"/>
        </w:rPr>
        <w:t xml:space="preserve"> </w:t>
      </w:r>
      <w:r>
        <w:rPr>
          <w:rFonts w:ascii="Leelawadee UI" w:hAnsi="Leelawadee UI" w:eastAsia="Leelawadee UI" w:cs="Leelawadee UI"/>
        </w:rPr>
        <w:t>ជាថ្ងៃនៃសូរស័ព្ទត្រែ</w:t>
      </w:r>
      <w:r>
        <w:rPr>
          <w:rFonts w:ascii="Times New Roman" w:hAnsi="Times New Roman" w:eastAsia="Times New Roman" w:cs="Times New Roman"/>
        </w:rPr>
        <w:t xml:space="preserve"> </w:t>
      </w:r>
      <w:r>
        <w:rPr>
          <w:rFonts w:ascii="Leelawadee UI" w:hAnsi="Leelawadee UI" w:eastAsia="Leelawadee UI" w:cs="Leelawadee UI"/>
        </w:rPr>
        <w:t>និងសញ្ញាព្រមានទាស់នឹងទីក្រុងដែលមានកំពែងការពារ</w:t>
      </w:r>
      <w:r>
        <w:rPr>
          <w:rFonts w:ascii="Times New Roman" w:hAnsi="Times New Roman" w:eastAsia="Times New Roman" w:cs="Times New Roman"/>
        </w:rPr>
        <w:t xml:space="preserve"> </w:t>
      </w:r>
      <w:r>
        <w:rPr>
          <w:rFonts w:ascii="Leelawadee UI" w:hAnsi="Leelawadee UI" w:eastAsia="Leelawadee UI" w:cs="Leelawadee UI"/>
        </w:rPr>
        <w:t>និងទាស់នឹងប៉មខ្ពស់ៗ។</w:t>
      </w:r>
      <w:r>
        <w:rPr>
          <w:rFonts w:ascii="Times New Roman" w:hAnsi="Times New Roman" w:eastAsia="Times New Roman" w:cs="Times New Roman"/>
        </w:rPr>
        <w:t xml:space="preserve"> </w:t>
      </w:r>
      <w:r>
        <w:rPr>
          <w:rFonts w:ascii="Leelawadee UI" w:hAnsi="Leelawadee UI" w:eastAsia="Leelawadee UI" w:cs="Leelawadee UI"/>
        </w:rPr>
        <w:t>ហើយយើងនឹងនាំសេចក្ដីលំបាកមកលើមនុស្សទាំងឡាយ</w:t>
      </w:r>
      <w:r>
        <w:rPr>
          <w:rFonts w:ascii="Times New Roman" w:hAnsi="Times New Roman" w:eastAsia="Times New Roman" w:cs="Times New Roman"/>
        </w:rPr>
        <w:t xml:space="preserve"> </w:t>
      </w:r>
      <w:r>
        <w:rPr>
          <w:rFonts w:ascii="Leelawadee UI" w:hAnsi="Leelawadee UI" w:eastAsia="Leelawadee UI" w:cs="Leelawadee UI"/>
        </w:rPr>
        <w:t>ដូច្នេះពួកគេនឹងដើរដូចមនុស្សខ្វាក់</w:t>
      </w:r>
      <w:r>
        <w:rPr>
          <w:rFonts w:ascii="Times New Roman" w:hAnsi="Times New Roman" w:eastAsia="Times New Roman" w:cs="Times New Roman"/>
        </w:rPr>
        <w:t xml:space="preserve"> </w:t>
      </w:r>
      <w:r>
        <w:rPr>
          <w:rFonts w:ascii="Leelawadee UI" w:hAnsi="Leelawadee UI" w:eastAsia="Leelawadee UI" w:cs="Leelawadee UI"/>
        </w:rPr>
        <w:t>ពីព្រោះពួកគេបានប្រព្រឹត្តអំពើបាបទាស់នឹងព្រះយេហូវ៉ា៖</w:t>
      </w:r>
      <w:r>
        <w:rPr>
          <w:rFonts w:ascii="Times New Roman" w:hAnsi="Times New Roman" w:eastAsia="Times New Roman" w:cs="Times New Roman"/>
        </w:rPr>
        <w:t xml:space="preserve"> </w:t>
      </w:r>
      <w:r>
        <w:rPr>
          <w:rFonts w:ascii="Leelawadee UI" w:hAnsi="Leelawadee UI" w:eastAsia="Leelawadee UI" w:cs="Leelawadee UI"/>
        </w:rPr>
        <w:t>ហើយឈាមរបស់ពួកគេនឹងត្រូវចាក់ចេញដូចធូលី</w:t>
      </w:r>
      <w:r>
        <w:rPr>
          <w:rFonts w:ascii="Times New Roman" w:hAnsi="Times New Roman" w:eastAsia="Times New Roman" w:cs="Times New Roman"/>
        </w:rPr>
        <w:t xml:space="preserve"> </w:t>
      </w:r>
      <w:r>
        <w:rPr>
          <w:rFonts w:ascii="Leelawadee UI" w:hAnsi="Leelawadee UI" w:eastAsia="Leelawadee UI" w:cs="Leelawadee UI"/>
        </w:rPr>
        <w:t>ហើយសាច់របស់ពួកគេដូចលាមក។</w:t>
      </w:r>
      <w:r>
        <w:rPr>
          <w:rFonts w:ascii="Times New Roman" w:hAnsi="Times New Roman" w:eastAsia="Times New Roman" w:cs="Times New Roman"/>
        </w:rPr>
        <w:t xml:space="preserve"> </w:t>
      </w:r>
      <w:r>
        <w:rPr>
          <w:rFonts w:ascii="Leelawadee UI" w:hAnsi="Leelawadee UI" w:eastAsia="Leelawadee UI" w:cs="Leelawadee UI"/>
        </w:rPr>
        <w:t>ទាំងប្រាក់របស់ពួកគេក៏ដោយ</w:t>
      </w:r>
      <w:r>
        <w:rPr>
          <w:rFonts w:ascii="Times New Roman" w:hAnsi="Times New Roman" w:eastAsia="Times New Roman" w:cs="Times New Roman"/>
        </w:rPr>
        <w:t xml:space="preserve"> </w:t>
      </w:r>
      <w:r>
        <w:rPr>
          <w:rFonts w:ascii="Leelawadee UI" w:hAnsi="Leelawadee UI" w:eastAsia="Leelawadee UI" w:cs="Leelawadee UI"/>
        </w:rPr>
        <w:t>ទាំងមាសរបស់ពួកគេក៏ដោយ</w:t>
      </w:r>
      <w:r>
        <w:rPr>
          <w:rFonts w:ascii="Times New Roman" w:hAnsi="Times New Roman" w:eastAsia="Times New Roman" w:cs="Times New Roman"/>
        </w:rPr>
        <w:t xml:space="preserve"> </w:t>
      </w:r>
      <w:r>
        <w:rPr>
          <w:rFonts w:ascii="Leelawadee UI" w:hAnsi="Leelawadee UI" w:eastAsia="Leelawadee UI" w:cs="Leelawadee UI"/>
        </w:rPr>
        <w:t>មិនអាចជួយសង្គ្រោះពួកគេបាននៅក្នុងថ្ងៃនៃសេចក្ដីក្រោធរបស់ព្រះយេហូវ៉ាទេ</w:t>
      </w:r>
      <w:r>
        <w:rPr>
          <w:rFonts w:ascii="Times New Roman" w:hAnsi="Times New Roman" w:eastAsia="Times New Roman" w:cs="Times New Roman"/>
        </w:rPr>
        <w:t xml:space="preserve">; </w:t>
      </w:r>
      <w:r>
        <w:rPr>
          <w:rFonts w:ascii="Leelawadee UI" w:hAnsi="Leelawadee UI" w:eastAsia="Leelawadee UI" w:cs="Leelawadee UI"/>
        </w:rPr>
        <w:t>ប៉ុន្តែដីទាំងមូលនឹងត្រូវបំផ្លាញដោយភ្លើងនៃសេចក្ដីប្រចណ្ឌរបស់ទ្រង់</w:t>
      </w:r>
      <w:r>
        <w:rPr>
          <w:rFonts w:ascii="Times New Roman" w:hAnsi="Times New Roman" w:eastAsia="Times New Roman" w:cs="Times New Roman"/>
        </w:rPr>
        <w:t xml:space="preserve">: </w:t>
      </w:r>
      <w:r>
        <w:rPr>
          <w:rFonts w:ascii="Leelawadee UI" w:hAnsi="Leelawadee UI" w:eastAsia="Leelawadee UI" w:cs="Leelawadee UI"/>
        </w:rPr>
        <w:t>ដ្បិតទ្រង់នឹងធ្វើឲ្យអស់ទៅយ៉ាងឆាប់រហ័ស</w:t>
      </w:r>
      <w:r>
        <w:rPr>
          <w:rFonts w:ascii="Times New Roman" w:hAnsi="Times New Roman" w:eastAsia="Times New Roman" w:cs="Times New Roman"/>
        </w:rPr>
        <w:t xml:space="preserve"> </w:t>
      </w:r>
      <w:r>
        <w:rPr>
          <w:rFonts w:ascii="Leelawadee UI" w:hAnsi="Leelawadee UI" w:eastAsia="Leelawadee UI" w:cs="Leelawadee UI"/>
        </w:rPr>
        <w:t>សូម្បីតែមនុស្សទាំងអស់ដែលរស់នៅក្នុងស្រុកនោះផងដែរ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សេផានា</w:t>
      </w:r>
      <w:r>
        <w:rPr>
          <w:rFonts w:ascii="Times New Roman" w:hAnsi="Times New Roman" w:eastAsia="Times New Roman" w:cs="Times New Roman"/>
        </w:rPr>
        <w:t xml:space="preserve"> 1:2, 3, 8–18</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 Dieu ne peut plus se retenir beaucoup plus longtemps. Déjà, ses jugements commencent à s’abattre sur certains lieux, et bientôt le signe de son indignation se fera sentir en d’autres lieux. »</w:t>
      </w:r>
    </w:p>
    <w:p>
      <w:pPr>
        <w:pStyle w:val="ArticleScripture"/>
        <w:jc w:val="left"/>
      </w:pPr>
      <w:r>
        <w:rPr>
          <w:rFonts w:ascii="Times New Roman" w:hAnsi="Times New Roman" w:eastAsia="Times New Roman" w:cs="Times New Roman"/>
        </w:rPr>
        <w:t>«در پیِ آن، سلسله‌ای از رویدادها پدید خواهد آمد که آشکار خواهد ساخت خدا حاکمِ مطلقِ اوضاع است. حقیقت با زبانی روشن و بی‌ابهام اعلام خواهد شد. ما، به‌عنوان قومی، باید تحت هدایتِ حاکمانهٔ روح‌القدس، راهِ خداوند را مهیا سازیم. انجیل باید در پاکیِ خویش عرضه گردد. نهرِ آبِ حیات باید در مسیر خود ژرف‌تر و پهناورتر شود. در همهٔ میدان‌ها، نزدیک و دور، مردان از پشتِ گاوآهن و از مشاغلِ بازرگانیِ عادی‌تر که تا حد زیادی ذهن را به خود مشغول می‌دارد، فراخوانده خواهند شد و در پیوند با مردانِ با تجربه تعلیم خواهند یافت. چون بیاموزند که چگونه به‌گونه‌ای مؤثر کار کنند، حقیقت را با قدرت اعلام خواهند کرد. به‌وسیلهٔ شگفت‌انگیزترین کارکردهای عنایتِ الهی، کوه‌های دشواری از میان برداشته شده و به دریا افکنده خواهد شد. پیامی که برای ساکنانِ زمین چنین اهمیتِ عظیمی دارد، شنیده و فهمیده خواهد شد. مردم خواهند دانست که حقیقت چیست. کار، پیوسته به پیش، و باز هم به پیش، پیش خواهد رفت تا تمامیِ زمین انذار شده باشد، و آنگاه پایان فرا خواهد رسید.»</w:t>
      </w:r>
    </w:p>
    <w:p>
      <w:pPr>
        <w:pStyle w:val="ArticleScripture"/>
        <w:jc w:val="left"/>
      </w:pPr>
      <w:r>
        <w:rPr>
          <w:rFonts w:ascii="Times New Roman" w:hAnsi="Times New Roman" w:eastAsia="Times New Roman" w:cs="Times New Roman"/>
        </w:rPr>
        <w:t>“Singi na singi, ndenge mikolo ezali koleka, ezali komonana polele ete bikateli ya Nzambe ezali na mokili. Na mɔtɔ mpe na mpela mpe na koningana ya mabele Azali kokebisa bafandi ya mabele oyo mpo na bopusi penepene na Ye. Ntango ezali kopusana penepene oyo kati na lisolo ya mokili mobimba, mokakatano monene ekoya, tango nyonso ya bokonzi ya Nzambe ekotalama na mposa makasi mpe na kobanga oyo ekoki kolobama te. Na kolandana ya lombangu, bikateli ya Nzambe ekolanda moko sima ya mosusu—mɔtɔ mpe mpela mpe koningana ya mabele, elongo na bitumba mpe kosopa makila.”</w:t>
      </w:r>
    </w:p>
    <w:p>
      <w:pPr>
        <w:pStyle w:val="ArticleScripture"/>
        <w:jc w:val="left"/>
      </w:pPr>
      <w:r>
        <w:rPr>
          <w:rFonts w:ascii="Times New Roman" w:hAnsi="Times New Roman" w:eastAsia="Times New Roman" w:cs="Times New Roman"/>
        </w:rPr>
        <w:t>«Ô, si seulement le peuple pouvait connaître le temps de sa visitation ! Il en est beaucoup qui n’ont pas encore entendu la vérité éprouvante pour ce temps. Il en est beaucoup avec lesquels l’Esprit de Dieu lutte. Le temps des jugements destructeurs de Dieu est un temps de miséricorde pour ceux qui n’ont eu aucune occasion d’apprendre ce qu’est la vérité. Le Seigneur les regardera avec tendresse. Son cœur de miséricorde est touché ; sa main est encore étendue pour sauver, tandis que la porte est fermée à ceux qui n’ont pas voulu entrer. »</w:t>
      </w:r>
    </w:p>
    <w:p>
      <w:pPr>
        <w:pStyle w:val="ArticleScripture"/>
        <w:jc w:val="left"/>
      </w:pPr>
      <w:r>
        <w:rPr>
          <w:rFonts w:ascii="Times New Roman" w:hAnsi="Times New Roman" w:eastAsia="Times New Roman" w:cs="Times New Roman"/>
        </w:rPr>
        <w:t>« La miséricorde de Dieu se manifeste dans sa longue patience. Il retient ses jugements, attendant que le message d’avertissement soit proclamé à tous. Oh ! si notre peuple ressentait comme il le devrait la responsabilité qui repose sur lui de donner au monde le dernier message de miséricorde, quelle œuvre merveilleuse serait accomplie ! » Testimonies, volume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bilong Joel na Siot bilong Seventh-day Adventist bilong Laodicea - Namba Twenti</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