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vingt et 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ליס عدد واحد وعشرين</w:t>
      </w:r>
    </w:p>
    <w:p>
      <w:pPr>
        <w:pStyle w:val="ArticleScripture"/>
        <w:jc w:val="left"/>
      </w:pPr>
      <w:r>
        <w:rPr>
          <w:rFonts w:ascii="Times New Roman" w:hAnsi="Times New Roman" w:eastAsia="Times New Roman" w:cs="Times New Roman"/>
        </w:rPr>
        <w:t>Tyme, a ebiwɔ da a wobeyi daa afɔrebɔ no afi hɔ, na wɔde akyiwade a ɛma ɔsɛe si hɔ no, nna apem ahanu ne aduɔwɔtwe bɛba mu. Daniel 12:11.</w:t>
      </w:r>
    </w:p>
    <w:p>
      <w:pPr>
        <w:pStyle w:val="ArticleBody"/>
        <w:jc w:val="left"/>
      </w:pPr>
      <w:r>
        <w:rPr>
          <w:rFonts w:ascii="Times New Roman" w:hAnsi="Times New Roman" w:eastAsia="Times New Roman" w:cs="Times New Roman"/>
        </w:rPr>
        <w:t>Depuis le 22 octobre 1844, l’application du temps prophétique n’est plus une application correcte de la prophétie pour ceux qui pourraient souhaiter dispenser droitement la parole de vérité. La période de 1290 années du verset onze doit être appliquée comme une période symbolique après 1844, et l’application après 1844, c’est-à-dire une période dépourvue des éléments du « temps », doit conserver la compréhension fondamentale de la vérité telle qu’elle était comprise avant 1844. Les 1290 représentent une période de 30, suivie de 1260. La compréhension antérieure à 1844 était que les trente années allant de 508 à 538 représentaient une période de préparation permettant à l’antichrist de commencer à régner de 538 à 1798.</w:t>
      </w:r>
    </w:p>
    <w:p>
      <w:pPr>
        <w:pStyle w:val="ArticleBody"/>
        <w:jc w:val="left"/>
      </w:pPr>
      <w:r>
        <w:rPr>
          <w:rFonts w:ascii="Times New Roman" w:hAnsi="Times New Roman" w:eastAsia="Times New Roman" w:cs="Times New Roman"/>
        </w:rPr>
        <w:t>Les 30 années de transition constituent le sujet de Paul dans 2 Thessaloniciens. Paul n’y fait aucune référence à l’élément du « temps », mais il en identifie les caractéristiques prophétiques, lorsque le paganisme cède la place à la papauté durant ces trente années. Alors commença la domination papale. La compréhension historique, en l’absence de tout élément de temps, identifie la transition du quatrième royaume de la prophétie biblique vers le cinquième royaume, suivie du premier de deux bains de sang papaux, typifiant ainsi la transition du sixième royaume vers l’union triple du dragon, de la bête et du faux prophète, ainsi que le second bain de sang papal.</w:t>
      </w:r>
    </w:p>
    <w:p>
      <w:pPr>
        <w:pStyle w:val="ArticleBody"/>
        <w:jc w:val="left"/>
      </w:pPr>
      <w:r>
        <w:rPr>
          <w:rFonts w:ascii="Times New Roman" w:hAnsi="Times New Roman" w:eastAsia="Times New Roman" w:cs="Times New Roman"/>
        </w:rPr>
        <w:t>Le trente années de préparation, suivies d’une période prophétique, constituent un symbole fondamental de l’alliance de Dieu avec un peuple choisi. La transition des deux puissances au cours des trente années, suivie de 1260 années de persécution, correspond aux trente années de préparation du Christ, suivies de 1260 jours de salut. Les trente années de préparation de l’antichrist contrefaisaient les trente années de préparation du Christ. La fin des trente années désigne soit l’investiture du Christ lors de Son baptême, soit l’investiture de l’antichrist en 538. L’investiture de l’antichrist provenait du soutien économique et militaire issu du royaume précédent, et la puissance déversée sur le Christ provenait du royaume précédent qu’Il avait quitté trente ans auparavant.</w:t>
      </w:r>
    </w:p>
    <w:p>
      <w:pPr>
        <w:pStyle w:val="ArticleBody"/>
        <w:jc w:val="left"/>
      </w:pPr>
      <w:r>
        <w:rPr>
          <w:rFonts w:ascii="Times New Roman" w:hAnsi="Times New Roman" w:eastAsia="Times New Roman" w:cs="Times New Roman"/>
        </w:rPr>
        <w:t>Tembreak no mu miikuu a, na miibreak no mu a Abram ne Paul de sii no da hɔ adi denhyɛmu bi so, na wɔhu break a ɛda mperiod abien a Abram ne Paul de too hɔ no ntam no denam ntotoho a ɛnyɛ den so. Wɔ Abram ne Paul mfirihyia aduasa no mu nsonsonoe mu no, ahosiesie bere no ne mfirihyia aduasa a edi kan no, a egyina hɔ ma apam no ho nhyehyɛe no, na ɛno na ɛmaa tumi maa Abram asefo no sɛ wɔmfa wɔn ho nhyɛ nkɔmhyɛ a ɛfa nkoasom mu wɔ Misraim ho no mu ma. Mfirihyia ahanan ne aduasa no nso wɔ mpaapaemu foforo a ɛyɛ sɛnkyerɛnne, efisɛ sɛ wɔde di dwuma yiye a, mfirihyia ahanu ne dunan a edi kan no gyina hɔ ma Onyankopɔn ananmusifo ne Farao. Na Yosef ne mfirihyia 215 a edi kan no fam no, na ɛyɛ Farao pa no; na Mose ne mfirihyia 215 a ɛto so abien no fam no, na ɛyɛ Farao bɔne no.</w:t>
      </w:r>
    </w:p>
    <w:p>
      <w:pPr>
        <w:pStyle w:val="ArticleBody"/>
        <w:jc w:val="left"/>
      </w:pPr>
      <w:r>
        <w:rPr>
          <w:rFonts w:ascii="Times New Roman" w:hAnsi="Times New Roman" w:eastAsia="Times New Roman" w:cs="Times New Roman"/>
        </w:rPr>
        <w:t>Cette division met en évidence deux périodes de quatre générations. Les quatre premières générations peuvent être superposées aux quatre secondes, ligne sur ligne, et, ce faisant, Joseph et Moïse, un alpha et un oméga prophétiques, interagissent avec un Pharaon alpha bon et un Pharaon oméga mauvais. Une grande lumière peut être tirée de cet examen parallèle, mais je me borne simplement à signaler que la prédiction d’Abram concernant la quatrième génération désigne deux témoins des quatre générations au cours des 430 années. La représentation double de quatre générations se trouve dans les généalogies de Genèse quatre et cinq. Lorsque nous considérons Caïn et Seth comme le point de départ de l’énumération des lignées de sang, nous constatons qu’il y a huit générations de Seth à Noé, et que, lorsqu’elles sont divisées au milieu, il y a une représentation de deux périodes de quatre générations. Cela se reconnaît dans les lignées de huit générations tant de Seth que de Caïn.</w:t>
      </w:r>
    </w:p>
    <w:p>
      <w:pPr>
        <w:pStyle w:val="ArticleBody"/>
        <w:jc w:val="left"/>
      </w:pPr>
      <w:r>
        <w:rPr>
          <w:rFonts w:ascii="Nirmala UI" w:hAnsi="Nirmala UI" w:eastAsia="Nirmala UI" w:cs="Nirmala UI"/>
        </w:rPr>
        <w:t>ചതുർത്ഥവും</w:t>
      </w:r>
      <w:r>
        <w:rPr>
          <w:rFonts w:ascii="Times New Roman" w:hAnsi="Times New Roman" w:eastAsia="Times New Roman" w:cs="Times New Roman"/>
        </w:rPr>
        <w:t xml:space="preserve"> </w:t>
      </w:r>
      <w:r>
        <w:rPr>
          <w:rFonts w:ascii="Nirmala UI" w:hAnsi="Nirmala UI" w:eastAsia="Nirmala UI" w:cs="Nirmala UI"/>
        </w:rPr>
        <w:t>പഞ്ചമവും</w:t>
      </w:r>
      <w:r>
        <w:rPr>
          <w:rFonts w:ascii="Times New Roman" w:hAnsi="Times New Roman" w:eastAsia="Times New Roman" w:cs="Times New Roman"/>
        </w:rPr>
        <w:t xml:space="preserve"> </w:t>
      </w:r>
      <w:r>
        <w:rPr>
          <w:rFonts w:ascii="Nirmala UI" w:hAnsi="Nirmala UI" w:eastAsia="Nirmala UI" w:cs="Nirmala UI"/>
        </w:rPr>
        <w:t>അധ്യായങ്ങളിലെ</w:t>
      </w:r>
      <w:r>
        <w:rPr>
          <w:rFonts w:ascii="Times New Roman" w:hAnsi="Times New Roman" w:eastAsia="Times New Roman" w:cs="Times New Roman"/>
        </w:rPr>
        <w:t xml:space="preserve"> </w:t>
      </w:r>
      <w:r>
        <w:rPr>
          <w:rFonts w:ascii="Nirmala UI" w:hAnsi="Nirmala UI" w:eastAsia="Nirmala UI" w:cs="Nirmala UI"/>
        </w:rPr>
        <w:t>വംശാവലികൾ</w:t>
      </w:r>
      <w:r>
        <w:rPr>
          <w:rFonts w:ascii="Times New Roman" w:hAnsi="Times New Roman" w:eastAsia="Times New Roman" w:cs="Times New Roman"/>
        </w:rPr>
        <w:t xml:space="preserve"> </w:t>
      </w:r>
      <w:r>
        <w:rPr>
          <w:rFonts w:ascii="Nirmala UI" w:hAnsi="Nirmala UI" w:eastAsia="Nirmala UI" w:cs="Nirmala UI"/>
        </w:rPr>
        <w:t>അവയുടെ</w:t>
      </w:r>
      <w:r>
        <w:rPr>
          <w:rFonts w:ascii="Times New Roman" w:hAnsi="Times New Roman" w:eastAsia="Times New Roman" w:cs="Times New Roman"/>
        </w:rPr>
        <w:t xml:space="preserve"> </w:t>
      </w:r>
      <w:r>
        <w:rPr>
          <w:rFonts w:ascii="Nirmala UI" w:hAnsi="Nirmala UI" w:eastAsia="Nirmala UI" w:cs="Nirmala UI"/>
        </w:rPr>
        <w:t>പര്യവസാനമായി</w:t>
      </w:r>
      <w:r>
        <w:rPr>
          <w:rFonts w:ascii="Times New Roman" w:hAnsi="Times New Roman" w:eastAsia="Times New Roman" w:cs="Times New Roman"/>
        </w:rPr>
        <w:t xml:space="preserve"> </w:t>
      </w:r>
      <w:r>
        <w:rPr>
          <w:rFonts w:ascii="Nirmala UI" w:hAnsi="Nirmala UI" w:eastAsia="Nirmala UI" w:cs="Nirmala UI"/>
        </w:rPr>
        <w:t>നോഹയിൽ</w:t>
      </w:r>
      <w:r>
        <w:rPr>
          <w:rFonts w:ascii="Times New Roman" w:hAnsi="Times New Roman" w:eastAsia="Times New Roman" w:cs="Times New Roman"/>
        </w:rPr>
        <w:t xml:space="preserve"> </w:t>
      </w:r>
      <w:r>
        <w:rPr>
          <w:rFonts w:ascii="Nirmala UI" w:hAnsi="Nirmala UI" w:eastAsia="Nirmala UI" w:cs="Nirmala UI"/>
        </w:rPr>
        <w:t>എത്തിച്ചേർന്നു</w:t>
      </w:r>
      <w:r>
        <w:rPr>
          <w:rFonts w:ascii="Times New Roman" w:hAnsi="Times New Roman" w:eastAsia="Times New Roman" w:cs="Times New Roman"/>
        </w:rPr>
        <w:t xml:space="preserve"> </w:t>
      </w:r>
      <w:r>
        <w:rPr>
          <w:rFonts w:ascii="Nirmala UI" w:hAnsi="Nirmala UI" w:eastAsia="Nirmala UI" w:cs="Nirmala UI"/>
        </w:rPr>
        <w:t>കാണിക്കപ്പെടുന്നു</w:t>
      </w:r>
      <w:r>
        <w:rPr>
          <w:rFonts w:ascii="Times New Roman" w:hAnsi="Times New Roman" w:eastAsia="Times New Roman" w:cs="Times New Roman"/>
        </w:rPr>
        <w:t xml:space="preserve">. </w:t>
      </w:r>
      <w:r>
        <w:rPr>
          <w:rFonts w:ascii="Nirmala UI" w:hAnsi="Nirmala UI" w:eastAsia="Nirmala UI" w:cs="Nirmala UI"/>
        </w:rPr>
        <w:t>ഇന്ദ്രധനുസ്സാൽ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മനുഷ്യജാതിയോടുള്ള</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നോഹ</w:t>
      </w:r>
      <w:r>
        <w:rPr>
          <w:rFonts w:ascii="Times New Roman" w:hAnsi="Times New Roman" w:eastAsia="Times New Roman" w:cs="Times New Roman"/>
        </w:rPr>
        <w:t xml:space="preserve">. </w:t>
      </w:r>
      <w:r>
        <w:rPr>
          <w:rFonts w:ascii="Nirmala UI" w:hAnsi="Nirmala UI" w:eastAsia="Nirmala UI" w:cs="Nirmala UI"/>
        </w:rPr>
        <w:t>പരിച്ഛേദനയാൽ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തിരഞ്ഞെടുക്കപ്പെട്ട</w:t>
      </w:r>
      <w:r>
        <w:rPr>
          <w:rFonts w:ascii="Times New Roman" w:hAnsi="Times New Roman" w:eastAsia="Times New Roman" w:cs="Times New Roman"/>
        </w:rPr>
        <w:t xml:space="preserve"> </w:t>
      </w:r>
      <w:r>
        <w:rPr>
          <w:rFonts w:ascii="Nirmala UI" w:hAnsi="Nirmala UI" w:eastAsia="Nirmala UI" w:cs="Nirmala UI"/>
        </w:rPr>
        <w:t>ജനത്തോടുള്ള</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അബ്രാം</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നിയമങ്ങളും</w:t>
      </w:r>
      <w:r>
        <w:rPr>
          <w:rFonts w:ascii="Times New Roman" w:hAnsi="Times New Roman" w:eastAsia="Times New Roman" w:cs="Times New Roman"/>
        </w:rPr>
        <w:t xml:space="preserve"> </w:t>
      </w:r>
      <w:r>
        <w:rPr>
          <w:rFonts w:ascii="Nirmala UI" w:hAnsi="Nirmala UI" w:eastAsia="Nirmala UI" w:cs="Nirmala UI"/>
        </w:rPr>
        <w:t>എല്ലായ്പ്പോഴും</w:t>
      </w:r>
      <w:r>
        <w:rPr>
          <w:rFonts w:ascii="Times New Roman" w:hAnsi="Times New Roman" w:eastAsia="Times New Roman" w:cs="Times New Roman"/>
        </w:rPr>
        <w:t xml:space="preserve"> </w:t>
      </w:r>
      <w:r>
        <w:rPr>
          <w:rFonts w:ascii="Nirmala UI" w:hAnsi="Nirmala UI" w:eastAsia="Nirmala UI" w:cs="Nirmala UI"/>
        </w:rPr>
        <w:t>പരസ്പരം</w:t>
      </w:r>
      <w:r>
        <w:rPr>
          <w:rFonts w:ascii="Times New Roman" w:hAnsi="Times New Roman" w:eastAsia="Times New Roman" w:cs="Times New Roman"/>
        </w:rPr>
        <w:t xml:space="preserve"> </w:t>
      </w:r>
      <w:r>
        <w:rPr>
          <w:rFonts w:ascii="Nirmala UI" w:hAnsi="Nirmala UI" w:eastAsia="Nirmala UI" w:cs="Nirmala UI"/>
        </w:rPr>
        <w:t>ബന്ധിച്ചിരിക്കുന്നവയാണ്</w:t>
      </w:r>
      <w:r>
        <w:rPr>
          <w:rFonts w:ascii="Times New Roman" w:hAnsi="Times New Roman" w:eastAsia="Times New Roman" w:cs="Times New Roman"/>
        </w:rPr>
        <w:t xml:space="preserve">; </w:t>
      </w:r>
      <w:r>
        <w:rPr>
          <w:rFonts w:ascii="Nirmala UI" w:hAnsi="Nirmala UI" w:eastAsia="Nirmala UI" w:cs="Nirmala UI"/>
        </w:rPr>
        <w:t>നോഹയുടെ</w:t>
      </w:r>
      <w:r>
        <w:rPr>
          <w:rFonts w:ascii="Times New Roman" w:hAnsi="Times New Roman" w:eastAsia="Times New Roman" w:cs="Times New Roman"/>
        </w:rPr>
        <w:t xml:space="preserve"> </w:t>
      </w:r>
      <w:r>
        <w:rPr>
          <w:rFonts w:ascii="Nirmala UI" w:hAnsi="Nirmala UI" w:eastAsia="Nirmala UI" w:cs="Nirmala UI"/>
        </w:rPr>
        <w:t>പ്രളയത്തിന്</w:t>
      </w:r>
      <w:r>
        <w:rPr>
          <w:rFonts w:ascii="Times New Roman" w:hAnsi="Times New Roman" w:eastAsia="Times New Roman" w:cs="Times New Roman"/>
        </w:rPr>
        <w:t xml:space="preserve"> </w:t>
      </w:r>
      <w:r>
        <w:rPr>
          <w:rFonts w:ascii="Nirmala UI" w:hAnsi="Nirmala UI" w:eastAsia="Nirmala UI" w:cs="Nirmala UI"/>
        </w:rPr>
        <w:t>പിന്നാലെ</w:t>
      </w:r>
      <w:r>
        <w:rPr>
          <w:rFonts w:ascii="Times New Roman" w:hAnsi="Times New Roman" w:eastAsia="Times New Roman" w:cs="Times New Roman"/>
        </w:rPr>
        <w:t xml:space="preserve"> </w:t>
      </w:r>
      <w:r>
        <w:rPr>
          <w:rFonts w:ascii="Nirmala UI" w:hAnsi="Nirmala UI" w:eastAsia="Nirmala UI" w:cs="Nirmala UI"/>
        </w:rPr>
        <w:t>ബാബേൽ</w:t>
      </w:r>
      <w:r>
        <w:rPr>
          <w:rFonts w:ascii="Times New Roman" w:hAnsi="Times New Roman" w:eastAsia="Times New Roman" w:cs="Times New Roman"/>
        </w:rPr>
        <w:t xml:space="preserve"> </w:t>
      </w:r>
      <w:r>
        <w:rPr>
          <w:rFonts w:ascii="Nirmala UI" w:hAnsi="Nirmala UI" w:eastAsia="Nirmala UI" w:cs="Nirmala UI"/>
        </w:rPr>
        <w:t>ഗോപുരത്തെ</w:t>
      </w:r>
      <w:r>
        <w:rPr>
          <w:rFonts w:ascii="Times New Roman" w:hAnsi="Times New Roman" w:eastAsia="Times New Roman" w:cs="Times New Roman"/>
        </w:rPr>
        <w:t xml:space="preserve"> </w:t>
      </w:r>
      <w:r>
        <w:rPr>
          <w:rFonts w:ascii="Nirmala UI" w:hAnsi="Nirmala UI" w:eastAsia="Nirmala UI" w:cs="Nirmala UI"/>
        </w:rPr>
        <w:t>കാണുന്ന</w:t>
      </w:r>
      <w:r>
        <w:rPr>
          <w:rFonts w:ascii="Times New Roman" w:hAnsi="Times New Roman" w:eastAsia="Times New Roman" w:cs="Times New Roman"/>
        </w:rPr>
        <w:t xml:space="preserve"> </w:t>
      </w:r>
      <w:r>
        <w:rPr>
          <w:rFonts w:ascii="Nirmala UI" w:hAnsi="Nirmala UI" w:eastAsia="Nirmala UI" w:cs="Nirmala UI"/>
        </w:rPr>
        <w:t>ഉല്പത്തി</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അധ്യായത്തിൽ</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അബ്രാമിലേക്കു</w:t>
      </w:r>
      <w:r>
        <w:rPr>
          <w:rFonts w:ascii="Times New Roman" w:hAnsi="Times New Roman" w:eastAsia="Times New Roman" w:cs="Times New Roman"/>
        </w:rPr>
        <w:t xml:space="preserve"> </w:t>
      </w:r>
      <w:r>
        <w:rPr>
          <w:rFonts w:ascii="Nirmala UI" w:hAnsi="Nirmala UI" w:eastAsia="Nirmala UI" w:cs="Nirmala UI"/>
        </w:rPr>
        <w:t>നയിക്കുന്ന</w:t>
      </w:r>
      <w:r>
        <w:rPr>
          <w:rFonts w:ascii="Times New Roman" w:hAnsi="Times New Roman" w:eastAsia="Times New Roman" w:cs="Times New Roman"/>
        </w:rPr>
        <w:t xml:space="preserve"> </w:t>
      </w:r>
      <w:r>
        <w:rPr>
          <w:rFonts w:ascii="Nirmala UI" w:hAnsi="Nirmala UI" w:eastAsia="Nirmala UI" w:cs="Nirmala UI"/>
        </w:rPr>
        <w:t>വംശാവലി</w:t>
      </w:r>
      <w:r>
        <w:rPr>
          <w:rFonts w:ascii="Times New Roman" w:hAnsi="Times New Roman" w:eastAsia="Times New Roman" w:cs="Times New Roman"/>
        </w:rPr>
        <w:t xml:space="preserve"> </w:t>
      </w:r>
      <w:r>
        <w:rPr>
          <w:rFonts w:ascii="Nirmala UI" w:hAnsi="Nirmala UI" w:eastAsia="Nirmala UI" w:cs="Nirmala UI"/>
        </w:rPr>
        <w:t>അവതരിപ്പിക്കപ്പെടുന്നത്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തലമുറകളല്ല</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തലമുറകളാണ്</w:t>
      </w:r>
      <w:r>
        <w:rPr>
          <w:rFonts w:ascii="Times New Roman" w:hAnsi="Times New Roman" w:eastAsia="Times New Roman" w:cs="Times New Roman"/>
        </w:rPr>
        <w:t xml:space="preserve">. </w:t>
      </w:r>
      <w:r>
        <w:rPr>
          <w:rFonts w:ascii="Nirmala UI" w:hAnsi="Nirmala UI" w:eastAsia="Nirmala UI" w:cs="Nirmala UI"/>
        </w:rPr>
        <w:t>അബ്രാമിലേക്കു</w:t>
      </w:r>
      <w:r>
        <w:rPr>
          <w:rFonts w:ascii="Times New Roman" w:hAnsi="Times New Roman" w:eastAsia="Times New Roman" w:cs="Times New Roman"/>
        </w:rPr>
        <w:t xml:space="preserve"> </w:t>
      </w:r>
      <w:r>
        <w:rPr>
          <w:rFonts w:ascii="Nirmala UI" w:hAnsi="Nirmala UI" w:eastAsia="Nirmala UI" w:cs="Nirmala UI"/>
        </w:rPr>
        <w:t>നയിക്കുന്ന</w:t>
      </w:r>
      <w:r>
        <w:rPr>
          <w:rFonts w:ascii="Times New Roman" w:hAnsi="Times New Roman" w:eastAsia="Times New Roman" w:cs="Times New Roman"/>
        </w:rPr>
        <w:t xml:space="preserve"> </w:t>
      </w:r>
      <w:r>
        <w:rPr>
          <w:rFonts w:ascii="Nirmala UI" w:hAnsi="Nirmala UI" w:eastAsia="Nirmala UI" w:cs="Nirmala UI"/>
        </w:rPr>
        <w:t>ഭാഗത്തും</w:t>
      </w:r>
      <w:r>
        <w:rPr>
          <w:rFonts w:ascii="Times New Roman" w:hAnsi="Times New Roman" w:eastAsia="Times New Roman" w:cs="Times New Roman"/>
        </w:rPr>
        <w:t xml:space="preserve"> </w:t>
      </w:r>
      <w:r>
        <w:rPr>
          <w:rFonts w:ascii="Nirmala UI" w:hAnsi="Nirmala UI" w:eastAsia="Nirmala UI" w:cs="Nirmala UI"/>
        </w:rPr>
        <w:t>നോഹയിലേക്കു</w:t>
      </w:r>
      <w:r>
        <w:rPr>
          <w:rFonts w:ascii="Times New Roman" w:hAnsi="Times New Roman" w:eastAsia="Times New Roman" w:cs="Times New Roman"/>
        </w:rPr>
        <w:t xml:space="preserve"> </w:t>
      </w:r>
      <w:r>
        <w:rPr>
          <w:rFonts w:ascii="Nirmala UI" w:hAnsi="Nirmala UI" w:eastAsia="Nirmala UI" w:cs="Nirmala UI"/>
        </w:rPr>
        <w:t>നയിക്കുന്ന</w:t>
      </w:r>
      <w:r>
        <w:rPr>
          <w:rFonts w:ascii="Times New Roman" w:hAnsi="Times New Roman" w:eastAsia="Times New Roman" w:cs="Times New Roman"/>
        </w:rPr>
        <w:t xml:space="preserve"> </w:t>
      </w:r>
      <w:r>
        <w:rPr>
          <w:rFonts w:ascii="Nirmala UI" w:hAnsi="Nirmala UI" w:eastAsia="Nirmala UI" w:cs="Nirmala UI"/>
        </w:rPr>
        <w:t>ഭാഗത്തും</w:t>
      </w:r>
      <w:r>
        <w:rPr>
          <w:rFonts w:ascii="Times New Roman" w:hAnsi="Times New Roman" w:eastAsia="Times New Roman" w:cs="Times New Roman"/>
        </w:rPr>
        <w:t xml:space="preserve"> </w:t>
      </w:r>
      <w:r>
        <w:rPr>
          <w:rFonts w:ascii="Nirmala UI" w:hAnsi="Nirmala UI" w:eastAsia="Nirmala UI" w:cs="Nirmala UI"/>
        </w:rPr>
        <w:t>നോഹീയവും</w:t>
      </w:r>
      <w:r>
        <w:rPr>
          <w:rFonts w:ascii="Times New Roman" w:hAnsi="Times New Roman" w:eastAsia="Times New Roman" w:cs="Times New Roman"/>
        </w:rPr>
        <w:t xml:space="preserve"> </w:t>
      </w:r>
      <w:r>
        <w:rPr>
          <w:rFonts w:ascii="Nirmala UI" w:hAnsi="Nirmala UI" w:eastAsia="Nirmala UI" w:cs="Nirmala UI"/>
        </w:rPr>
        <w:t>അബ്രാഹാമീയവും</w:t>
      </w:r>
      <w:r>
        <w:rPr>
          <w:rFonts w:ascii="Times New Roman" w:hAnsi="Times New Roman" w:eastAsia="Times New Roman" w:cs="Times New Roman"/>
        </w:rPr>
        <w:t xml:space="preserve"> </w:t>
      </w:r>
      <w:r>
        <w:rPr>
          <w:rFonts w:ascii="Nirmala UI" w:hAnsi="Nirmala UI" w:eastAsia="Nirmala UI" w:cs="Nirmala UI"/>
        </w:rPr>
        <w:t>ആയ</w:t>
      </w:r>
      <w:r>
        <w:rPr>
          <w:rFonts w:ascii="Times New Roman" w:hAnsi="Times New Roman" w:eastAsia="Times New Roman" w:cs="Times New Roman"/>
        </w:rPr>
        <w:t xml:space="preserve"> </w:t>
      </w:r>
      <w:r>
        <w:rPr>
          <w:rFonts w:ascii="Nirmala UI" w:hAnsi="Nirmala UI" w:eastAsia="Nirmala UI" w:cs="Nirmala UI"/>
        </w:rPr>
        <w:t>നിയമങ്ങൾ</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le passage du chapitre onze qui s’adresse à un peuple choisi, nous constatons que deux de ces générations sont chargées d’une grande lumière.</w:t>
      </w:r>
    </w:p>
    <w:p>
      <w:pPr>
        <w:pStyle w:val="ArticleScripture"/>
        <w:jc w:val="left"/>
      </w:pPr>
      <w:r>
        <w:rPr>
          <w:rFonts w:ascii="Times New Roman" w:hAnsi="Times New Roman" w:eastAsia="Times New Roman" w:cs="Times New Roman"/>
        </w:rPr>
        <w:t>Na Éber azaki mbula ntuku misato na minei, mpe abotaki Pelegi. Mpe Éber awumelaki sima ya kobota Pelegi mbula nkama minei na ntuku misato, mpe abotaki bana mibali mpe bana basi. Mpe Pelegi azaki mbula ntuku misato, mpe abotaki Reu. Genese 11:16–19.</w:t>
      </w:r>
    </w:p>
    <w:p>
      <w:pPr>
        <w:pStyle w:val="ArticleBody"/>
        <w:jc w:val="left"/>
      </w:pPr>
      <w:r>
        <w:rPr>
          <w:rFonts w:ascii="Times New Roman" w:hAnsi="Times New Roman" w:eastAsia="Times New Roman" w:cs="Times New Roman"/>
        </w:rPr>
        <w:t xml:space="preserve">Eber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“Hebrew”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वंशजों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Hebrew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Eber </w:t>
      </w:r>
      <w:r>
        <w:rPr>
          <w:rFonts w:ascii="Nirmala UI" w:hAnsi="Nirmala UI" w:eastAsia="Nirmala UI" w:cs="Nirmala UI"/>
        </w:rPr>
        <w:t>और</w:t>
      </w:r>
      <w:r>
        <w:rPr>
          <w:rFonts w:ascii="Times New Roman" w:hAnsi="Times New Roman" w:eastAsia="Times New Roman" w:cs="Times New Roman"/>
        </w:rPr>
        <w:t xml:space="preserve"> Peleg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Hebrew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विशिष्टता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Eber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“Hebrew”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Abram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Babylon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प्रतिज्ञात</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“Peleg”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बँटवारा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Genesis 10:25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उल्लिखित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Peleg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Éber et Péleg représentent une division prophétique pour ceux qui désirent dispenser droitement la parole de vérité. La généalogie de Noé a produit deux lignées de huit, lesquelles représentaient deux séries de quatre générations, tout comme les 430 années en Égypte. La généalogie de Genèse onze est représentée par dix, et non par huit, car elle est la généalogie d’un peuple élu. Le peuple élu est divisé en deux groupes de cinq, s’accordant ainsi avec la parabole des dix vierges, laquelle est la parabole du peuple de l’alliance de Dieu.</w:t>
      </w:r>
    </w:p>
    <w:p>
      <w:pPr>
        <w:pStyle w:val="ArticleBody"/>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गुम्मट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पेलेग</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एबेर</w:t>
      </w:r>
      <w:r>
        <w:rPr>
          <w:rFonts w:ascii="Times New Roman" w:hAnsi="Times New Roman" w:eastAsia="Times New Roman" w:cs="Times New Roman"/>
        </w:rPr>
        <w:t xml:space="preserve"> </w:t>
      </w:r>
      <w:r>
        <w:rPr>
          <w:rFonts w:ascii="Nirmala UI" w:hAnsi="Nirmala UI" w:eastAsia="Nirmala UI" w:cs="Nirmala UI"/>
        </w:rPr>
        <w:t>इब्री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उतरकर</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कुँवारी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एबेर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इब्री</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इब्री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Mfano wa wanawali kumi unawakilishwa kwa Eberi na Pelegi wakionyesha wito wa kutoka, muda mfupi kabla ya mstari wa mgawanyiko wa Pelegi kufunga mlango wa rehema. Katika uhusiano wa kinabii, Eberi aliishi miaka 430 baada ya Pelegi, ambaye kisha aliishi miaka 30. Hatua ya kwanza ya agano la pande tatu la Abramu iliwasilishwa na Eberi na Pelegi. Abramu, kama Eberi na Pelegi, kama mstari wa mgawanyiko kati ya makundi mawili. Nyongeza ya Paulo katika unabii wa Abramu ni nyongeza ya Pelegi katika unabii wa Eberi. Eberi alitangaza miaka 400, lakini Pelegi alitambulisha miaka 430. Kwa hiyo Pelegi alimwakilisha Paulo, na nyongeza ya Paulo ya miaka 30 kwa ile miaka 400, nayo huduma ya Paulo ilikuwa kuitambulisha Pelegi wa unabii wa Biblia. “Pelegi” wa unabii wa Biblia ambaye Paulo alimtambulisha aliwakilisha mgawanyiko wa taifa kutoka katika hali ya halisi kwenda katika hali ya kiroho.</w:t>
      </w:r>
    </w:p>
    <w:p>
      <w:pPr>
        <w:pStyle w:val="ArticleBody"/>
        <w:jc w:val="left"/>
      </w:pPr>
      <w:r>
        <w:rPr>
          <w:rFonts w:ascii="Times New Roman" w:hAnsi="Times New Roman" w:eastAsia="Times New Roman" w:cs="Times New Roman"/>
        </w:rPr>
        <w:t>Aus Sem bis Peleg sind es fünf Nachkommen, und von Rue bis Abram sind es fünf.</w:t>
      </w:r>
    </w:p>
    <w:p>
      <w:pPr>
        <w:pStyle w:val="ArticleScripture"/>
        <w:jc w:val="left"/>
      </w:pPr>
      <w:r>
        <w:rPr>
          <w:rFonts w:ascii="Times New Roman" w:hAnsi="Times New Roman" w:eastAsia="Times New Roman" w:cs="Times New Roman"/>
        </w:rPr>
        <w:t>Naye akamwambia Abramu, “Jua yakini kwamba uzao wako utakuwa mgeni katika nchi isiyo yao, nao watawatumikia wenyeji wake; nao watawaonea miaka mia nne.” Mwanzo 15:13.</w:t>
      </w:r>
    </w:p>
    <w:p>
      <w:pPr>
        <w:pStyle w:val="ArticleScripture"/>
        <w:jc w:val="left"/>
      </w:pPr>
      <w:r>
        <w:rPr>
          <w:rFonts w:ascii="Times New Roman" w:hAnsi="Times New Roman" w:eastAsia="Times New Roman" w:cs="Times New Roman"/>
        </w:rPr>
        <w:t>Demain yε Abraham mo ne ne aba no na wɔhyɛɛ bɔ no. Ɔnka sɛ, “na wo mma no,” sɛnea ɛkyerɛ bebree; na mmom sɛnea ɛkyerɛ baako no, “na w’aba no,” a ɔno ne Kristo. Na eyi na meka yi: apam a Onyankopɔn dii kan maa so wɔ Kristo mu no, mmara a ɛbae mfe ahanan aduasa akyi no ntumi ngu so, na ɛmma bɔ no nyɛ kwa. Na sɛ agyapade no fi mmara no mu a, ɛnyɛ bɔ bio; nanso Onyankopɔn nam bɔ so na ɔde maa Abraham. Galatifo 3:16–18.</w:t>
      </w:r>
    </w:p>
    <w:p>
      <w:pPr>
        <w:pStyle w:val="ArticleBody"/>
        <w:jc w:val="left"/>
      </w:pPr>
      <w:r>
        <w:rPr>
          <w:rFonts w:ascii="Times New Roman" w:hAnsi="Times New Roman" w:eastAsia="Times New Roman" w:cs="Times New Roman"/>
        </w:rPr>
        <w:t>פֿינף־און־דרײַסיק יאָר אַלט</w:t>
      </w:r>
    </w:p>
    <w:p>
      <w:pPr>
        <w:pStyle w:val="ArticleBody"/>
        <w:jc w:val="left"/>
      </w:pPr>
      <w:r>
        <w:rPr>
          <w:rFonts w:ascii="Times New Roman" w:hAnsi="Times New Roman" w:eastAsia="Times New Roman" w:cs="Times New Roman"/>
        </w:rPr>
        <w:t>Yesu alikuwa na umri wa miaka thelathini alipoanza huduma Yake.</w:t>
      </w:r>
    </w:p>
    <w:p>
      <w:pPr>
        <w:pStyle w:val="ArticleScripture"/>
        <w:jc w:val="left"/>
      </w:pPr>
      <w:r>
        <w:rPr>
          <w:rFonts w:ascii="Times New Roman" w:hAnsi="Times New Roman" w:eastAsia="Times New Roman" w:cs="Times New Roman"/>
        </w:rPr>
        <w:t>Et Jésus lui-même commençait à être âgé d’environ trente ans, étant, comme on le croyait, fils de Joseph, fils d’Héli. Luc 3:23.</w:t>
      </w:r>
    </w:p>
    <w:p>
      <w:pPr>
        <w:pStyle w:val="ArticleBody"/>
        <w:jc w:val="left"/>
      </w:pPr>
      <w:r>
        <w:rPr>
          <w:rFonts w:ascii="Nirmala UI" w:hAnsi="Nirmala UI" w:eastAsia="Nirmala UI" w:cs="Nirmala UI"/>
        </w:rPr>
        <w:t>യോസേഫ്</w:t>
      </w:r>
      <w:r>
        <w:rPr>
          <w:rFonts w:ascii="Times New Roman" w:hAnsi="Times New Roman" w:eastAsia="Times New Roman" w:cs="Times New Roman"/>
        </w:rPr>
        <w:t xml:space="preserve"> </w:t>
      </w:r>
      <w:r>
        <w:rPr>
          <w:rFonts w:ascii="Nirmala UI" w:hAnsi="Nirmala UI" w:eastAsia="Nirmala UI" w:cs="Nirmala UI"/>
        </w:rPr>
        <w:t>മുപ്പത്</w:t>
      </w:r>
      <w:r>
        <w:rPr>
          <w:rFonts w:ascii="Times New Roman" w:hAnsi="Times New Roman" w:eastAsia="Times New Roman" w:cs="Times New Roman"/>
        </w:rPr>
        <w:t xml:space="preserve"> </w:t>
      </w:r>
      <w:r>
        <w:rPr>
          <w:rFonts w:ascii="Nirmala UI" w:hAnsi="Nirmala UI" w:eastAsia="Nirmala UI" w:cs="Nirmala UI"/>
        </w:rPr>
        <w:t>വയസ്സായപ്പോൾ</w:t>
      </w:r>
      <w:r>
        <w:rPr>
          <w:rFonts w:ascii="Times New Roman" w:hAnsi="Times New Roman" w:eastAsia="Times New Roman" w:cs="Times New Roman"/>
        </w:rPr>
        <w:t xml:space="preserve"> </w:t>
      </w:r>
      <w:r>
        <w:rPr>
          <w:rFonts w:ascii="Nirmala UI" w:hAnsi="Nirmala UI" w:eastAsia="Nirmala UI" w:cs="Nirmala UI"/>
        </w:rPr>
        <w:t>മിസ്രയീമിൽ</w:t>
      </w:r>
      <w:r>
        <w:rPr>
          <w:rFonts w:ascii="Times New Roman" w:hAnsi="Times New Roman" w:eastAsia="Times New Roman" w:cs="Times New Roman"/>
        </w:rPr>
        <w:t xml:space="preserve"> </w:t>
      </w:r>
      <w:r>
        <w:rPr>
          <w:rFonts w:ascii="Nirmala UI" w:hAnsi="Nirmala UI" w:eastAsia="Nirmala UI" w:cs="Nirmala UI"/>
        </w:rPr>
        <w:t>ഫറവോനെ</w:t>
      </w:r>
      <w:r>
        <w:rPr>
          <w:rFonts w:ascii="Times New Roman" w:hAnsi="Times New Roman" w:eastAsia="Times New Roman" w:cs="Times New Roman"/>
        </w:rPr>
        <w:t xml:space="preserve"> </w:t>
      </w:r>
      <w:r>
        <w:rPr>
          <w:rFonts w:ascii="Nirmala UI" w:hAnsi="Nirmala UI" w:eastAsia="Nirmala UI" w:cs="Nirmala UI"/>
        </w:rPr>
        <w:t>സേവിക്കാൻ</w:t>
      </w:r>
      <w:r>
        <w:rPr>
          <w:rFonts w:ascii="Times New Roman" w:hAnsi="Times New Roman" w:eastAsia="Times New Roman" w:cs="Times New Roman"/>
        </w:rPr>
        <w:t xml:space="preserve"> </w:t>
      </w:r>
      <w:r>
        <w:rPr>
          <w:rFonts w:ascii="Nirmala UI" w:hAnsi="Nirmala UI" w:eastAsia="Nirmala UI" w:cs="Nirmala UI"/>
        </w:rPr>
        <w:t>തുടങ്ങി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Joseph était âgé de trente ans lorsqu’il se tint devant Pharaon, roi d’Égypte. Puis Joseph se retira de devant Pharaon et parcourut tout le pays d’Égypte. Genèse 41:46.</w:t>
      </w:r>
    </w:p>
    <w:p>
      <w:pPr>
        <w:pStyle w:val="ArticleBody"/>
        <w:jc w:val="left"/>
      </w:pPr>
      <w:r>
        <w:rPr>
          <w:rFonts w:ascii="Times New Roman" w:hAnsi="Times New Roman" w:eastAsia="Times New Roman" w:cs="Times New Roman"/>
        </w:rPr>
        <w:t>Neema Sɛnkani Hesekiel dii mfe aduasa bere a ofii n’asomdwoe ase, na n’asomdwoe no kɔɔ so mfe aduonu abien.</w:t>
      </w:r>
    </w:p>
    <w:p>
      <w:pPr>
        <w:pStyle w:val="ArticleScripture"/>
        <w:jc w:val="left"/>
      </w:pPr>
      <w:r>
        <w:rPr>
          <w:rFonts w:ascii="Times New Roman" w:hAnsi="Times New Roman" w:eastAsia="Times New Roman" w:cs="Times New Roman"/>
        </w:rPr>
        <w:t>Oo sa diragile mo ikaruarua a taon, iti maikappat a bulan, iti maikalima nga aldaw ti bulan, idi addaak kadagiti naipapanaw a kas balud iti igid ti karayan ti Chebar, nalukatan dagiti langit, ket nakitak dagiti sirmata ti Dios. Ezekiel 1:1.</w:t>
      </w:r>
    </w:p>
    <w:p>
      <w:pPr>
        <w:pStyle w:val="ArticleBody"/>
        <w:jc w:val="left"/>
      </w:pPr>
      <w:r>
        <w:rPr>
          <w:rFonts w:ascii="Nirmala UI" w:hAnsi="Nirmala UI" w:eastAsia="Nirmala UI" w:cs="Nirmala UI"/>
        </w:rPr>
        <w:t>ఆదికాలిక</w:t>
      </w:r>
      <w:r>
        <w:rPr>
          <w:rFonts w:ascii="Times New Roman" w:hAnsi="Times New Roman" w:eastAsia="Times New Roman" w:cs="Times New Roman"/>
        </w:rPr>
        <w:t xml:space="preserve"> </w:t>
      </w:r>
      <w:r>
        <w:rPr>
          <w:rFonts w:ascii="Nirmala UI" w:hAnsi="Nirmala UI" w:eastAsia="Nirmala UI" w:cs="Nirmala UI"/>
        </w:rPr>
        <w:t>సూచనలను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రచనలలో</w:t>
      </w:r>
      <w:r>
        <w:rPr>
          <w:rFonts w:ascii="Times New Roman" w:hAnsi="Times New Roman" w:eastAsia="Times New Roman" w:cs="Times New Roman"/>
        </w:rPr>
        <w:t xml:space="preserve"> </w:t>
      </w:r>
      <w:r>
        <w:rPr>
          <w:rFonts w:ascii="Nirmala UI" w:hAnsi="Nirmala UI" w:eastAsia="Nirmala UI" w:cs="Nirmala UI"/>
        </w:rPr>
        <w:t>ఇతర</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ప్రవక్తకన్నా</w:t>
      </w:r>
      <w:r>
        <w:rPr>
          <w:rFonts w:ascii="Times New Roman" w:hAnsi="Times New Roman" w:eastAsia="Times New Roman" w:cs="Times New Roman"/>
        </w:rPr>
        <w:t xml:space="preserve"> </w:t>
      </w:r>
      <w:r>
        <w:rPr>
          <w:rFonts w:ascii="Nirmala UI" w:hAnsi="Nirmala UI" w:eastAsia="Nirmala UI" w:cs="Nirmala UI"/>
        </w:rPr>
        <w:t>ఎక్కువగా</w:t>
      </w:r>
      <w:r>
        <w:rPr>
          <w:rFonts w:ascii="Times New Roman" w:hAnsi="Times New Roman" w:eastAsia="Times New Roman" w:cs="Times New Roman"/>
        </w:rPr>
        <w:t xml:space="preserve"> </w:t>
      </w:r>
      <w:r>
        <w:rPr>
          <w:rFonts w:ascii="Nirmala UI" w:hAnsi="Nirmala UI" w:eastAsia="Nirmala UI" w:cs="Nirmala UI"/>
        </w:rPr>
        <w:t>యెహెజ్కేలు</w:t>
      </w:r>
      <w:r>
        <w:rPr>
          <w:rFonts w:ascii="Times New Roman" w:hAnsi="Times New Roman" w:eastAsia="Times New Roman" w:cs="Times New Roman"/>
        </w:rPr>
        <w:t xml:space="preserve"> </w:t>
      </w:r>
      <w:r>
        <w:rPr>
          <w:rFonts w:ascii="Nirmala UI" w:hAnsi="Nirmala UI" w:eastAsia="Nirmala UI" w:cs="Nirmala UI"/>
        </w:rPr>
        <w:t>కలిగియున్నాడు</w:t>
      </w:r>
      <w:r>
        <w:rPr>
          <w:rFonts w:ascii="Times New Roman" w:hAnsi="Times New Roman" w:eastAsia="Times New Roman" w:cs="Times New Roman"/>
        </w:rPr>
        <w:t xml:space="preserve">. </w:t>
      </w:r>
      <w:r>
        <w:rPr>
          <w:rFonts w:ascii="Nirmala UI" w:hAnsi="Nirmala UI" w:eastAsia="Nirmala UI" w:cs="Nirmala UI"/>
        </w:rPr>
        <w:t>యెహెజ్కేలు</w:t>
      </w:r>
      <w:r>
        <w:rPr>
          <w:rFonts w:ascii="Times New Roman" w:hAnsi="Times New Roman" w:eastAsia="Times New Roman" w:cs="Times New Roman"/>
        </w:rPr>
        <w:t xml:space="preserve"> </w:t>
      </w:r>
      <w:r>
        <w:rPr>
          <w:rFonts w:ascii="Nirmala UI" w:hAnsi="Nirmala UI" w:eastAsia="Nirmala UI" w:cs="Nirmala UI"/>
        </w:rPr>
        <w:t>గ్రంథరచనలలో</w:t>
      </w:r>
      <w:r>
        <w:rPr>
          <w:rFonts w:ascii="Times New Roman" w:hAnsi="Times New Roman" w:eastAsia="Times New Roman" w:cs="Times New Roman"/>
        </w:rPr>
        <w:t xml:space="preserve"> </w:t>
      </w:r>
      <w:r>
        <w:rPr>
          <w:rFonts w:ascii="Nirmala UI" w:hAnsi="Nirmala UI" w:eastAsia="Nirmala UI" w:cs="Nirmala UI"/>
        </w:rPr>
        <w:t>నిర్ధారించదగిన</w:t>
      </w:r>
      <w:r>
        <w:rPr>
          <w:rFonts w:ascii="Times New Roman" w:hAnsi="Times New Roman" w:eastAsia="Times New Roman" w:cs="Times New Roman"/>
        </w:rPr>
        <w:t xml:space="preserve"> </w:t>
      </w:r>
      <w:r>
        <w:rPr>
          <w:rFonts w:ascii="Nirmala UI" w:hAnsi="Nirmala UI" w:eastAsia="Nirmala UI" w:cs="Nirmala UI"/>
        </w:rPr>
        <w:t>తేదీలకు</w:t>
      </w:r>
      <w:r>
        <w:rPr>
          <w:rFonts w:ascii="Times New Roman" w:hAnsi="Times New Roman" w:eastAsia="Times New Roman" w:cs="Times New Roman"/>
        </w:rPr>
        <w:t xml:space="preserve"> </w:t>
      </w:r>
      <w:r>
        <w:rPr>
          <w:rFonts w:ascii="Nirmala UI" w:hAnsi="Nirmala UI" w:eastAsia="Nirmala UI" w:cs="Nirmala UI"/>
        </w:rPr>
        <w:t>పదమూడు</w:t>
      </w:r>
      <w:r>
        <w:rPr>
          <w:rFonts w:ascii="Times New Roman" w:hAnsi="Times New Roman" w:eastAsia="Times New Roman" w:cs="Times New Roman"/>
        </w:rPr>
        <w:t xml:space="preserve"> </w:t>
      </w:r>
      <w:r>
        <w:rPr>
          <w:rFonts w:ascii="Nirmala UI" w:hAnsi="Nirmala UI" w:eastAsia="Nirmala UI" w:cs="Nirmala UI"/>
        </w:rPr>
        <w:t>ప్రత్యక్ష</w:t>
      </w:r>
      <w:r>
        <w:rPr>
          <w:rFonts w:ascii="Times New Roman" w:hAnsi="Times New Roman" w:eastAsia="Times New Roman" w:cs="Times New Roman"/>
        </w:rPr>
        <w:t xml:space="preserve"> </w:t>
      </w:r>
      <w:r>
        <w:rPr>
          <w:rFonts w:ascii="Nirmala UI" w:hAnsi="Nirmala UI" w:eastAsia="Nirmala UI" w:cs="Nirmala UI"/>
        </w:rPr>
        <w:t>సూచనలు</w:t>
      </w:r>
      <w:r>
        <w:rPr>
          <w:rFonts w:ascii="Times New Roman" w:hAnsi="Times New Roman" w:eastAsia="Times New Roman" w:cs="Times New Roman"/>
        </w:rPr>
        <w:t xml:space="preserve"> </w:t>
      </w:r>
      <w:r>
        <w:rPr>
          <w:rFonts w:ascii="Nirmala UI" w:hAnsi="Nirmala UI" w:eastAsia="Nirmala UI" w:cs="Nirmala UI"/>
        </w:rPr>
        <w:t>ఉన్నాయి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తెలియకుండనే</w:t>
      </w:r>
      <w:r>
        <w:rPr>
          <w:rFonts w:ascii="Times New Roman" w:hAnsi="Times New Roman" w:eastAsia="Times New Roman" w:cs="Times New Roman"/>
        </w:rPr>
        <w:t xml:space="preserve">, </w:t>
      </w:r>
      <w:r>
        <w:rPr>
          <w:rFonts w:ascii="Nirmala UI" w:hAnsi="Nirmala UI" w:eastAsia="Nirmala UI" w:cs="Nirmala UI"/>
        </w:rPr>
        <w:t>బైబిలు</w:t>
      </w:r>
      <w:r>
        <w:rPr>
          <w:rFonts w:ascii="Times New Roman" w:hAnsi="Times New Roman" w:eastAsia="Times New Roman" w:cs="Times New Roman"/>
        </w:rPr>
        <w:t xml:space="preserve"> </w:t>
      </w:r>
      <w:r>
        <w:rPr>
          <w:rFonts w:ascii="Nirmala UI" w:hAnsi="Nirmala UI" w:eastAsia="Nirmala UI" w:cs="Nirmala UI"/>
        </w:rPr>
        <w:t>పండితులు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చరిత్రకారులు</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పరిచర్య</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కొనసాగినదని</w:t>
      </w:r>
      <w:r>
        <w:rPr>
          <w:rFonts w:ascii="Times New Roman" w:hAnsi="Times New Roman" w:eastAsia="Times New Roman" w:cs="Times New Roman"/>
        </w:rPr>
        <w:t xml:space="preserve"> </w:t>
      </w:r>
      <w:r>
        <w:rPr>
          <w:rFonts w:ascii="Nirmala UI" w:hAnsi="Nirmala UI" w:eastAsia="Nirmala UI" w:cs="Nirmala UI"/>
        </w:rPr>
        <w:t>ధృవీకరించుచున్నారు</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w:t>
      </w:r>
      <w:r>
        <w:rPr>
          <w:rFonts w:ascii="Times New Roman" w:hAnsi="Times New Roman" w:eastAsia="Times New Roman" w:cs="Times New Roman"/>
        </w:rPr>
        <w:t xml:space="preserve"> </w:t>
      </w:r>
      <w:r>
        <w:rPr>
          <w:rFonts w:ascii="Nirmala UI" w:hAnsi="Nirmala UI" w:eastAsia="Nirmala UI" w:cs="Nirmala UI"/>
        </w:rPr>
        <w:t>మందికి</w:t>
      </w:r>
      <w:r>
        <w:rPr>
          <w:rFonts w:ascii="Times New Roman" w:hAnsi="Times New Roman" w:eastAsia="Times New Roman" w:cs="Times New Roman"/>
        </w:rPr>
        <w:t xml:space="preserve"> </w:t>
      </w:r>
      <w:r>
        <w:rPr>
          <w:rFonts w:ascii="Nirmala UI" w:hAnsi="Nirmala UI" w:eastAsia="Nirmala UI" w:cs="Nirmala UI"/>
        </w:rPr>
        <w:t>సూచకమని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తెలిసికొనరు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Mfumu Davide aali na myaka makumi asatu bwe yatandika okufuga, era yafuga emyaka amakumi ana.</w:t>
      </w:r>
    </w:p>
    <w:p>
      <w:pPr>
        <w:pStyle w:val="ArticleScripture"/>
        <w:jc w:val="left"/>
      </w:pPr>
      <w:r>
        <w:rPr>
          <w:rFonts w:ascii="Myanmar Text" w:hAnsi="Myanmar Text" w:eastAsia="Myanmar Text" w:cs="Myanmar Text"/>
        </w:rPr>
        <w:t>ဒါဝိဒ်သည်</w:t>
      </w:r>
      <w:r>
        <w:rPr>
          <w:rFonts w:ascii="Times New Roman" w:hAnsi="Times New Roman" w:eastAsia="Times New Roman" w:cs="Times New Roman"/>
        </w:rPr>
        <w:t xml:space="preserve"> </w:t>
      </w:r>
      <w:r>
        <w:rPr>
          <w:rFonts w:ascii="Myanmar Text" w:hAnsi="Myanmar Text" w:eastAsia="Myanmar Text" w:cs="Myanmar Text"/>
        </w:rPr>
        <w:t>နန်းစတင်စိုးစံသောအခါ</w:t>
      </w:r>
      <w:r>
        <w:rPr>
          <w:rFonts w:ascii="Times New Roman" w:hAnsi="Times New Roman" w:eastAsia="Times New Roman" w:cs="Times New Roman"/>
        </w:rPr>
        <w:t xml:space="preserve"> </w:t>
      </w:r>
      <w:r>
        <w:rPr>
          <w:rFonts w:ascii="Myanmar Text" w:hAnsi="Myanmar Text" w:eastAsia="Myanmar Text" w:cs="Myanmar Text"/>
        </w:rPr>
        <w:t>အသက်သုံးဆယ်ရှိ၏၊</w:t>
      </w:r>
      <w:r>
        <w:rPr>
          <w:rFonts w:ascii="Times New Roman" w:hAnsi="Times New Roman" w:eastAsia="Times New Roman" w:cs="Times New Roman"/>
        </w:rPr>
        <w:t xml:space="preserve"> </w:t>
      </w:r>
      <w:r>
        <w:rPr>
          <w:rFonts w:ascii="Myanmar Text" w:hAnsi="Myanmar Text" w:eastAsia="Myanmar Text" w:cs="Myanmar Text"/>
        </w:rPr>
        <w:t>စုစုပေါင်း</w:t>
      </w:r>
      <w:r>
        <w:rPr>
          <w:rFonts w:ascii="Times New Roman" w:hAnsi="Times New Roman" w:eastAsia="Times New Roman" w:cs="Times New Roman"/>
        </w:rPr>
        <w:t xml:space="preserve"> </w:t>
      </w:r>
      <w:r>
        <w:rPr>
          <w:rFonts w:ascii="Myanmar Text" w:hAnsi="Myanmar Text" w:eastAsia="Myanmar Text" w:cs="Myanmar Text"/>
        </w:rPr>
        <w:t>လေးဆယ်နှစ်</w:t>
      </w:r>
      <w:r>
        <w:rPr>
          <w:rFonts w:ascii="Times New Roman" w:hAnsi="Times New Roman" w:eastAsia="Times New Roman" w:cs="Times New Roman"/>
        </w:rPr>
        <w:t xml:space="preserve"> </w:t>
      </w:r>
      <w:r>
        <w:rPr>
          <w:rFonts w:ascii="Myanmar Text" w:hAnsi="Myanmar Text" w:eastAsia="Myanmar Text" w:cs="Myanmar Text"/>
        </w:rPr>
        <w:t>စိုးစံလေ၏။</w:t>
      </w:r>
      <w:r>
        <w:rPr>
          <w:rFonts w:ascii="Times New Roman" w:hAnsi="Times New Roman" w:eastAsia="Times New Roman" w:cs="Times New Roman"/>
        </w:rPr>
        <w:t xml:space="preserve"> </w:t>
      </w:r>
      <w:r>
        <w:rPr>
          <w:rFonts w:ascii="Myanmar Text" w:hAnsi="Myanmar Text" w:eastAsia="Myanmar Text" w:cs="Myanmar Text"/>
        </w:rPr>
        <w:t>ဟေဗြုန်မြို့၌</w:t>
      </w:r>
      <w:r>
        <w:rPr>
          <w:rFonts w:ascii="Times New Roman" w:hAnsi="Times New Roman" w:eastAsia="Times New Roman" w:cs="Times New Roman"/>
        </w:rPr>
        <w:t xml:space="preserve"> </w:t>
      </w:r>
      <w:r>
        <w:rPr>
          <w:rFonts w:ascii="Myanmar Text" w:hAnsi="Myanmar Text" w:eastAsia="Myanmar Text" w:cs="Myanmar Text"/>
        </w:rPr>
        <w:t>ယုဒအမျိုးအပေါ်</w:t>
      </w:r>
      <w:r>
        <w:rPr>
          <w:rFonts w:ascii="Times New Roman" w:hAnsi="Times New Roman" w:eastAsia="Times New Roman" w:cs="Times New Roman"/>
        </w:rPr>
        <w:t xml:space="preserve"> </w:t>
      </w:r>
      <w:r>
        <w:rPr>
          <w:rFonts w:ascii="Myanmar Text" w:hAnsi="Myanmar Text" w:eastAsia="Myanmar Text" w:cs="Myanmar Text"/>
        </w:rPr>
        <w:t>ခုနစ်နှစ်နှင့်</w:t>
      </w:r>
      <w:r>
        <w:rPr>
          <w:rFonts w:ascii="Times New Roman" w:hAnsi="Times New Roman" w:eastAsia="Times New Roman" w:cs="Times New Roman"/>
        </w:rPr>
        <w:t xml:space="preserve"> </w:t>
      </w:r>
      <w:r>
        <w:rPr>
          <w:rFonts w:ascii="Myanmar Text" w:hAnsi="Myanmar Text" w:eastAsia="Myanmar Text" w:cs="Myanmar Text"/>
        </w:rPr>
        <w:t>ခြောက်လ</w:t>
      </w:r>
      <w:r>
        <w:rPr>
          <w:rFonts w:ascii="Times New Roman" w:hAnsi="Times New Roman" w:eastAsia="Times New Roman" w:cs="Times New Roman"/>
        </w:rPr>
        <w:t xml:space="preserve"> </w:t>
      </w:r>
      <w:r>
        <w:rPr>
          <w:rFonts w:ascii="Myanmar Text" w:hAnsi="Myanmar Text" w:eastAsia="Myanmar Text" w:cs="Myanmar Text"/>
        </w:rPr>
        <w:t>စိုးစံလေ၏။</w:t>
      </w:r>
      <w:r>
        <w:rPr>
          <w:rFonts w:ascii="Times New Roman" w:hAnsi="Times New Roman" w:eastAsia="Times New Roman" w:cs="Times New Roman"/>
        </w:rPr>
        <w:t xml:space="preserve"> </w:t>
      </w:r>
      <w:r>
        <w:rPr>
          <w:rFonts w:ascii="Myanmar Text" w:hAnsi="Myanmar Text" w:eastAsia="Myanmar Text" w:cs="Myanmar Text"/>
        </w:rPr>
        <w:t>ယေရုရှလင်မြို့၌မူ</w:t>
      </w:r>
      <w:r>
        <w:rPr>
          <w:rFonts w:ascii="Times New Roman" w:hAnsi="Times New Roman" w:eastAsia="Times New Roman" w:cs="Times New Roman"/>
        </w:rPr>
        <w:t xml:space="preserve"> </w:t>
      </w:r>
      <w:r>
        <w:rPr>
          <w:rFonts w:ascii="Myanmar Text" w:hAnsi="Myanmar Text" w:eastAsia="Myanmar Text" w:cs="Myanmar Text"/>
        </w:rPr>
        <w:t>ဣသရေလနှင့်</w:t>
      </w:r>
      <w:r>
        <w:rPr>
          <w:rFonts w:ascii="Times New Roman" w:hAnsi="Times New Roman" w:eastAsia="Times New Roman" w:cs="Times New Roman"/>
        </w:rPr>
        <w:t xml:space="preserve"> </w:t>
      </w:r>
      <w:r>
        <w:rPr>
          <w:rFonts w:ascii="Myanmar Text" w:hAnsi="Myanmar Text" w:eastAsia="Myanmar Text" w:cs="Myanmar Text"/>
        </w:rPr>
        <w:t>ယုဒအမျိုးသားအပေါင်းတို့အပေါ်</w:t>
      </w:r>
      <w:r>
        <w:rPr>
          <w:rFonts w:ascii="Times New Roman" w:hAnsi="Times New Roman" w:eastAsia="Times New Roman" w:cs="Times New Roman"/>
        </w:rPr>
        <w:t xml:space="preserve"> </w:t>
      </w:r>
      <w:r>
        <w:rPr>
          <w:rFonts w:ascii="Myanmar Text" w:hAnsi="Myanmar Text" w:eastAsia="Myanmar Text" w:cs="Myanmar Text"/>
        </w:rPr>
        <w:t>သုံးဆယ့်သုံးနှစ်</w:t>
      </w:r>
      <w:r>
        <w:rPr>
          <w:rFonts w:ascii="Times New Roman" w:hAnsi="Times New Roman" w:eastAsia="Times New Roman" w:cs="Times New Roman"/>
        </w:rPr>
        <w:t xml:space="preserve"> </w:t>
      </w:r>
      <w:r>
        <w:rPr>
          <w:rFonts w:ascii="Myanmar Text" w:hAnsi="Myanmar Text" w:eastAsia="Myanmar Text" w:cs="Myanmar Text"/>
        </w:rPr>
        <w:t>စိုးစံလေ၏။</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ရှမွေလ</w:t>
      </w:r>
      <w:r>
        <w:rPr>
          <w:rFonts w:ascii="Times New Roman" w:hAnsi="Times New Roman" w:eastAsia="Times New Roman" w:cs="Times New Roman"/>
        </w:rPr>
        <w:t xml:space="preserve"> </w:t>
      </w:r>
      <w:r>
        <w:rPr>
          <w:rFonts w:ascii="Myanmar Text" w:hAnsi="Myanmar Text" w:eastAsia="Myanmar Text" w:cs="Myanmar Text"/>
        </w:rPr>
        <w:t>၅</w:t>
      </w:r>
      <w:r>
        <w:rPr>
          <w:rFonts w:ascii="Times New Roman" w:hAnsi="Times New Roman" w:eastAsia="Times New Roman" w:cs="Times New Roman"/>
        </w:rPr>
        <w:t>:</w:t>
      </w:r>
      <w:r>
        <w:rPr>
          <w:rFonts w:ascii="Myanmar Text" w:hAnsi="Myanmar Text" w:eastAsia="Myanmar Text" w:cs="Myanmar Text"/>
        </w:rPr>
        <w:t>၄၊</w:t>
      </w:r>
      <w:r>
        <w:rPr>
          <w:rFonts w:ascii="Times New Roman" w:hAnsi="Times New Roman" w:eastAsia="Times New Roman" w:cs="Times New Roman"/>
        </w:rPr>
        <w:t xml:space="preserve"> </w:t>
      </w:r>
      <w:r>
        <w:rPr>
          <w:rFonts w:ascii="Myanmar Text" w:hAnsi="Myanmar Text" w:eastAsia="Myanmar Text" w:cs="Myanmar Text"/>
        </w:rPr>
        <w:t>၅။</w:t>
      </w:r>
    </w:p>
    <w:p>
      <w:pPr>
        <w:pStyle w:val="ArticleBody"/>
        <w:jc w:val="left"/>
      </w:pPr>
      <w:r>
        <w:rPr>
          <w:rFonts w:ascii="Times New Roman" w:hAnsi="Times New Roman" w:eastAsia="Times New Roman" w:cs="Times New Roman"/>
        </w:rPr>
        <w:t>Reignidh Dhaibhidh de dhà-fhichead bliadhna is àireamh shamhlaich, agus tha an ùine de 40 cosmhail ri 430 bliadhna Abraim agus Phòil, oir tha na 40 bliadhna air an roinn ann an dà earrann (7 bliadhna gu leth agus 33 bliadhna). Tha ceist-fhàisneachd a bharrachd anns an dà ùine de rìoghachadh Dhaibhidh de dhà-fhichead bliadhna, oir tha fianais eile bhìoballach a’ clàradh an dà ùine sin mar sheachd bliadhna agus trì-bliadhna-deug ar fhichead. Dè tha na sia mìosan a bharrachd anns an Dàrna Leabhar Shamueil a’ riochdachadh, agus ciamar a tha 7.5 agus 33 co-ionann ri 40? Tha tar-chòmhdach de shia mìosan ann a dh’fheumas fìrinn fhàidheadaireil a riochdachadh.</w:t>
      </w:r>
    </w:p>
    <w:p>
      <w:pPr>
        <w:pStyle w:val="ArticleScripture"/>
        <w:jc w:val="left"/>
      </w:pPr>
      <w:r>
        <w:rPr>
          <w:rFonts w:ascii="Times New Roman" w:hAnsi="Times New Roman" w:eastAsia="Times New Roman" w:cs="Times New Roman"/>
        </w:rPr>
        <w:t>Na siku ambazo Daudi alitawala juu ya Israeli zilikuwa miaka arobaini: miaka saba alitawala huko Hebroni, na miaka thelathini na mitatu alitawala huko Yerusalemu. 1 Wafalme 2:11.</w:t>
      </w:r>
    </w:p>
    <w:p>
      <w:pPr>
        <w:pStyle w:val="ArticleBody"/>
        <w:jc w:val="left"/>
      </w:pPr>
      <w:r>
        <w:rPr>
          <w:rFonts w:ascii="Times New Roman" w:hAnsi="Times New Roman" w:eastAsia="Times New Roman" w:cs="Times New Roman"/>
        </w:rPr>
        <w:t>22 waa tiro astaan ah oo ka dhigan isu-geynta Ilaahnimada iyo bini-aadannimada, adeegiddii Yexesqeelna waxay socotay labaatan iyo laba sannadood. Afar iyo tobanka sannadood ee Yuusuf waxaa loo qaybiyey laba xilli oo min toddoba sannadood ah, toddobaadka axdiga Masiixana waxaa loo qaybiyey laba xilli oo isle’eg oo min 1260 maalmood ah, xukunkii Daa’uud ee afartanka sannadood ahaana waxaa loo kala jebiyey laba xilli, iyadoo ay jirto astaan dheeraad ah oo isku xidha labadaas xilli.</w:t>
      </w:r>
    </w:p>
    <w:p>
      <w:pPr>
        <w:pStyle w:val="ArticleBody"/>
        <w:jc w:val="left"/>
      </w:pPr>
      <w:r>
        <w:rPr>
          <w:rFonts w:ascii="Times New Roman" w:hAnsi="Times New Roman" w:eastAsia="Times New Roman" w:cs="Times New Roman"/>
        </w:rPr>
        <w:t>Yesu ni Nabii, Kuhani, na Mfalme. Katika siku za mwisho ataliliinua kanisa Lake lenye ushindi kama bendera, na kanisa hilo linawakilishwa na Kristo, nabii, kuhani, na mfalme ambaye ameunganisha Uungu Wake na wanadamu, wanaowakilishwa na Ezekieli nabii, Yusufu kuhani, na Daudi mfalme. Alama hizo nne zinawakilisha watu watatu mashuhuri ndani ya tanuru iliyokuwa imechochewa moto mara saba zaidi ya kawaida, kisha akaonekana wa nne, naye alikuwa kama mwana wa Mungu. Ulimwengu wote uliwakilishwa katika sherehe ya sanamu ya dhahabu ya Nebukadneza, nao wote waliliona kanisa lenye ushindi likiwa limeundwa na nabii wa kibinadamu, kuhani wa kibinadamu, na mfalme wa kibinadamu, wakitegemezwa na nafsi ya nne ya Kiungu.</w:t>
      </w:r>
    </w:p>
    <w:p>
      <w:pPr>
        <w:pStyle w:val="ArticleScripture"/>
        <w:jc w:val="left"/>
      </w:pPr>
      <w:r>
        <w:rPr>
          <w:rFonts w:ascii="Times New Roman" w:hAnsi="Times New Roman" w:eastAsia="Times New Roman" w:cs="Times New Roman"/>
        </w:rPr>
        <w:t>«Սատանան աշխարհը գերեվարել է։ Նա ներմուծել է կռապաշտական մի շաբաթ, և, ըստ երևույթին, նրան մեծ կարևորություն է տվել։ Նա քրիստոնեական աշխարհի պատիվն ու երկրպագությունը Տիրոջ շաբաթից հափշտակել և ուղղել է դեպի այս կռապաշտական շաբաթը։ Աշխարհը խոնարհվում է ավանդության, մարդկային պատվիրանի առաջ։ Ինչպես Նաբուգոդոնոսորը Դուրայի դաշտում կանգնեցրեց իր ոսկե արձանը և այդպես բարձրացրեց ինքն իրեն, այնպես էլ Սատանան բարձրացնում է ինքն իրեն այս կեղծ շաբաթում, որի համար նա գողացել է երկնքի հանդերձանքը»։ Review and Herald, March 8, 1898.</w:t>
      </w:r>
    </w:p>
    <w:p>
      <w:pPr>
        <w:pStyle w:val="ArticleHeading"/>
        <w:jc w:val="left"/>
      </w:pPr>
      <w:r>
        <w:rPr>
          <w:rFonts w:ascii="Arial" w:hAnsi="Arial" w:eastAsia="Arial" w:cs="Arial"/>
        </w:rPr>
        <w:t>Le Nombre Quatre</w:t>
      </w:r>
    </w:p>
    <w:p>
      <w:pPr>
        <w:pStyle w:val="ArticleBody"/>
        <w:jc w:val="left"/>
      </w:pPr>
      <w:r>
        <w:rPr>
          <w:rFonts w:ascii="Times New Roman" w:hAnsi="Times New Roman" w:eastAsia="Times New Roman" w:cs="Times New Roman"/>
        </w:rPr>
        <w:t>در سطح نبوی، چهل یک‌دهمِ چهارصدِ اَبرام است، و چهار نیز یک‌دهمِ چهل است. هر ویژگی نبوی‌ای که در عدد چهار یافت شود، باید با نمادپردازیِ چهل هماهنگ باشد، و آن نیز به‌نوبهٔ خود باید با نمادپردازیِ چهارصد هم‌راستا باشد. در این بافت، عدد چهار غالباً نمایانگرِ «جهان‌شمول» است، که برداشتی آشناست؛ اما همچنین نمایانگرِ «یک پیشرفت» و در برخی بافت‌ها «ویرانیِ تدریجی» نیز هست.</w:t>
      </w:r>
    </w:p>
    <w:p>
      <w:pPr>
        <w:pStyle w:val="ArticleBody"/>
        <w:jc w:val="left"/>
      </w:pP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तुर्यांपैकी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रोमाच्या</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विनाशाचे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कॉन्स्टँटिनोपल</w:t>
      </w:r>
      <w:r>
        <w:rPr>
          <w:rFonts w:ascii="Times New Roman" w:hAnsi="Times New Roman" w:eastAsia="Times New Roman" w:cs="Times New Roman"/>
        </w:rPr>
        <w:t xml:space="preserve"> </w:t>
      </w:r>
      <w:r>
        <w:rPr>
          <w:rFonts w:ascii="Nirmala UI" w:hAnsi="Nirmala UI" w:eastAsia="Nirmala UI" w:cs="Nirmala UI"/>
        </w:rPr>
        <w:t>येथील</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रोमाचा</w:t>
      </w:r>
      <w:r>
        <w:rPr>
          <w:rFonts w:ascii="Times New Roman" w:hAnsi="Times New Roman" w:eastAsia="Times New Roman" w:cs="Times New Roman"/>
        </w:rPr>
        <w:t xml:space="preserve"> </w:t>
      </w:r>
      <w:r>
        <w:rPr>
          <w:rFonts w:ascii="Nirmala UI" w:hAnsi="Nirmala UI" w:eastAsia="Nirmala UI" w:cs="Nirmala UI"/>
        </w:rPr>
        <w:t>शेवट</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ऑटोमन</w:t>
      </w:r>
      <w:r>
        <w:rPr>
          <w:rFonts w:ascii="Times New Roman" w:hAnsi="Times New Roman" w:eastAsia="Times New Roman" w:cs="Times New Roman"/>
        </w:rPr>
        <w:t xml:space="preserve"> </w:t>
      </w:r>
      <w:r>
        <w:rPr>
          <w:rFonts w:ascii="Nirmala UI" w:hAnsi="Nirmala UI" w:eastAsia="Nirmala UI" w:cs="Nirmala UI"/>
        </w:rPr>
        <w:t>सुलतानांच्या</w:t>
      </w:r>
      <w:r>
        <w:rPr>
          <w:rFonts w:ascii="Times New Roman" w:hAnsi="Times New Roman" w:eastAsia="Times New Roman" w:cs="Times New Roman"/>
        </w:rPr>
        <w:t xml:space="preserve"> </w:t>
      </w:r>
      <w:r>
        <w:rPr>
          <w:rFonts w:ascii="Nirmala UI" w:hAnsi="Nirmala UI" w:eastAsia="Nirmala UI" w:cs="Nirmala UI"/>
        </w:rPr>
        <w:t>अधीनतेत</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ओळीवर</w:t>
      </w:r>
      <w:r>
        <w:rPr>
          <w:rFonts w:ascii="Times New Roman" w:hAnsi="Times New Roman" w:eastAsia="Times New Roman" w:cs="Times New Roman"/>
        </w:rPr>
        <w:t xml:space="preserve"> </w:t>
      </w:r>
      <w:r>
        <w:rPr>
          <w:rFonts w:ascii="Nirmala UI" w:hAnsi="Nirmala UI" w:eastAsia="Nirmala UI" w:cs="Nirmala UI"/>
        </w:rPr>
        <w:t>ओळ</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कालखंडांमध्ये</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विघटित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ज्यांचे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पाचव्या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सहाव्या</w:t>
      </w:r>
      <w:r>
        <w:rPr>
          <w:rFonts w:ascii="Times New Roman" w:hAnsi="Times New Roman" w:eastAsia="Times New Roman" w:cs="Times New Roman"/>
        </w:rPr>
        <w:t xml:space="preserve"> </w:t>
      </w:r>
      <w:r>
        <w:rPr>
          <w:rFonts w:ascii="Nirmala UI" w:hAnsi="Nirmala UI" w:eastAsia="Nirmala UI" w:cs="Nirmala UI"/>
        </w:rPr>
        <w:t>तुर्यांतील</w:t>
      </w:r>
      <w:r>
        <w:rPr>
          <w:rFonts w:ascii="Times New Roman" w:hAnsi="Times New Roman" w:eastAsia="Times New Roman" w:cs="Times New Roman"/>
        </w:rPr>
        <w:t xml:space="preserve"> </w:t>
      </w:r>
      <w:r>
        <w:rPr>
          <w:rFonts w:ascii="Nirmala UI" w:hAnsi="Nirmala UI" w:eastAsia="Nirmala UI" w:cs="Nirmala UI"/>
        </w:rPr>
        <w:t>इस्लामद्वारेही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आणले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दोन्ही</w:t>
      </w:r>
      <w:r>
        <w:rPr>
          <w:rFonts w:ascii="Times New Roman" w:hAnsi="Times New Roman" w:eastAsia="Times New Roman" w:cs="Times New Roman"/>
        </w:rPr>
        <w:t xml:space="preserve"> </w:t>
      </w:r>
      <w:r>
        <w:rPr>
          <w:rFonts w:ascii="Nirmala UI" w:hAnsi="Nirmala UI" w:eastAsia="Nirmala UI" w:cs="Nirmala UI"/>
        </w:rPr>
        <w:t>रेषा</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येऊन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पिढ्यांच्या</w:t>
      </w:r>
      <w:r>
        <w:rPr>
          <w:rFonts w:ascii="Times New Roman" w:hAnsi="Times New Roman" w:eastAsia="Times New Roman" w:cs="Times New Roman"/>
        </w:rPr>
        <w:t xml:space="preserve"> </w:t>
      </w:r>
      <w:r>
        <w:rPr>
          <w:rFonts w:ascii="Nirmala UI" w:hAnsi="Nirmala UI" w:eastAsia="Nirmala UI" w:cs="Nirmala UI"/>
        </w:rPr>
        <w:t>तुर्यांमधून</w:t>
      </w:r>
      <w:r>
        <w:rPr>
          <w:rFonts w:ascii="Times New Roman" w:hAnsi="Times New Roman" w:eastAsia="Times New Roman" w:cs="Times New Roman"/>
        </w:rPr>
        <w:t xml:space="preserve"> </w:t>
      </w:r>
      <w:r>
        <w:rPr>
          <w:rFonts w:ascii="Nirmala UI" w:hAnsi="Nirmala UI" w:eastAsia="Nirmala UI" w:cs="Nirmala UI"/>
        </w:rPr>
        <w:t>रोमाचा</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दर्शवितात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इस्लामाशी</w:t>
      </w:r>
      <w:r>
        <w:rPr>
          <w:rFonts w:ascii="Times New Roman" w:hAnsi="Times New Roman" w:eastAsia="Times New Roman" w:cs="Times New Roman"/>
        </w:rPr>
        <w:t xml:space="preserve"> </w:t>
      </w:r>
      <w:r>
        <w:rPr>
          <w:rFonts w:ascii="Nirmala UI" w:hAnsi="Nirmala UI" w:eastAsia="Nirmala UI" w:cs="Nirmala UI"/>
        </w:rPr>
        <w:t>वाढत</w:t>
      </w:r>
      <w:r>
        <w:rPr>
          <w:rFonts w:ascii="Times New Roman" w:hAnsi="Times New Roman" w:eastAsia="Times New Roman" w:cs="Times New Roman"/>
        </w:rPr>
        <w:t xml:space="preserve"> </w:t>
      </w:r>
      <w:r>
        <w:rPr>
          <w:rFonts w:ascii="Nirmala UI" w:hAnsi="Nirmala UI" w:eastAsia="Nirmala UI" w:cs="Nirmala UI"/>
        </w:rPr>
        <w:t>चाललेले</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अखेरीस</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विनाशाकडे</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इस्लामचे</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सुलतान</w:t>
      </w:r>
      <w:r>
        <w:rPr>
          <w:rFonts w:ascii="Times New Roman" w:hAnsi="Times New Roman" w:eastAsia="Times New Roman" w:cs="Times New Roman"/>
        </w:rPr>
        <w:t xml:space="preserve"> </w:t>
      </w:r>
      <w:r>
        <w:rPr>
          <w:rFonts w:ascii="Nirmala UI" w:hAnsi="Nirmala UI" w:eastAsia="Nirmala UI" w:cs="Nirmala UI"/>
        </w:rPr>
        <w:t>राज्यावर</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मिळवितात</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330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कॉन्स्टँटाइनने</w:t>
      </w:r>
      <w:r>
        <w:rPr>
          <w:rFonts w:ascii="Times New Roman" w:hAnsi="Times New Roman" w:eastAsia="Times New Roman" w:cs="Times New Roman"/>
        </w:rPr>
        <w:t xml:space="preserve"> </w:t>
      </w:r>
      <w:r>
        <w:rPr>
          <w:rFonts w:ascii="Nirmala UI" w:hAnsi="Nirmala UI" w:eastAsia="Nirmala UI" w:cs="Nirmala UI"/>
        </w:rPr>
        <w:t>साम्राज्याचे</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केल्याने</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quatre trompettes de la Rome occidentale commencent en 330, et les cinquième et sixième trompettes représentent la puissance qui fait tomber la Rome orientale, une Rome orientale qui a elle aussi commencé en 330. Tant la Rome orientale que la Rome occidentale ont contribué à l’œuvre consistant à placer la puissance papale sur le trône de la terre en 538 ; ainsi, les deux lignes de l’Occident et de l’Orient typifient les deux cornes des États-Unis, qui replacent la puissance papale sur le trône lors de la loi du dimanche. Dans la relation prophétique, la Rome occidentale est le symbole de l’influence ecclésiastique, et la Rome orientale est le symbole du pouvoir civil.</w:t>
      </w:r>
    </w:p>
    <w:p>
      <w:pPr>
        <w:pStyle w:val="ArticleBody"/>
        <w:jc w:val="left"/>
      </w:pPr>
      <w:r>
        <w:rPr>
          <w:rFonts w:ascii="Times New Roman" w:hAnsi="Times New Roman" w:eastAsia="Times New Roman" w:cs="Times New Roman"/>
        </w:rPr>
        <w:t>Kwa ndani ya historia ya kuanguka kwa Rumi ya magharibi na ya mashariki, historia ya Rumi ya kipapa imewekwa wazi. Ikianzia na kanisa la wanafunzi, linalowakilishwa na Efeso, makanisa matatu ya kwanza yanaongoza hadi kanisa la nne, ambalo ni upapa tangu mwaka 538 hadi 1798. Katika Ufunuo kumi na tatu, upapa unatambulishwa kuwa unatawala kwa miezi arobaini na miwili, baada ya jeraha lake la mauti la mwaka 1798 kuponywa katika sheria ya Jumapili. “Wakati hautakuwapo tena” baada ya 1844, kwa hiyo miezi arobaini na miwili ni ishara ya kipindi cha mateso kutoka sheria ya Jumapili mpaka Mikaeli atakaposimama. Waanzilishi walielewa kwamba makanisa, mihuri, na tarumbeta viliwakilisha mistari mitatu ya historia inayokwenda sambamba moja kwa nyingine. Kuweka ushuhuda wa unabii wa Rumi ya magharibi juu ya mstari wa Rumi ya mashariki na mstari wa Rumi ya kipapa si matumizi ya kiunabii yaliyotumiwa na Wamilleri, lakini mbinu hiyo haipingani na uelewa wao wowote uliowekwa imara.</w:t>
      </w:r>
    </w:p>
    <w:p>
      <w:pPr>
        <w:pStyle w:val="ArticleBody"/>
        <w:jc w:val="left"/>
      </w:pPr>
      <w:r>
        <w:rPr>
          <w:rFonts w:ascii="Times New Roman" w:hAnsi="Times New Roman" w:eastAsia="Times New Roman" w:cs="Times New Roman"/>
        </w:rPr>
        <w:t>Linya juu ya linya, tarumbeta nne za kwanza zinapaswa kuwekwa juu ya historia inayowakilishwa na tarumbeta ya tano na ya sita, na kisha mstari wa makanisa matatu ya kwanza yanayoongoza hadi kipindi cha mateso ya upapa kinachowakilishwa na kanisa la nne. Tarumbeta nne katika mstari wa kwanza, masultani wanne katika mstari wa pili, na makanisa manne katika mstari wa tatu. Namba “nne” inawakilisha ulimwenguni kote, lakini pia inawakilisha uharibifu wa hatua kwa hatua wa mamlaka ya kiraia au ya kidini. Kile inachowakilisha huamuliwa na muktadha.</w:t>
      </w:r>
    </w:p>
    <w:p>
      <w:pPr>
        <w:pStyle w:val="ArticleBody"/>
        <w:jc w:val="left"/>
      </w:pPr>
      <w:r>
        <w:rPr>
          <w:rFonts w:ascii="Times New Roman" w:hAnsi="Times New Roman" w:eastAsia="Times New Roman" w:cs="Times New Roman"/>
        </w:rPr>
        <w:t>در هنگام قانون یکشنبه، قدرت پاپی بازگردانده می‌شود. نخستین بار که پاپیت اقتدار یافت، یک دورهٔ سی‌سالهٔ آمادگی وجود داشت. در چهار کلیسای نخست، کلیسای چهارم همان پاپیت است، و کلیسای نخست شاگردان بودند که به‌صورت اِفِسُس به تصویر کشیده شده‌اند. سه نسل نخست کلیسای مسیحی به کلیسای چهارم، یعنی طیاتیرا، انجامید که با ایزابل نمایانده شده است. هنگامی که به طیاتیرا می‌رسید، در سال ۵۳۸، در شورای اورلئان قانونی دربارهٔ یکشنبه وضع شد، و بدین‌سان قانون یکشنبه در ایالات متحده شناسایی می‌شود، آنگاه که زخمِ مُهلِکِ ۱۷۹۸ شفا می‌یابد.</w:t>
      </w:r>
    </w:p>
    <w:p>
      <w:pPr>
        <w:pStyle w:val="ArticleBody"/>
        <w:jc w:val="left"/>
      </w:pP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ចាប់រហូតដល់ច្បាប់ថ្ងៃអាទិត្យនៅសហរដ្ឋអាមេរិក</w:t>
      </w:r>
      <w:r>
        <w:rPr>
          <w:rFonts w:ascii="Times New Roman" w:hAnsi="Times New Roman" w:eastAsia="Times New Roman" w:cs="Times New Roman"/>
        </w:rPr>
        <w:t xml:space="preserve"> </w:t>
      </w:r>
      <w:r>
        <w:rPr>
          <w:rFonts w:ascii="Leelawadee UI" w:hAnsi="Leelawadee UI" w:eastAsia="Leelawadee UI" w:cs="Leelawadee UI"/>
        </w:rPr>
        <w:t>ត្រូវបានតំណាងដោយពួកជំនុំបួនដំបូង។</w:t>
      </w:r>
      <w:r>
        <w:rPr>
          <w:rFonts w:ascii="Times New Roman" w:hAnsi="Times New Roman" w:eastAsia="Times New Roman" w:cs="Times New Roman"/>
        </w:rPr>
        <w:t xml:space="preserve"> </w:t>
      </w:r>
      <w:r>
        <w:rPr>
          <w:rFonts w:ascii="Leelawadee UI" w:hAnsi="Leelawadee UI" w:eastAsia="Leelawadee UI" w:cs="Leelawadee UI"/>
        </w:rPr>
        <w:t>ពួកជំនុំទីបួន</w:t>
      </w:r>
      <w:r>
        <w:rPr>
          <w:rFonts w:ascii="Times New Roman" w:hAnsi="Times New Roman" w:eastAsia="Times New Roman" w:cs="Times New Roman"/>
        </w:rPr>
        <w:t xml:space="preserve"> </w:t>
      </w:r>
      <w:r>
        <w:rPr>
          <w:rFonts w:ascii="Leelawadee UI" w:hAnsi="Leelawadee UI" w:eastAsia="Leelawadee UI" w:cs="Leelawadee UI"/>
        </w:rPr>
        <w:t>គឺថាយ៉ាទីរ៉ា</w:t>
      </w:r>
      <w:r>
        <w:rPr>
          <w:rFonts w:ascii="Times New Roman" w:hAnsi="Times New Roman" w:eastAsia="Times New Roman" w:cs="Times New Roman"/>
        </w:rPr>
        <w:t xml:space="preserve"> </w:t>
      </w:r>
      <w:r>
        <w:rPr>
          <w:rFonts w:ascii="Leelawadee UI" w:hAnsi="Leelawadee UI" w:eastAsia="Leelawadee UI" w:cs="Leelawadee UI"/>
        </w:rPr>
        <w:t>ជាច្បាប់ថ្ងៃអាទិត្យ</w:t>
      </w:r>
      <w:r>
        <w:rPr>
          <w:rFonts w:ascii="Times New Roman" w:hAnsi="Times New Roman" w:eastAsia="Times New Roman" w:cs="Times New Roman"/>
        </w:rPr>
        <w:t xml:space="preserve"> </w:t>
      </w:r>
      <w:r>
        <w:rPr>
          <w:rFonts w:ascii="Leelawadee UI" w:hAnsi="Leelawadee UI" w:eastAsia="Leelawadee UI" w:cs="Leelawadee UI"/>
        </w:rPr>
        <w:t>និងការបៀតបៀនរបស់សម្តេចប៉ាបដែលកើតតាមមក។</w:t>
      </w:r>
      <w:r>
        <w:rPr>
          <w:rFonts w:ascii="Times New Roman" w:hAnsi="Times New Roman" w:eastAsia="Times New Roman" w:cs="Times New Roman"/>
        </w:rPr>
        <w:t xml:space="preserve"> </w:t>
      </w:r>
      <w:r>
        <w:rPr>
          <w:rFonts w:ascii="Leelawadee UI" w:hAnsi="Leelawadee UI" w:eastAsia="Leelawadee UI" w:cs="Leelawadee UI"/>
        </w:rPr>
        <w:t>ពួកជំនុំទីមួយ</w:t>
      </w:r>
      <w:r>
        <w:rPr>
          <w:rFonts w:ascii="Times New Roman" w:hAnsi="Times New Roman" w:eastAsia="Times New Roman" w:cs="Times New Roman"/>
        </w:rPr>
        <w:t xml:space="preserve"> </w:t>
      </w:r>
      <w:r>
        <w:rPr>
          <w:rFonts w:ascii="Leelawadee UI" w:hAnsi="Leelawadee UI" w:eastAsia="Leelawadee UI" w:cs="Leelawadee UI"/>
        </w:rPr>
        <w:t>គឺអេភេសូរ</w:t>
      </w:r>
      <w:r>
        <w:rPr>
          <w:rFonts w:ascii="Times New Roman" w:hAnsi="Times New Roman" w:eastAsia="Times New Roman" w:cs="Times New Roman"/>
        </w:rPr>
        <w:t xml:space="preserve"> </w:t>
      </w:r>
      <w:r>
        <w:rPr>
          <w:rFonts w:ascii="Leelawadee UI" w:hAnsi="Leelawadee UI" w:eastAsia="Leelawadee UI" w:cs="Leelawadee UI"/>
        </w:rPr>
        <w:t>ជាពួកជំនុំដែលបានបាត់បង់សេចក្តីស្រឡាញ់ដំបូងរបស់ខ្លួន</w:t>
      </w:r>
      <w:r>
        <w:rPr>
          <w:rFonts w:ascii="Times New Roman" w:hAnsi="Times New Roman" w:eastAsia="Times New Roman" w:cs="Times New Roman"/>
        </w:rPr>
        <w:t xml:space="preserve"> </w:t>
      </w:r>
      <w:r>
        <w:rPr>
          <w:rFonts w:ascii="Leelawadee UI" w:hAnsi="Leelawadee UI" w:eastAsia="Leelawadee UI" w:cs="Leelawadee UI"/>
        </w:rPr>
        <w:t>បានទៅដល់ទីបញ្ចប់នៃការបំផ្លាញជាបន្តបន្ទាប់ជាបួនជំហាន</w:t>
      </w:r>
      <w:r>
        <w:rPr>
          <w:rFonts w:ascii="Times New Roman" w:hAnsi="Times New Roman" w:eastAsia="Times New Roman" w:cs="Times New Roman"/>
        </w:rPr>
        <w:t xml:space="preserve"> </w:t>
      </w:r>
      <w:r>
        <w:rPr>
          <w:rFonts w:ascii="Leelawadee UI" w:hAnsi="Leelawadee UI" w:eastAsia="Leelawadee UI" w:cs="Leelawadee UI"/>
        </w:rPr>
        <w:t>នៅច្បាប់ថ្ងៃអាទិត្យរបស់ថាយ៉ាទីរ៉ា។</w:t>
      </w:r>
      <w:r>
        <w:rPr>
          <w:rFonts w:ascii="Times New Roman" w:hAnsi="Times New Roman" w:eastAsia="Times New Roman" w:cs="Times New Roman"/>
        </w:rPr>
        <w:t xml:space="preserve"> </w:t>
      </w:r>
      <w:r>
        <w:rPr>
          <w:rFonts w:ascii="Leelawadee UI" w:hAnsi="Leelawadee UI" w:eastAsia="Leelawadee UI" w:cs="Leelawadee UI"/>
        </w:rPr>
        <w:t>ជំនាន់ដែលនាំទៅដល់ច្បាប់ថ្ងៃអាទិត្យរបស់ថាយ៉ាទីរ៉ា</w:t>
      </w:r>
      <w:r>
        <w:rPr>
          <w:rFonts w:ascii="Times New Roman" w:hAnsi="Times New Roman" w:eastAsia="Times New Roman" w:cs="Times New Roman"/>
        </w:rPr>
        <w:t xml:space="preserve"> </w:t>
      </w:r>
      <w:r>
        <w:rPr>
          <w:rFonts w:ascii="Leelawadee UI" w:hAnsi="Leelawadee UI" w:eastAsia="Leelawadee UI" w:cs="Leelawadee UI"/>
        </w:rPr>
        <w:t>គឺជាជំនាន់ទីបីនៃពើហ្គាម៉ុស។</w:t>
      </w:r>
      <w:r>
        <w:rPr>
          <w:rFonts w:ascii="Times New Roman" w:hAnsi="Times New Roman" w:eastAsia="Times New Roman" w:cs="Times New Roman"/>
        </w:rPr>
        <w:t xml:space="preserve"> </w:t>
      </w:r>
      <w:r>
        <w:rPr>
          <w:rFonts w:ascii="Leelawadee UI" w:hAnsi="Leelawadee UI" w:eastAsia="Leelawadee UI" w:cs="Leelawadee UI"/>
        </w:rPr>
        <w:t>ថាយ៉ាទីរ៉ា</w:t>
      </w:r>
      <w:r>
        <w:rPr>
          <w:rFonts w:ascii="Times New Roman" w:hAnsi="Times New Roman" w:eastAsia="Times New Roman" w:cs="Times New Roman"/>
        </w:rPr>
        <w:t xml:space="preserve"> </w:t>
      </w:r>
      <w:r>
        <w:rPr>
          <w:rFonts w:ascii="Leelawadee UI" w:hAnsi="Leelawadee UI" w:eastAsia="Leelawadee UI" w:cs="Leelawadee UI"/>
        </w:rPr>
        <w:t>តំណាងឲ្យច្បាប់ថ្ងៃអាទិត្យរហូតដល់ការបិទពេលសាកល្បង</w:t>
      </w:r>
      <w:r>
        <w:rPr>
          <w:rFonts w:ascii="Times New Roman" w:hAnsi="Times New Roman" w:eastAsia="Times New Roman" w:cs="Times New Roman"/>
        </w:rPr>
        <w:t xml:space="preserve"> </w:t>
      </w:r>
      <w:r>
        <w:rPr>
          <w:rFonts w:ascii="Leelawadee UI" w:hAnsi="Leelawadee UI" w:eastAsia="Leelawadee UI" w:cs="Leelawadee UI"/>
        </w:rPr>
        <w:t>ហើយពើហ្គាម៉ុស</w:t>
      </w:r>
      <w:r>
        <w:rPr>
          <w:rFonts w:ascii="Times New Roman" w:hAnsi="Times New Roman" w:eastAsia="Times New Roman" w:cs="Times New Roman"/>
        </w:rPr>
        <w:t xml:space="preserve"> </w:t>
      </w:r>
      <w:r>
        <w:rPr>
          <w:rFonts w:ascii="Leelawadee UI" w:hAnsi="Leelawadee UI" w:eastAsia="Leelawadee UI" w:cs="Leelawadee UI"/>
        </w:rPr>
        <w:t>តំណាងឲ្យការសម្របសម្រួលរបស់ជំនាន់ទីបីដែលរៀបចំផ្លូវសម្រាប់ថាយ៉ាទីរ៉ា។</w:t>
      </w:r>
      <w:r>
        <w:rPr>
          <w:rFonts w:ascii="Times New Roman" w:hAnsi="Times New Roman" w:eastAsia="Times New Roman" w:cs="Times New Roman"/>
        </w:rPr>
        <w:t xml:space="preserve"> </w:t>
      </w:r>
      <w:r>
        <w:rPr>
          <w:rFonts w:ascii="Leelawadee UI" w:hAnsi="Leelawadee UI" w:eastAsia="Leelawadee UI" w:cs="Leelawadee UI"/>
        </w:rPr>
        <w:t>ជំនាន់ទីបីនៃពើហ្គាម៉ុស</w:t>
      </w:r>
      <w:r>
        <w:rPr>
          <w:rFonts w:ascii="Times New Roman" w:hAnsi="Times New Roman" w:eastAsia="Times New Roman" w:cs="Times New Roman"/>
        </w:rPr>
        <w:t xml:space="preserve"> </w:t>
      </w:r>
      <w:r>
        <w:rPr>
          <w:rFonts w:ascii="Leelawadee UI" w:hAnsi="Leelawadee UI" w:eastAsia="Leelawadee UI" w:cs="Leelawadee UI"/>
        </w:rPr>
        <w:t>និងការសម្របសម្រួលដែលវាតំណាងឲ្យ</w:t>
      </w:r>
      <w:r>
        <w:rPr>
          <w:rFonts w:ascii="Times New Roman" w:hAnsi="Times New Roman" w:eastAsia="Times New Roman" w:cs="Times New Roman"/>
        </w:rPr>
        <w:t xml:space="preserve"> </w:t>
      </w:r>
      <w:r>
        <w:rPr>
          <w:rFonts w:ascii="Leelawadee UI" w:hAnsi="Leelawadee UI" w:eastAsia="Leelawadee UI" w:cs="Leelawadee UI"/>
        </w:rPr>
        <w:t>នោះបានសម្រេចជាលើកដំបូងនៅសម័យកុងស្តង់ទីន</w:t>
      </w:r>
      <w:r>
        <w:rPr>
          <w:rFonts w:ascii="Times New Roman" w:hAnsi="Times New Roman" w:eastAsia="Times New Roman" w:cs="Times New Roman"/>
        </w:rPr>
        <w:t xml:space="preserve"> </w:t>
      </w:r>
      <w:r>
        <w:rPr>
          <w:rFonts w:ascii="Leelawadee UI" w:hAnsi="Leelawadee UI" w:eastAsia="Leelawadee UI" w:cs="Leelawadee UI"/>
        </w:rPr>
        <w:t>ដែលបានអនុម័តច្បាប់ថ្ងៃអាទិត្យដំបូងបង្អស់នៅឆ្នាំ</w:t>
      </w:r>
      <w:r>
        <w:rPr>
          <w:rFonts w:ascii="Times New Roman" w:hAnsi="Times New Roman" w:eastAsia="Times New Roman" w:cs="Times New Roman"/>
        </w:rPr>
        <w:t xml:space="preserve"> </w:t>
      </w:r>
      <w:r>
        <w:rPr>
          <w:rFonts w:ascii="Leelawadee UI" w:hAnsi="Leelawadee UI" w:eastAsia="Leelawadee UI" w:cs="Leelawadee UI"/>
        </w:rPr>
        <w:t>៣២១។</w:t>
      </w:r>
      <w:r>
        <w:rPr>
          <w:rFonts w:ascii="Times New Roman" w:hAnsi="Times New Roman" w:eastAsia="Times New Roman" w:cs="Times New Roman"/>
        </w:rPr>
        <w:t xml:space="preserve"> </w:t>
      </w:r>
      <w:r>
        <w:rPr>
          <w:rFonts w:ascii="Leelawadee UI" w:hAnsi="Leelawadee UI" w:eastAsia="Leelawadee UI" w:cs="Leelawadee UI"/>
        </w:rPr>
        <w:t>សហរដ្ឋអាមេរិកបានចាប់ផ្តើមឡើងជាកូនចៀមនៃអេភេសូរ</w:t>
      </w:r>
      <w:r>
        <w:rPr>
          <w:rFonts w:ascii="Times New Roman" w:hAnsi="Times New Roman" w:eastAsia="Times New Roman" w:cs="Times New Roman"/>
        </w:rPr>
        <w:t xml:space="preserve"> </w:t>
      </w:r>
      <w:r>
        <w:rPr>
          <w:rFonts w:ascii="Leelawadee UI" w:hAnsi="Leelawadee UI" w:eastAsia="Leelawadee UI" w:cs="Leelawadee UI"/>
        </w:rPr>
        <w:t>ប៉ុន្តែនៅពេលវាលើកថាយ៉ាទីរ៉ាឲ្យត្រឡប់មកលើបល្ល័ង្កវិញ</w:t>
      </w:r>
      <w:r>
        <w:rPr>
          <w:rFonts w:ascii="Times New Roman" w:hAnsi="Times New Roman" w:eastAsia="Times New Roman" w:cs="Times New Roman"/>
        </w:rPr>
        <w:t xml:space="preserve"> </w:t>
      </w:r>
      <w:r>
        <w:rPr>
          <w:rFonts w:ascii="Leelawadee UI" w:hAnsi="Leelawadee UI" w:eastAsia="Leelawadee UI" w:cs="Leelawadee UI"/>
        </w:rPr>
        <w:t>វានិយាយដូចជានាគ។</w:t>
      </w:r>
    </w:p>
    <w:p>
      <w:pPr>
        <w:pStyle w:val="ArticleBody"/>
        <w:jc w:val="left"/>
      </w:pP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सरीसृप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अदन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वाटिका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देनेवाले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कहा।</w:t>
      </w:r>
    </w:p>
    <w:p>
      <w:pPr>
        <w:pStyle w:val="ArticleBody"/>
        <w:jc w:val="left"/>
      </w:pPr>
      <w:r>
        <w:rPr>
          <w:rFonts w:ascii="Times New Roman" w:hAnsi="Times New Roman" w:eastAsia="Times New Roman" w:cs="Times New Roman"/>
        </w:rPr>
        <w:t>Ihe nkpuru-ọgbọ nke anọ na nke ikpeazụ bụ ma ọ bụ “nkpuru-ọgbọ a họpụtara,” nke na-anọchi anya otu narị puku na iri anọ na anọ, ma ọ bụ ihe kwekọrọ na ya, nkpuru-ọgbọ nke agwọ-ọjọọ. Otu òtù ewulitela oyiyi Kraịst; nke ọzọ, oyiyi anụ-ọhịa ahụ—agwọ ahụ. A na-egosipụta nkpuru-ọgbọ nke agwọ-ọjọọ n’ụzọ kpọmkwem, ugboro anọ, n’Okwu Chineke. Ihe gbara ya gburugburu n’ebe nkwupụta nke ọ bụla dị dị iche.</w:t>
      </w:r>
    </w:p>
    <w:p>
      <w:pPr>
        <w:pStyle w:val="ArticleScripture"/>
        <w:jc w:val="left"/>
      </w:pPr>
      <w:r>
        <w:rPr>
          <w:rFonts w:ascii="Times New Roman" w:hAnsi="Times New Roman" w:eastAsia="Times New Roman" w:cs="Times New Roman"/>
        </w:rPr>
        <w:t>Men, u ko‘plab farziylar va sadduqiylarning uning cho‘mish marosimiga kelayotganini ko‘rgach, ularga dedi: Ey ilonlar zurriyoti, kelajak g‘azabdan qochishga sizlarni kim ogohlantirdi? Matto 3:7.</w:t>
      </w:r>
    </w:p>
    <w:p>
      <w:pPr>
        <w:pStyle w:val="ArticleBody"/>
        <w:jc w:val="left"/>
      </w:pPr>
      <w:r>
        <w:rPr>
          <w:rFonts w:ascii="Times New Roman" w:hAnsi="Times New Roman" w:eastAsia="Times New Roman" w:cs="Times New Roman"/>
        </w:rPr>
        <w:t>Si la « génération de vipères » n’était simplement qu’une série de remarques injurieuses au sujet de quelques sectes de personnes que Jean n’aimait pas, il n’y aurait alors rien à dire de cette expression. Mais chaque mot est sacré dans la Parole de Dieu ; Jean attribuait donc aux Sadducéens et aux Pharisiens une désignation précise. Cette désignation est définie prophétiquement par le contexte du passage où elle est employée. Dans ce passage, Jean est présenté comme accomplissant son ministère, puis les Sadducéens et les Pharisiens entrent dans le récit. Dans les versets d’ouverture, Jean est identifié comme la « voix de celui qui crie dans le désert » d’Ésaïe.</w:t>
      </w:r>
    </w:p>
    <w:p>
      <w:pPr>
        <w:pStyle w:val="ArticleScripture"/>
        <w:jc w:val="left"/>
      </w:pPr>
      <w:r>
        <w:rPr>
          <w:rFonts w:ascii="Times New Roman" w:hAnsi="Times New Roman" w:eastAsia="Times New Roman" w:cs="Times New Roman"/>
        </w:rPr>
        <w:t>Nna zile zile Yohane Mbatizaji alikuja, akihubiri katika jangwa la Uyahudi, akisema, Tubuni ninyi; kwa maana ufalme wa mbinguni umekaribia.</w:t>
      </w:r>
    </w:p>
    <w:p>
      <w:pPr>
        <w:pStyle w:val="ArticleScripture"/>
        <w:jc w:val="left"/>
      </w:pPr>
      <w:r>
        <w:rPr>
          <w:rFonts w:ascii="Times New Roman" w:hAnsi="Times New Roman" w:eastAsia="Times New Roman" w:cs="Times New Roman"/>
        </w:rPr>
        <w:t>Denn dieser ist es, von dem durch den Propheten Esaias geredet worden ist, als er sprach:</w:t>
      </w:r>
    </w:p>
    <w:p>
      <w:pPr>
        <w:pStyle w:val="ArticleScripture"/>
        <w:jc w:val="left"/>
      </w:pPr>
      <w:r>
        <w:rPr>
          <w:rFonts w:ascii="Times New Roman" w:hAnsi="Times New Roman" w:eastAsia="Times New Roman" w:cs="Times New Roman"/>
        </w:rPr>
        <w:t>کا بے وُہ واں جھاڑاں اندر پکاردا اے، خُداوند دا راہ تیار کرو، اُس دیاں راہواں سیدھیاں کرو۔</w:t>
      </w:r>
    </w:p>
    <w:p>
      <w:pPr>
        <w:pStyle w:val="ArticleScripture"/>
        <w:jc w:val="left"/>
      </w:pPr>
      <w:r>
        <w:rPr>
          <w:rFonts w:ascii="Times New Roman" w:hAnsi="Times New Roman" w:eastAsia="Times New Roman" w:cs="Times New Roman"/>
        </w:rPr>
        <w:t>John same du i bin get klos we dem make from kamel hier, an leda belt na in waist; an in food na grasshoppa dem an wild honey.</w:t>
      </w:r>
    </w:p>
    <w:p>
      <w:pPr>
        <w:pStyle w:val="ArticleScripture"/>
        <w:jc w:val="left"/>
      </w:pPr>
      <w:r>
        <w:rPr>
          <w:rFonts w:ascii="Times New Roman" w:hAnsi="Times New Roman" w:eastAsia="Times New Roman" w:cs="Times New Roman"/>
        </w:rPr>
        <w:t>“Fa a alu atu iā te ia Ierusalema, ma Iutaia uma, atoa ma le nuu uma e siʻosiʻomia Ioritana, ma sa papatisoina i latou e ia i Ioritana, a o latou taʻutaʻu atu a latou agasala. A ua iloa e ia le toʻatele o le ʻau Faresaio ma le ʻau Satukaio ua ō mai i lona papatisoga, ona fetalai atu lea o ia iā te i latou, Le fanau a gata feʻai e, o ai ea ua lapataʻiina outou e sosola ese ai i le toʻasā o le a oo mai?” Mataio 3:2–7.</w:t>
      </w:r>
    </w:p>
    <w:p>
      <w:pPr>
        <w:pStyle w:val="ArticleBody"/>
        <w:jc w:val="left"/>
      </w:pPr>
      <w:r>
        <w:rPr>
          <w:rFonts w:ascii="Times New Roman" w:hAnsi="Times New Roman" w:eastAsia="Times New Roman" w:cs="Times New Roman"/>
        </w:rPr>
        <w:t>Israël ancien tsro̱h tso̱ me-sukhumabia “mokevhi a mige̱lhi,” mo̱ghe prophet mi pfu me̱ wilderness-o. John ne prophet mi ketsi role ka Malachi netsa messenger mi tsüba̱ ke way ka Messenger of the Covenant, mi no voice me̱ wilderness-o Isaiah pe identified.</w:t>
      </w:r>
    </w:p>
    <w:p>
      <w:pPr>
        <w:pStyle w:val="ArticleBody"/>
        <w:jc w:val="left"/>
      </w:pPr>
      <w:r>
        <w:rPr>
          <w:rFonts w:ascii="Times New Roman" w:hAnsi="Times New Roman" w:eastAsia="Times New Roman" w:cs="Times New Roman"/>
        </w:rPr>
        <w:t>Йисунылъэбжь “хъужьыр” лъэпкъым хуэдэу дыщытщэмэ, ар “зэхэгъэщIэн” къызэрыхъурэ дыщыIэщ. Езы къэпсэлъэкIэу иупщIэныр Адамрэ Хьэуэрэ яхъур, ахэр къуэжьыгъэр зыпхуагъэплъащ фигъ хъужьыбзэхэркIэ. Апхуэдэу ахэр нэхъыщхьэу щыгъуэгъуэн дахэ, щыгъуэгъуэн щыпIэцIэныгъэу къэщауагъуэм щыгъуэщIагъэхэрщ, ауэ ар къызэхъуахэм къыдэкIуакIэ, ахэр жыпIэцIэу къыщыщхьэщ Лаодикейэм и цIыхухэр, зэхэщIэгъэкIуэн хуейр пэтми “зэхэгъэщIэныр и хъужьыр” и лъапIэм къыщыгъапщэнырщ, и щхьэусыгъуэр псоми зэхэтынущ жэрыIуэу. Псалъэм и къэкIуэкIэ, Иоанн Лаодикейэм и Адыгэхэм Абрахам и лъэбжьыр къытегъэгъуэтынымкIэ зыфигъэщIэнухэр гупсысэу къехъуэгъуэжьыщ, сырыхуэщIынущ жыпIэу; сырыхуэщIынум и унафэр абыхэм и зэхэщIэгъэкIуэныр хъужьыр гуэркъым, фIыжьыгъэ зимыIэу къыщыхъуарщ. ЦIыхум и щыгъуэгъуэнхэр ар сыт хуэдэ щыIэр къыхэщ.</w:t>
      </w:r>
    </w:p>
    <w:p>
      <w:pPr>
        <w:pStyle w:val="ArticleBody"/>
        <w:jc w:val="left"/>
      </w:pPr>
      <w:r>
        <w:rPr>
          <w:rFonts w:ascii="Times New Roman" w:hAnsi="Times New Roman" w:eastAsia="Times New Roman" w:cs="Times New Roman"/>
        </w:rPr>
        <w:t>Les arbres sont un symbole des hommes et des royaumes, et le fruit, la branche, la semence, le sol, l’eau, la racine et, bien évidemment, les feuilles, représentent tous en eux-mêmes des symboles prophétiques spécifiques; mais chacune de ces vérités est liée aux autres symboles représentés dans les diverses lignes de prophétie qui emploient les symboles prophétiques constituant un « arbre ». Bien entendu, le premier symbolisme prophétique d’un arbre est qu’il représente une épreuve de vie ou de mort.</w:t>
      </w:r>
    </w:p>
    <w:p>
      <w:pPr>
        <w:pStyle w:val="ArticleBody"/>
        <w:jc w:val="left"/>
      </w:pPr>
      <w:r>
        <w:rPr>
          <w:rFonts w:ascii="Times New Roman" w:hAnsi="Times New Roman" w:eastAsia="Times New Roman" w:cs="Times New Roman"/>
        </w:rPr>
        <w:t>Yahyānyň habary onuň geýen egin-eşiginde we iýen iýmitinde şekillendirilýär. Gadymy Ysraýylyň başlangyjyndaky manna ýa-da soňundaky Gök nany ýaly pygamberlik iýmiti iýilmelidir. Bu iýmit Mesihiň teni we Onuň gany bolany üçin, iýilmegi zerur bolan pygamberlik synag habaryny aňladýar. Yahyānyň geýen egin-eşigi we iýen iýmiti Mesih üçin ýoly taýýarlan habary hem-de habarçyny kesgitleýär. Yahyā, Mesih üçin ýoly taýýarlaýan soňky habarçynyň nusgasydyr; ol Ahdyň Habarçysydyr we ýekşenbe kanuny wagtynda duýdansyz Öz ybadathanasyna gelýär. Bu waka bolup geçende, paýhassyz gyzlar, şol bir wagtyň özünde Laodikialylar we haşal otlar bolup, Ybraýymyň hakyky ahd halkydyklaryny yglan edýänleriň soňky dördünji neslini aňladýarlar; edil Yahyā çölden peýda bolan döwürde Fariseýler we Saddukeýler nähili bolsa, şonuň ýaly.</w:t>
      </w:r>
    </w:p>
    <w:p>
      <w:pPr>
        <w:pStyle w:val="ArticleBody"/>
        <w:jc w:val="left"/>
      </w:pPr>
      <w:r>
        <w:rPr>
          <w:rFonts w:ascii="Times New Roman" w:hAnsi="Times New Roman" w:eastAsia="Times New Roman" w:cs="Times New Roman"/>
        </w:rPr>
        <w:t>Jean portait un vêtement de poil de chameau et une ceinture de cuir comportant un dispositif d’attache, tel qu’en ont les bêtes de somme avec un joug. Il mangeait, et par conséquent son message était fait de sauterelles, symbole éminent de l’islam dans les Écritures, et il mêlait son message de l’islam avec le miel.</w:t>
      </w:r>
    </w:p>
    <w:p>
      <w:pPr>
        <w:pStyle w:val="ArticleScripture"/>
        <w:jc w:val="left"/>
      </w:pPr>
      <w:r>
        <w:rPr>
          <w:rFonts w:ascii="Times New Roman" w:hAnsi="Times New Roman" w:eastAsia="Times New Roman" w:cs="Times New Roman"/>
        </w:rPr>
        <w:t>Na ko te fale ʻo ʻIsileli naʻa nau ui hono hingoa ko e Mana; pea naʻe hangē ia ko e tengaʻiʻakau kolianitā, hinehina; pea ko hono ifo naʻe hangē ko e ngaahi keke mānifi kuo ngaohi ʻaki ʻa e honi. ʻEkesotosi 16:31.</w:t>
      </w:r>
    </w:p>
    <w:p>
      <w:pPr>
        <w:pStyle w:val="ArticleBody"/>
        <w:jc w:val="left"/>
      </w:pPr>
      <w:r>
        <w:rPr>
          <w:rFonts w:ascii="Times New Roman" w:hAnsi="Times New Roman" w:eastAsia="Times New Roman" w:cs="Times New Roman"/>
        </w:rPr>
        <w:t>La manne est un symbole de la Parole de Dieu, et elle avait le goût du miel, que les prophètes identifient comme le goût du message qu’ils sont représentés comme mangeant. Jean apporta le message de l’Islam, représenté par les sauterelles, ainsi qu’une ceinture de cuir de chameau et un vêtement de poil de chameau. Les sauterelles et le chameau sont tous deux des symboles de l’Islam. Ce message de l’Islam était mêlé à l’illumination de la Parole de Dieu, représentée comme du « miel ».</w:t>
      </w:r>
    </w:p>
    <w:p>
      <w:pPr>
        <w:pStyle w:val="ArticleScripture"/>
        <w:jc w:val="left"/>
      </w:pPr>
      <w:r>
        <w:rPr>
          <w:rFonts w:ascii="Times New Roman" w:hAnsi="Times New Roman" w:eastAsia="Times New Roman" w:cs="Times New Roman"/>
        </w:rPr>
        <w:t>Jónatan sagði þá: „Faðir minn hefir steypt landinu í nauð; sjáið, bið ég yður, hvernig augu mín hafa lýst upp, af því að ég bragðaði lítið eitt af þessu hunangi.“ 1. Samúelsbók 14:29.</w:t>
      </w:r>
    </w:p>
    <w:p>
      <w:pPr>
        <w:pStyle w:val="ArticleBody"/>
        <w:jc w:val="left"/>
      </w:pPr>
      <w:r>
        <w:rPr>
          <w:rFonts w:ascii="Times New Roman" w:hAnsi="Times New Roman" w:eastAsia="Times New Roman" w:cs="Times New Roman"/>
        </w:rPr>
        <w:t>جان صرفاً نمایانگر پیامی از اسلام نبود، بلکه او از بیابان آمد، همان‌گونه که ایلیا آمد؛ و جان عسل معمولی نخورد، بلکه عسل وحشی خورد، زیرا او نیز همچون مسیح، در نهادهای زمان خود که عسلِ خاصِ پیامِ خویش را داشتند، تعلیم نیافته بود؛ همان پیامی که به خمیرمایهٔ فریسیان و صدوقیان نمود یافته بود. جان از بیابان عسل خورد، زیرا او به‌وسیلهٔ روح‌القدس، بیرون از نهادهای دینیِ روزگار خویش، تعلیم یافته بود. کمربندِ متعارفِ آن دوره دارای سازوکارِ لولایی بود که شخص جامهٔ موی شترِ خود را بر آن می‌بست. آن لولا نمایانگرِ جان است، که نقطهٔ عطف از مقدّسِ زمینی به سوی قدسِ آسمانی بود.</w:t>
      </w:r>
    </w:p>
    <w:p>
      <w:pPr>
        <w:pStyle w:val="ArticleScripture"/>
        <w:jc w:val="left"/>
      </w:pPr>
      <w:r>
        <w:rPr>
          <w:rFonts w:ascii="Times New Roman" w:hAnsi="Times New Roman" w:eastAsia="Times New Roman" w:cs="Times New Roman"/>
        </w:rPr>
        <w:t>“Profeti Gjon ishte hallka lidhëse ndërmjet dy periudhave të administrimit hyjnor. Si përfaqësues i Perëndisë, ai doli përpara që të tregonte marrëdhënien e ligjit dhe të profetëve me periudhën e administrimit të krishterë. Ai ishte drita më e vogël, pas së cilës duhej të vinte një dritë më e madhe. Mendja e Gjonit u ndriçua nga Fryma e Shenjtë, që ai të përhapte dritë mbi popullin e tij; por asnjë dritë tjetër kurrë nuk ka shkëlqyer e as do të shkëlqejë ndonjëherë kaq qartë mbi njeriun e rënë sa ajo që buronte nga mësimi dhe shembulli i Jezusit. Krishti dhe misioni i Tij ishin kuptuar vetëm në mënyrë të zbehtë, siç ishin paratreguar në flijimet hijore. As vetë Gjoni nuk e kishte kuptuar plotësisht jetën e ardhshme, të pavdekshme, nëpërmjet Shpëtimtarit.” The Desire of Ages, 220.</w:t>
      </w:r>
    </w:p>
    <w:p>
      <w:pPr>
        <w:pStyle w:val="ArticleBody"/>
        <w:jc w:val="left"/>
      </w:pPr>
      <w:r>
        <w:rPr>
          <w:rFonts w:ascii="Nirmala UI" w:hAnsi="Nirmala UI" w:eastAsia="Nirmala UI" w:cs="Nirmala UI"/>
        </w:rPr>
        <w:t>वचावट</w:t>
      </w:r>
      <w:r>
        <w:rPr>
          <w:rFonts w:ascii="Times New Roman" w:hAnsi="Times New Roman" w:eastAsia="Times New Roman" w:cs="Times New Roman"/>
        </w:rPr>
        <w:t xml:space="preserve"> </w:t>
      </w:r>
      <w:r>
        <w:rPr>
          <w:rFonts w:ascii="Nirmala UI" w:hAnsi="Nirmala UI" w:eastAsia="Nirmala UI" w:cs="Nirmala UI"/>
        </w:rPr>
        <w:t>हारलेल्या</w:t>
      </w:r>
      <w:r>
        <w:rPr>
          <w:rFonts w:ascii="Times New Roman" w:hAnsi="Times New Roman" w:eastAsia="Times New Roman" w:cs="Times New Roman"/>
        </w:rPr>
        <w:t xml:space="preserve"> </w:t>
      </w:r>
      <w:r>
        <w:rPr>
          <w:rFonts w:ascii="Nirmala UI" w:hAnsi="Nirmala UI" w:eastAsia="Nirmala UI" w:cs="Nirmala UI"/>
        </w:rPr>
        <w:t>योहानाचो</w:t>
      </w:r>
      <w:r>
        <w:rPr>
          <w:rFonts w:ascii="Times New Roman" w:hAnsi="Times New Roman" w:eastAsia="Times New Roman" w:cs="Times New Roman"/>
        </w:rPr>
        <w:t xml:space="preserve"> </w:t>
      </w:r>
      <w:r>
        <w:rPr>
          <w:rFonts w:ascii="Nirmala UI" w:hAnsi="Nirmala UI" w:eastAsia="Nirmala UI" w:cs="Nirmala UI"/>
        </w:rPr>
        <w:t>पोशाख</w:t>
      </w:r>
      <w:r>
        <w:rPr>
          <w:rFonts w:ascii="Times New Roman" w:hAnsi="Times New Roman" w:eastAsia="Times New Roman" w:cs="Times New Roman"/>
        </w:rPr>
        <w:t xml:space="preserve"> </w:t>
      </w:r>
      <w:r>
        <w:rPr>
          <w:rFonts w:ascii="Nirmala UI" w:hAnsi="Nirmala UI" w:eastAsia="Nirmala UI" w:cs="Nirmala UI"/>
        </w:rPr>
        <w:t>क्रिस्ताच्या</w:t>
      </w:r>
      <w:r>
        <w:rPr>
          <w:rFonts w:ascii="Times New Roman" w:hAnsi="Times New Roman" w:eastAsia="Times New Roman" w:cs="Times New Roman"/>
        </w:rPr>
        <w:t xml:space="preserve"> </w:t>
      </w:r>
      <w:r>
        <w:rPr>
          <w:rFonts w:ascii="Nirmala UI" w:hAnsi="Nirmala UI" w:eastAsia="Nirmala UI" w:cs="Nirmala UI"/>
        </w:rPr>
        <w:t>बाप्तिस्म्याच्या</w:t>
      </w:r>
      <w:r>
        <w:rPr>
          <w:rFonts w:ascii="Times New Roman" w:hAnsi="Times New Roman" w:eastAsia="Times New Roman" w:cs="Times New Roman"/>
        </w:rPr>
        <w:t xml:space="preserve"> </w:t>
      </w:r>
      <w:r>
        <w:rPr>
          <w:rFonts w:ascii="Nirmala UI" w:hAnsi="Nirmala UI" w:eastAsia="Nirmala UI" w:cs="Nirmala UI"/>
        </w:rPr>
        <w:t>नेमक्या</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बिंदूवर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वळणबिंदू</w:t>
      </w:r>
      <w:r>
        <w:rPr>
          <w:rFonts w:ascii="Times New Roman" w:hAnsi="Times New Roman" w:eastAsia="Times New Roman" w:cs="Times New Roman"/>
        </w:rPr>
        <w:t xml:space="preserve"> </w:t>
      </w:r>
      <w:r>
        <w:rPr>
          <w:rFonts w:ascii="Nirmala UI" w:hAnsi="Nirmala UI" w:eastAsia="Nirmala UI" w:cs="Nirmala UI"/>
        </w:rPr>
        <w:t>आशिल्लो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स्थळान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गोष्टीचें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ठिकाणी</w:t>
      </w:r>
      <w:r>
        <w:rPr>
          <w:rFonts w:ascii="Times New Roman" w:hAnsi="Times New Roman" w:eastAsia="Times New Roman" w:cs="Times New Roman"/>
        </w:rPr>
        <w:t xml:space="preserve"> </w:t>
      </w:r>
      <w:r>
        <w:rPr>
          <w:rFonts w:ascii="Nirmala UI" w:hAnsi="Nirmala UI" w:eastAsia="Nirmala UI" w:cs="Nirmala UI"/>
        </w:rPr>
        <w:t>योहान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आशिल्लो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स्थळाचें</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बेथाबारा</w:t>
      </w:r>
      <w:r>
        <w:rPr>
          <w:rFonts w:ascii="Times New Roman" w:hAnsi="Times New Roman" w:eastAsia="Times New Roman" w:cs="Times New Roman"/>
        </w:rPr>
        <w:t xml:space="preserve"> </w:t>
      </w:r>
      <w:r>
        <w:rPr>
          <w:rFonts w:ascii="Nirmala UI" w:hAnsi="Nirmala UI" w:eastAsia="Nirmala UI" w:cs="Nirmala UI"/>
        </w:rPr>
        <w:t>आशिल्लें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ओलांड</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हेंच</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वयल्या</w:t>
      </w:r>
      <w:r>
        <w:rPr>
          <w:rFonts w:ascii="Times New Roman" w:hAnsi="Times New Roman" w:eastAsia="Times New Roman" w:cs="Times New Roman"/>
        </w:rPr>
        <w:t xml:space="preserve"> </w:t>
      </w:r>
      <w:r>
        <w:rPr>
          <w:rFonts w:ascii="Nirmala UI" w:hAnsi="Nirmala UI" w:eastAsia="Nirmala UI" w:cs="Nirmala UI"/>
        </w:rPr>
        <w:t>इस्राएलान</w:t>
      </w:r>
      <w:r>
        <w:rPr>
          <w:rFonts w:ascii="Times New Roman" w:hAnsi="Times New Roman" w:eastAsia="Times New Roman" w:cs="Times New Roman"/>
        </w:rPr>
        <w:t xml:space="preserve"> </w:t>
      </w:r>
      <w:r>
        <w:rPr>
          <w:rFonts w:ascii="Nirmala UI" w:hAnsi="Nirmala UI" w:eastAsia="Nirmala UI" w:cs="Nirmala UI"/>
        </w:rPr>
        <w:t>रानांतल्यान</w:t>
      </w:r>
      <w:r>
        <w:rPr>
          <w:rFonts w:ascii="Times New Roman" w:hAnsi="Times New Roman" w:eastAsia="Times New Roman" w:cs="Times New Roman"/>
        </w:rPr>
        <w:t xml:space="preserve"> </w:t>
      </w:r>
      <w:r>
        <w:rPr>
          <w:rFonts w:ascii="Nirmala UI" w:hAnsi="Nirmala UI" w:eastAsia="Nirmala UI" w:cs="Nirmala UI"/>
        </w:rPr>
        <w:t>भायर</w:t>
      </w:r>
      <w:r>
        <w:rPr>
          <w:rFonts w:ascii="Times New Roman" w:hAnsi="Times New Roman" w:eastAsia="Times New Roman" w:cs="Times New Roman"/>
        </w:rPr>
        <w:t xml:space="preserve"> </w:t>
      </w:r>
      <w:r>
        <w:rPr>
          <w:rFonts w:ascii="Nirmala UI" w:hAnsi="Nirmala UI" w:eastAsia="Nirmala UI" w:cs="Nirmala UI"/>
        </w:rPr>
        <w:t>येऊन</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दिलेल्या</w:t>
      </w:r>
      <w:r>
        <w:rPr>
          <w:rFonts w:ascii="Times New Roman" w:hAnsi="Times New Roman" w:eastAsia="Times New Roman" w:cs="Times New Roman"/>
        </w:rPr>
        <w:t xml:space="preserve"> </w:t>
      </w:r>
      <w:r>
        <w:rPr>
          <w:rFonts w:ascii="Nirmala UI" w:hAnsi="Nirmala UI" w:eastAsia="Nirmala UI" w:cs="Nirmala UI"/>
        </w:rPr>
        <w:t>भूमीन</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जशें</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Bien sûr, le mouvement des cent quarante-quatre mille est celui que Jean représente, mais nous soulignons simplement que, lorsque Jésus fut baptisé, c’était cette génération-là que lui et Jean appelèrent la « génération de vipères ». Jésus est venu magnifier la loi des Dix Commandements de Dieu, et c’est lui qui a inspiré chaque parole de la Bible; ainsi, lorsqu’il appelle la génération finale de l’ancien Israël une génération de vipères, il sait parfaitement bien que le second commandement désigne le jugement qui s’accomplit dans la troisième et la quatrième génération.</w:t>
      </w:r>
    </w:p>
    <w:p>
      <w:pPr>
        <w:pStyle w:val="ArticleBody"/>
        <w:jc w:val="left"/>
      </w:pPr>
      <w:r>
        <w:rPr>
          <w:rFonts w:ascii="Times New Roman" w:hAnsi="Times New Roman" w:eastAsia="Times New Roman" w:cs="Times New Roman"/>
        </w:rPr>
        <w:t>Третье и четвёртое поколения представляют собой поступательный суд, завершающийся в четвёртом поколении, которое есть порождение ехиднино. Крещение Христа прообразует 9/11. Лаодикийское поколение адвентистов седьмого дня с того времени находится в своём последнем поколении. Весть Иоанна к фарисеям и саддукеям была Лаодикийской вестью.</w:t>
      </w:r>
    </w:p>
    <w:p>
      <w:pPr>
        <w:pStyle w:val="ArticleScripture"/>
        <w:jc w:val="left"/>
      </w:pPr>
      <w:r>
        <w:rPr>
          <w:rFonts w:ascii="Times New Roman" w:hAnsi="Times New Roman" w:eastAsia="Times New Roman" w:cs="Times New Roman"/>
        </w:rPr>
        <w:t>Mais, voyant venir à son baptême beaucoup de pharisiens et de sadducéens, il leur dit,</w:t>
      </w:r>
    </w:p>
    <w:p>
      <w:pPr>
        <w:pStyle w:val="ArticleScripture"/>
        <w:jc w:val="left"/>
      </w:pPr>
      <w:r>
        <w:rPr>
          <w:rFonts w:ascii="Ebrima" w:hAnsi="Ebrima" w:eastAsia="Ebrima" w:cs="Ebrima"/>
        </w:rPr>
        <w:t>ኣቱም</w:t>
      </w:r>
      <w:r>
        <w:rPr>
          <w:rFonts w:ascii="Times New Roman" w:hAnsi="Times New Roman" w:eastAsia="Times New Roman" w:cs="Times New Roman"/>
        </w:rPr>
        <w:t xml:space="preserve"> </w:t>
      </w:r>
      <w:r>
        <w:rPr>
          <w:rFonts w:ascii="Ebrima" w:hAnsi="Ebrima" w:eastAsia="Ebrima" w:cs="Ebrima"/>
        </w:rPr>
        <w:t>ወለዶ</w:t>
      </w:r>
      <w:r>
        <w:rPr>
          <w:rFonts w:ascii="Times New Roman" w:hAnsi="Times New Roman" w:eastAsia="Times New Roman" w:cs="Times New Roman"/>
        </w:rPr>
        <w:t xml:space="preserve"> </w:t>
      </w:r>
      <w:r>
        <w:rPr>
          <w:rFonts w:ascii="Ebrima" w:hAnsi="Ebrima" w:eastAsia="Ebrima" w:cs="Ebrima"/>
        </w:rPr>
        <w:t>ኣራዊት</w:t>
      </w:r>
      <w:r>
        <w:rPr>
          <w:rFonts w:ascii="Times New Roman" w:hAnsi="Times New Roman" w:eastAsia="Times New Roman" w:cs="Times New Roman"/>
        </w:rPr>
        <w:t xml:space="preserve"> </w:t>
      </w:r>
      <w:r>
        <w:rPr>
          <w:rFonts w:ascii="Ebrima" w:hAnsi="Ebrima" w:eastAsia="Ebrima" w:cs="Ebrima"/>
        </w:rPr>
        <w:t>መርዛማት፣</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ዚመጽእ</w:t>
      </w:r>
      <w:r>
        <w:rPr>
          <w:rFonts w:ascii="Times New Roman" w:hAnsi="Times New Roman" w:eastAsia="Times New Roman" w:cs="Times New Roman"/>
        </w:rPr>
        <w:t xml:space="preserve"> </w:t>
      </w:r>
      <w:r>
        <w:rPr>
          <w:rFonts w:ascii="Ebrima" w:hAnsi="Ebrima" w:eastAsia="Ebrima" w:cs="Ebrima"/>
        </w:rPr>
        <w:t>ቍጥዓ</w:t>
      </w:r>
      <w:r>
        <w:rPr>
          <w:rFonts w:ascii="Times New Roman" w:hAnsi="Times New Roman" w:eastAsia="Times New Roman" w:cs="Times New Roman"/>
        </w:rPr>
        <w:t xml:space="preserve"> </w:t>
      </w:r>
      <w:r>
        <w:rPr>
          <w:rFonts w:ascii="Ebrima" w:hAnsi="Ebrima" w:eastAsia="Ebrima" w:cs="Ebrima"/>
        </w:rPr>
        <w:t>ክትሃድሙ</w:t>
      </w:r>
      <w:r>
        <w:rPr>
          <w:rFonts w:ascii="Times New Roman" w:hAnsi="Times New Roman" w:eastAsia="Times New Roman" w:cs="Times New Roman"/>
        </w:rPr>
        <w:t xml:space="preserve"> </w:t>
      </w:r>
      <w:r>
        <w:rPr>
          <w:rFonts w:ascii="Ebrima" w:hAnsi="Ebrima" w:eastAsia="Ebrima" w:cs="Ebrima"/>
        </w:rPr>
        <w:t>መን</w:t>
      </w:r>
      <w:r>
        <w:rPr>
          <w:rFonts w:ascii="Times New Roman" w:hAnsi="Times New Roman" w:eastAsia="Times New Roman" w:cs="Times New Roman"/>
        </w:rPr>
        <w:t xml:space="preserve"> </w:t>
      </w:r>
      <w:r>
        <w:rPr>
          <w:rFonts w:ascii="Ebrima" w:hAnsi="Ebrima" w:eastAsia="Ebrima" w:cs="Ebrima"/>
        </w:rPr>
        <w:t>ኣጠንቂቑኩም፧</w:t>
      </w:r>
    </w:p>
    <w:p>
      <w:pPr>
        <w:pStyle w:val="ArticleScripture"/>
        <w:jc w:val="left"/>
      </w:pPr>
      <w:r>
        <w:rPr>
          <w:rFonts w:ascii="Times New Roman" w:hAnsi="Times New Roman" w:eastAsia="Times New Roman" w:cs="Times New Roman"/>
        </w:rPr>
        <w:t>O hlahiseng ke gone maungo a a tshwanetseng boikwatlhao; mme lo se ka lwa gopola go bua mo go lona ka bolona lo re, Re na le Aborahame e le rraetsho:</w:t>
      </w:r>
    </w:p>
    <w:p>
      <w:pPr>
        <w:pStyle w:val="ArticleScripture"/>
        <w:jc w:val="left"/>
      </w:pPr>
      <w:r>
        <w:rPr>
          <w:rFonts w:ascii="Times New Roman" w:hAnsi="Times New Roman" w:eastAsia="Times New Roman" w:cs="Times New Roman"/>
        </w:rPr>
        <w:t>car je vous dis que Dieu peut, de ces pierres, susciter des enfants à Abraham.</w:t>
      </w:r>
    </w:p>
    <w:p>
      <w:pPr>
        <w:pStyle w:val="ArticleScripture"/>
        <w:jc w:val="left"/>
      </w:pPr>
      <w:r>
        <w:rPr>
          <w:rFonts w:ascii="Times New Roman" w:hAnsi="Times New Roman" w:eastAsia="Times New Roman" w:cs="Times New Roman"/>
        </w:rPr>
        <w:t>Et voici, déjà la cognée est mise à la racine des arbres ; c’est pourquoi tout arbre qui ne produit pas de bon fruit est coupé et jeté au feu. Pour moi, je vous baptise d’eau en vue de la repentance ; mais celui qui vient après moi est plus puissant que moi, et je ne suis pas digne de porter ses sandales : lui vous baptisera du Saint-Esprit et de feu. Il a son van dans la main, et il nettoiera parfaitement son aire ; il amassera son blé dans le grenier, mais il consumera la balle par un feu inextinguible.</w:t>
      </w:r>
    </w:p>
    <w:p>
      <w:pPr>
        <w:pStyle w:val="ArticleScripture"/>
        <w:jc w:val="left"/>
      </w:pPr>
      <w:r>
        <w:rPr>
          <w:rFonts w:ascii="MS Gothic" w:hAnsi="MS Gothic" w:eastAsia="MS Gothic" w:cs="MS Gothic"/>
        </w:rPr>
        <w:t>そしてイエスは</w:t>
      </w:r>
      <w:r>
        <w:rPr>
          <w:rFonts w:ascii="Microsoft YaHei" w:hAnsi="Microsoft YaHei" w:eastAsia="Microsoft YaHei" w:cs="Microsoft YaHei"/>
        </w:rPr>
        <w:t>、</w:t>
      </w:r>
      <w:r>
        <w:rPr>
          <w:rFonts w:ascii="MS Gothic" w:hAnsi="MS Gothic" w:eastAsia="MS Gothic" w:cs="MS Gothic"/>
        </w:rPr>
        <w:t>ヨハネからバプテスマを</w:t>
      </w:r>
      <w:r>
        <w:rPr>
          <w:rFonts w:ascii="Microsoft YaHei" w:hAnsi="Microsoft YaHei" w:eastAsia="Microsoft YaHei" w:cs="Microsoft YaHei"/>
        </w:rPr>
        <w:t>受</w:t>
      </w:r>
      <w:r>
        <w:rPr>
          <w:rFonts w:ascii="MS Gothic" w:hAnsi="MS Gothic" w:eastAsia="MS Gothic" w:cs="MS Gothic"/>
        </w:rPr>
        <w:t>けるために</w:t>
      </w:r>
      <w:r>
        <w:rPr>
          <w:rFonts w:ascii="Microsoft YaHei" w:hAnsi="Microsoft YaHei" w:eastAsia="Microsoft YaHei" w:cs="Microsoft YaHei"/>
        </w:rPr>
        <w:t>、</w:t>
      </w:r>
      <w:r>
        <w:rPr>
          <w:rFonts w:ascii="MS Gothic" w:hAnsi="MS Gothic" w:eastAsia="MS Gothic" w:cs="MS Gothic"/>
        </w:rPr>
        <w:t>ガリラヤからヨルダンへ</w:t>
      </w:r>
      <w:r>
        <w:rPr>
          <w:rFonts w:ascii="Microsoft YaHei" w:hAnsi="Microsoft YaHei" w:eastAsia="Microsoft YaHei" w:cs="Microsoft YaHei"/>
        </w:rPr>
        <w:t>来</w:t>
      </w:r>
      <w:r>
        <w:rPr>
          <w:rFonts w:ascii="MS Gothic" w:hAnsi="MS Gothic" w:eastAsia="MS Gothic" w:cs="MS Gothic"/>
        </w:rPr>
        <w:t>られた</w:t>
      </w:r>
      <w:r>
        <w:rPr>
          <w:rFonts w:ascii="Times New Roman" w:hAnsi="Times New Roman" w:eastAsia="Times New Roman" w:cs="Times New Roman"/>
        </w:rPr>
        <w:t>.</w:t>
      </w:r>
      <w:r>
        <w:rPr>
          <w:rFonts w:ascii="MS Gothic" w:hAnsi="MS Gothic" w:eastAsia="MS Gothic" w:cs="MS Gothic"/>
        </w:rPr>
        <w:t>マタイ</w:t>
      </w:r>
      <w:r>
        <w:rPr>
          <w:rFonts w:ascii="Times New Roman" w:hAnsi="Times New Roman" w:eastAsia="Times New Roman" w:cs="Times New Roman"/>
        </w:rPr>
        <w:t xml:space="preserve"> 3:7–13.</w:t>
      </w:r>
    </w:p>
    <w:p>
      <w:pPr>
        <w:pStyle w:val="ArticleBody"/>
        <w:jc w:val="left"/>
      </w:pPr>
      <w:r>
        <w:rPr>
          <w:rFonts w:ascii="Times New Roman" w:hAnsi="Times New Roman" w:eastAsia="Times New Roman" w:cs="Times New Roman"/>
        </w:rPr>
        <w:t>Jesus kom fra Galilæa, som symboliserer et vendepunkt i overensstemmelse med Johannes’ bæltehængsel og betydningen af Bethabara. Johannes’ gerning med at berede vejen var da blevet forandret til Kristi gerning med at stadfæste pagten. De tredive års forberedelse var afsluttet, og de tre et halvt år før og efter korset begyndte.</w:t>
      </w:r>
    </w:p>
    <w:p>
      <w:pPr>
        <w:pStyle w:val="ArticleBody"/>
        <w:jc w:val="left"/>
      </w:pPr>
      <w:r>
        <w:rPr>
          <w:rFonts w:ascii="Times New Roman" w:hAnsi="Times New Roman" w:eastAsia="Times New Roman" w:cs="Times New Roman"/>
        </w:rPr>
        <w:t>Le message de Jean était un avertissement de la colère à venir lors de la destruction de Jérusalem, destruction qui représente aussi la fin du monde et les sept derniers fléaux. Ce message d’avertissement fut placé dans le contexte de l’islam, et il fut proclamé par un homme qui accomplissait non seulement le messager de Malachie qui prépare le chemin, et la voix dans le désert d’Ésaïe, mais aussi le message d’Élie, car le vêtement de Jean correspondait à celui d’Élie, tout comme le message de Jean correspondait à celui d’Élie.</w:t>
      </w:r>
    </w:p>
    <w:p>
      <w:pPr>
        <w:pStyle w:val="ArticleScripture"/>
        <w:jc w:val="left"/>
      </w:pPr>
      <w:r>
        <w:rPr>
          <w:rFonts w:ascii="Times New Roman" w:hAnsi="Times New Roman" w:eastAsia="Times New Roman" w:cs="Times New Roman"/>
        </w:rPr>
        <w:t>A řekl jim: Jaký byl ten muž, který vám vyšel vstříc a mluvil k vám tato slova? Odpověděli mu: Byl to muž oděný srstí a přepásaný koženým pásem kolem svých beder. I řekl: To je Eliáš Tišbijský. 2 Královská 1,7.8.</w:t>
      </w:r>
    </w:p>
    <w:p>
      <w:pPr>
        <w:pStyle w:val="ArticleBody"/>
        <w:jc w:val="left"/>
      </w:pPr>
      <w:r>
        <w:rPr>
          <w:rFonts w:ascii="Times New Roman" w:hAnsi="Times New Roman" w:eastAsia="Times New Roman" w:cs="Times New Roman"/>
        </w:rPr>
        <w:t>Ẹ bá wọn béèrè nípa Johanu, kì í ṣe nípa Elijah, pé, “irú ènìyàn wo ni òun jẹ́?” a ó dá wọn lóhùn pé, “ọkùnrin onírun ni, ó sì fi àmùrè aláwọ̀ dì mọ́ ìbàdí rẹ̀.” Gbogbo iṣẹ́-ìránṣẹ́ oṣù mẹ́fà ti Johanu ni a ṣàfihàn nínú àbala náà níbi tí a ti dá ìran ìkẹyìn, ìyẹn ìran kẹrin, mọ̀ ní pàtó, tí a sì ṣe ìtumọ̀ rẹ̀. Ìròyìn Laodicea sí wọn kọlu ìjẹ́wọ́ pé àwọn jẹ́ ènìyàn májẹ̀mú Ọlọ́run ní tààrà; ó kìlọ̀ fún wọn nípa ìbínú tí ń bọ̀ gẹ́gẹ́ bí a ti ṣàpèjúwe rẹ̀ nípa àáké tí ń lu gbòǹgbò àwọn igi. Ìròyìn náà tún ní i pé Kristi yóò parí ìlànà ìdánwò tí ó bẹ̀rẹ̀ pẹ̀lú Johanu. Lẹ́yìn náà nínú Matteu, Jesu náà pè àwọn Júù ní “ìran paramọlẹ,” Ó sì gbé èrò náà sókè láti inú kókó-ọrọ̀ Johanu nípa gígé igi lulẹ̀, Ó sì ṣàlàyé ìdí rẹ̀.</w:t>
      </w:r>
    </w:p>
    <w:p>
      <w:pPr>
        <w:pStyle w:val="ArticleScripture"/>
        <w:jc w:val="left"/>
      </w:pP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மரத்தை</w:t>
      </w:r>
      <w:r>
        <w:rPr>
          <w:rFonts w:ascii="Times New Roman" w:hAnsi="Times New Roman" w:eastAsia="Times New Roman" w:cs="Times New Roman"/>
        </w:rPr>
        <w:t xml:space="preserve"> </w:t>
      </w:r>
      <w:r>
        <w:rPr>
          <w:rFonts w:ascii="Nirmala UI" w:hAnsi="Nirmala UI" w:eastAsia="Nirmala UI" w:cs="Nirmala UI"/>
        </w:rPr>
        <w:t>நல்லதாக்குங்கள்</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கனியையும்</w:t>
      </w:r>
      <w:r>
        <w:rPr>
          <w:rFonts w:ascii="Times New Roman" w:hAnsi="Times New Roman" w:eastAsia="Times New Roman" w:cs="Times New Roman"/>
        </w:rPr>
        <w:t xml:space="preserve"> </w:t>
      </w:r>
      <w:r>
        <w:rPr>
          <w:rFonts w:ascii="Nirmala UI" w:hAnsi="Nirmala UI" w:eastAsia="Nirmala UI" w:cs="Nirmala UI"/>
        </w:rPr>
        <w:t>நல்லதாக்குங்கள்</w:t>
      </w:r>
      <w:r>
        <w:rPr>
          <w:rFonts w:ascii="Times New Roman" w:hAnsi="Times New Roman" w:eastAsia="Times New Roman" w:cs="Times New Roman"/>
        </w:rPr>
        <w:t xml:space="preserve">; </w:t>
      </w:r>
      <w:r>
        <w:rPr>
          <w:rFonts w:ascii="Nirmala UI" w:hAnsi="Nirmala UI" w:eastAsia="Nirmala UI" w:cs="Nirmala UI"/>
        </w:rPr>
        <w:t>இல்லையெனில்</w:t>
      </w:r>
      <w:r>
        <w:rPr>
          <w:rFonts w:ascii="Times New Roman" w:hAnsi="Times New Roman" w:eastAsia="Times New Roman" w:cs="Times New Roman"/>
        </w:rPr>
        <w:t xml:space="preserve"> </w:t>
      </w:r>
      <w:r>
        <w:rPr>
          <w:rFonts w:ascii="Nirmala UI" w:hAnsi="Nirmala UI" w:eastAsia="Nirmala UI" w:cs="Nirmala UI"/>
        </w:rPr>
        <w:t>மரத்தை</w:t>
      </w:r>
      <w:r>
        <w:rPr>
          <w:rFonts w:ascii="Times New Roman" w:hAnsi="Times New Roman" w:eastAsia="Times New Roman" w:cs="Times New Roman"/>
        </w:rPr>
        <w:t xml:space="preserve"> </w:t>
      </w:r>
      <w:r>
        <w:rPr>
          <w:rFonts w:ascii="Nirmala UI" w:hAnsi="Nirmala UI" w:eastAsia="Nirmala UI" w:cs="Nirmala UI"/>
        </w:rPr>
        <w:t>கெட்டதாக்குங்கள்</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கனியையும்</w:t>
      </w:r>
      <w:r>
        <w:rPr>
          <w:rFonts w:ascii="Times New Roman" w:hAnsi="Times New Roman" w:eastAsia="Times New Roman" w:cs="Times New Roman"/>
        </w:rPr>
        <w:t xml:space="preserve"> </w:t>
      </w:r>
      <w:r>
        <w:rPr>
          <w:rFonts w:ascii="Nirmala UI" w:hAnsi="Nirmala UI" w:eastAsia="Nirmala UI" w:cs="Nirmala UI"/>
        </w:rPr>
        <w:t>கெட்டதாக்குங்கள்</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மரம்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கனியினால்</w:t>
      </w:r>
      <w:r>
        <w:rPr>
          <w:rFonts w:ascii="Times New Roman" w:hAnsi="Times New Roman" w:eastAsia="Times New Roman" w:cs="Times New Roman"/>
        </w:rPr>
        <w:t xml:space="preserve"> </w:t>
      </w:r>
      <w:r>
        <w:rPr>
          <w:rFonts w:ascii="Nirmala UI" w:hAnsi="Nirmala UI" w:eastAsia="Nirmala UI" w:cs="Nirmala UI"/>
        </w:rPr>
        <w:t>அறியப்படும்</w:t>
      </w:r>
      <w:r>
        <w:rPr>
          <w:rFonts w:ascii="Times New Roman" w:hAnsi="Times New Roman" w:eastAsia="Times New Roman" w:cs="Times New Roman"/>
        </w:rPr>
        <w:t xml:space="preserve">. </w:t>
      </w:r>
      <w:r>
        <w:rPr>
          <w:rFonts w:ascii="Nirmala UI" w:hAnsi="Nirmala UI" w:eastAsia="Nirmala UI" w:cs="Nirmala UI"/>
        </w:rPr>
        <w:t>பாம்புகளின்</w:t>
      </w:r>
      <w:r>
        <w:rPr>
          <w:rFonts w:ascii="Times New Roman" w:hAnsi="Times New Roman" w:eastAsia="Times New Roman" w:cs="Times New Roman"/>
        </w:rPr>
        <w:t xml:space="preserve"> </w:t>
      </w:r>
      <w:r>
        <w:rPr>
          <w:rFonts w:ascii="Nirmala UI" w:hAnsi="Nirmala UI" w:eastAsia="Nirmala UI" w:cs="Nirmala UI"/>
        </w:rPr>
        <w:t>சந்ததியினரே</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பொல்லாதவர்களாயிருக்கையில்</w:t>
      </w:r>
      <w:r>
        <w:rPr>
          <w:rFonts w:ascii="Times New Roman" w:hAnsi="Times New Roman" w:eastAsia="Times New Roman" w:cs="Times New Roman"/>
        </w:rPr>
        <w:t xml:space="preserve"> </w:t>
      </w:r>
      <w:r>
        <w:rPr>
          <w:rFonts w:ascii="Nirmala UI" w:hAnsi="Nirmala UI" w:eastAsia="Nirmala UI" w:cs="Nirmala UI"/>
        </w:rPr>
        <w:t>நல்லவற்றைப்</w:t>
      </w:r>
      <w:r>
        <w:rPr>
          <w:rFonts w:ascii="Times New Roman" w:hAnsi="Times New Roman" w:eastAsia="Times New Roman" w:cs="Times New Roman"/>
        </w:rPr>
        <w:t xml:space="preserve"> </w:t>
      </w:r>
      <w:r>
        <w:rPr>
          <w:rFonts w:ascii="Nirmala UI" w:hAnsi="Nirmala UI" w:eastAsia="Nirmala UI" w:cs="Nirmala UI"/>
        </w:rPr>
        <w:t>எப்படி</w:t>
      </w:r>
      <w:r>
        <w:rPr>
          <w:rFonts w:ascii="Times New Roman" w:hAnsi="Times New Roman" w:eastAsia="Times New Roman" w:cs="Times New Roman"/>
        </w:rPr>
        <w:t xml:space="preserve"> </w:t>
      </w:r>
      <w:r>
        <w:rPr>
          <w:rFonts w:ascii="Nirmala UI" w:hAnsi="Nirmala UI" w:eastAsia="Nirmala UI" w:cs="Nirmala UI"/>
        </w:rPr>
        <w:t>பேச</w:t>
      </w:r>
      <w:r>
        <w:rPr>
          <w:rFonts w:ascii="Times New Roman" w:hAnsi="Times New Roman" w:eastAsia="Times New Roman" w:cs="Times New Roman"/>
        </w:rPr>
        <w:t xml:space="preserve"> </w:t>
      </w:r>
      <w:r>
        <w:rPr>
          <w:rFonts w:ascii="Nirmala UI" w:hAnsi="Nirmala UI" w:eastAsia="Nirmala UI" w:cs="Nirmala UI"/>
        </w:rPr>
        <w:t>முடியும்</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இதயத்தின்</w:t>
      </w:r>
      <w:r>
        <w:rPr>
          <w:rFonts w:ascii="Times New Roman" w:hAnsi="Times New Roman" w:eastAsia="Times New Roman" w:cs="Times New Roman"/>
        </w:rPr>
        <w:t xml:space="preserve"> </w:t>
      </w:r>
      <w:r>
        <w:rPr>
          <w:rFonts w:ascii="Nirmala UI" w:hAnsi="Nirmala UI" w:eastAsia="Nirmala UI" w:cs="Nirmala UI"/>
        </w:rPr>
        <w:t>நிறைவிலிருந்தே</w:t>
      </w:r>
      <w:r>
        <w:rPr>
          <w:rFonts w:ascii="Times New Roman" w:hAnsi="Times New Roman" w:eastAsia="Times New Roman" w:cs="Times New Roman"/>
        </w:rPr>
        <w:t xml:space="preserve"> </w:t>
      </w:r>
      <w:r>
        <w:rPr>
          <w:rFonts w:ascii="Nirmala UI" w:hAnsi="Nirmala UI" w:eastAsia="Nirmala UI" w:cs="Nirmala UI"/>
        </w:rPr>
        <w:t>வாய்</w:t>
      </w:r>
      <w:r>
        <w:rPr>
          <w:rFonts w:ascii="Times New Roman" w:hAnsi="Times New Roman" w:eastAsia="Times New Roman" w:cs="Times New Roman"/>
        </w:rPr>
        <w:t xml:space="preserve"> </w:t>
      </w:r>
      <w:r>
        <w:rPr>
          <w:rFonts w:ascii="Nirmala UI" w:hAnsi="Nirmala UI" w:eastAsia="Nirmala UI" w:cs="Nirmala UI"/>
        </w:rPr>
        <w:t>பேசுகிறது</w:t>
      </w:r>
      <w:r>
        <w:rPr>
          <w:rFonts w:ascii="Times New Roman" w:hAnsi="Times New Roman" w:eastAsia="Times New Roman" w:cs="Times New Roman"/>
        </w:rPr>
        <w:t xml:space="preserve">. </w:t>
      </w:r>
      <w:r>
        <w:rPr>
          <w:rFonts w:ascii="Nirmala UI" w:hAnsi="Nirmala UI" w:eastAsia="Nirmala UI" w:cs="Nirmala UI"/>
        </w:rPr>
        <w:t>நல்ல</w:t>
      </w:r>
      <w:r>
        <w:rPr>
          <w:rFonts w:ascii="Times New Roman" w:hAnsi="Times New Roman" w:eastAsia="Times New Roman" w:cs="Times New Roman"/>
        </w:rPr>
        <w:t xml:space="preserve"> </w:t>
      </w:r>
      <w:r>
        <w:rPr>
          <w:rFonts w:ascii="Nirmala UI" w:hAnsi="Nirmala UI" w:eastAsia="Nirmala UI" w:cs="Nirmala UI"/>
        </w:rPr>
        <w:t>மனிதன்</w:t>
      </w:r>
      <w:r>
        <w:rPr>
          <w:rFonts w:ascii="Times New Roman" w:hAnsi="Times New Roman" w:eastAsia="Times New Roman" w:cs="Times New Roman"/>
        </w:rPr>
        <w:t xml:space="preserve"> </w:t>
      </w:r>
      <w:r>
        <w:rPr>
          <w:rFonts w:ascii="Nirmala UI" w:hAnsi="Nirmala UI" w:eastAsia="Nirmala UI" w:cs="Nirmala UI"/>
        </w:rPr>
        <w:t>இதயத்தின்</w:t>
      </w:r>
      <w:r>
        <w:rPr>
          <w:rFonts w:ascii="Times New Roman" w:hAnsi="Times New Roman" w:eastAsia="Times New Roman" w:cs="Times New Roman"/>
        </w:rPr>
        <w:t xml:space="preserve"> </w:t>
      </w:r>
      <w:r>
        <w:rPr>
          <w:rFonts w:ascii="Nirmala UI" w:hAnsi="Nirmala UI" w:eastAsia="Nirmala UI" w:cs="Nirmala UI"/>
        </w:rPr>
        <w:t>நல்ல</w:t>
      </w:r>
      <w:r>
        <w:rPr>
          <w:rFonts w:ascii="Times New Roman" w:hAnsi="Times New Roman" w:eastAsia="Times New Roman" w:cs="Times New Roman"/>
        </w:rPr>
        <w:t xml:space="preserve"> </w:t>
      </w:r>
      <w:r>
        <w:rPr>
          <w:rFonts w:ascii="Nirmala UI" w:hAnsi="Nirmala UI" w:eastAsia="Nirmala UI" w:cs="Nirmala UI"/>
        </w:rPr>
        <w:t>பொக்கிஷத்திலிருந்து</w:t>
      </w:r>
      <w:r>
        <w:rPr>
          <w:rFonts w:ascii="Times New Roman" w:hAnsi="Times New Roman" w:eastAsia="Times New Roman" w:cs="Times New Roman"/>
        </w:rPr>
        <w:t xml:space="preserve"> </w:t>
      </w:r>
      <w:r>
        <w:rPr>
          <w:rFonts w:ascii="Nirmala UI" w:hAnsi="Nirmala UI" w:eastAsia="Nirmala UI" w:cs="Nirmala UI"/>
        </w:rPr>
        <w:t>நல்லவற்றை</w:t>
      </w:r>
      <w:r>
        <w:rPr>
          <w:rFonts w:ascii="Times New Roman" w:hAnsi="Times New Roman" w:eastAsia="Times New Roman" w:cs="Times New Roman"/>
        </w:rPr>
        <w:t xml:space="preserve"> </w:t>
      </w:r>
      <w:r>
        <w:rPr>
          <w:rFonts w:ascii="Nirmala UI" w:hAnsi="Nirmala UI" w:eastAsia="Nirmala UI" w:cs="Nirmala UI"/>
        </w:rPr>
        <w:t>வெளிக்கொணருகிறான்</w:t>
      </w:r>
      <w:r>
        <w:rPr>
          <w:rFonts w:ascii="Times New Roman" w:hAnsi="Times New Roman" w:eastAsia="Times New Roman" w:cs="Times New Roman"/>
        </w:rPr>
        <w:t xml:space="preserve">; </w:t>
      </w:r>
      <w:r>
        <w:rPr>
          <w:rFonts w:ascii="Nirmala UI" w:hAnsi="Nirmala UI" w:eastAsia="Nirmala UI" w:cs="Nirmala UI"/>
        </w:rPr>
        <w:t>பொல்லாத</w:t>
      </w:r>
      <w:r>
        <w:rPr>
          <w:rFonts w:ascii="Times New Roman" w:hAnsi="Times New Roman" w:eastAsia="Times New Roman" w:cs="Times New Roman"/>
        </w:rPr>
        <w:t xml:space="preserve"> </w:t>
      </w:r>
      <w:r>
        <w:rPr>
          <w:rFonts w:ascii="Nirmala UI" w:hAnsi="Nirmala UI" w:eastAsia="Nirmala UI" w:cs="Nirmala UI"/>
        </w:rPr>
        <w:t>மனிதன்</w:t>
      </w:r>
      <w:r>
        <w:rPr>
          <w:rFonts w:ascii="Times New Roman" w:hAnsi="Times New Roman" w:eastAsia="Times New Roman" w:cs="Times New Roman"/>
        </w:rPr>
        <w:t xml:space="preserve"> </w:t>
      </w:r>
      <w:r>
        <w:rPr>
          <w:rFonts w:ascii="Nirmala UI" w:hAnsi="Nirmala UI" w:eastAsia="Nirmala UI" w:cs="Nirmala UI"/>
        </w:rPr>
        <w:t>பொல்லாத</w:t>
      </w:r>
      <w:r>
        <w:rPr>
          <w:rFonts w:ascii="Times New Roman" w:hAnsi="Times New Roman" w:eastAsia="Times New Roman" w:cs="Times New Roman"/>
        </w:rPr>
        <w:t xml:space="preserve"> </w:t>
      </w:r>
      <w:r>
        <w:rPr>
          <w:rFonts w:ascii="Nirmala UI" w:hAnsi="Nirmala UI" w:eastAsia="Nirmala UI" w:cs="Nirmala UI"/>
        </w:rPr>
        <w:t>பொக்கிஷத்திலிருந்து</w:t>
      </w:r>
      <w:r>
        <w:rPr>
          <w:rFonts w:ascii="Times New Roman" w:hAnsi="Times New Roman" w:eastAsia="Times New Roman" w:cs="Times New Roman"/>
        </w:rPr>
        <w:t xml:space="preserve"> </w:t>
      </w:r>
      <w:r>
        <w:rPr>
          <w:rFonts w:ascii="Nirmala UI" w:hAnsi="Nirmala UI" w:eastAsia="Nirmala UI" w:cs="Nirmala UI"/>
        </w:rPr>
        <w:t>பொல்லாதவற்றை</w:t>
      </w:r>
      <w:r>
        <w:rPr>
          <w:rFonts w:ascii="Times New Roman" w:hAnsi="Times New Roman" w:eastAsia="Times New Roman" w:cs="Times New Roman"/>
        </w:rPr>
        <w:t xml:space="preserve"> </w:t>
      </w:r>
      <w:r>
        <w:rPr>
          <w:rFonts w:ascii="Nirmala UI" w:hAnsi="Nirmala UI" w:eastAsia="Nirmala UI" w:cs="Nirmala UI"/>
        </w:rPr>
        <w:t>வெளிக்கொணருகிறான்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உங்களுக்குச்</w:t>
      </w:r>
      <w:r>
        <w:rPr>
          <w:rFonts w:ascii="Times New Roman" w:hAnsi="Times New Roman" w:eastAsia="Times New Roman" w:cs="Times New Roman"/>
        </w:rPr>
        <w:t xml:space="preserve"> </w:t>
      </w:r>
      <w:r>
        <w:rPr>
          <w:rFonts w:ascii="Nirmala UI" w:hAnsi="Nirmala UI" w:eastAsia="Nirmala UI" w:cs="Nirmala UI"/>
        </w:rPr>
        <w:t>சொல்லுகிறேன்</w:t>
      </w:r>
      <w:r>
        <w:rPr>
          <w:rFonts w:ascii="Times New Roman" w:hAnsi="Times New Roman" w:eastAsia="Times New Roman" w:cs="Times New Roman"/>
        </w:rPr>
        <w:t xml:space="preserve">: </w:t>
      </w:r>
      <w:r>
        <w:rPr>
          <w:rFonts w:ascii="Nirmala UI" w:hAnsi="Nirmala UI" w:eastAsia="Nirmala UI" w:cs="Nirmala UI"/>
        </w:rPr>
        <w:t>மனிதர்கள்</w:t>
      </w:r>
      <w:r>
        <w:rPr>
          <w:rFonts w:ascii="Times New Roman" w:hAnsi="Times New Roman" w:eastAsia="Times New Roman" w:cs="Times New Roman"/>
        </w:rPr>
        <w:t xml:space="preserve"> </w:t>
      </w:r>
      <w:r>
        <w:rPr>
          <w:rFonts w:ascii="Nirmala UI" w:hAnsi="Nirmala UI" w:eastAsia="Nirmala UI" w:cs="Nirmala UI"/>
        </w:rPr>
        <w:t>பேசும்</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பயனற்ற</w:t>
      </w:r>
      <w:r>
        <w:rPr>
          <w:rFonts w:ascii="Times New Roman" w:hAnsi="Times New Roman" w:eastAsia="Times New Roman" w:cs="Times New Roman"/>
        </w:rPr>
        <w:t xml:space="preserve"> </w:t>
      </w:r>
      <w:r>
        <w:rPr>
          <w:rFonts w:ascii="Nirmala UI" w:hAnsi="Nirmala UI" w:eastAsia="Nirmala UI" w:cs="Nirmala UI"/>
        </w:rPr>
        <w:t>வார்த்தைக்காகவும்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நியாயத்தீர்ப்புநாளில்</w:t>
      </w:r>
      <w:r>
        <w:rPr>
          <w:rFonts w:ascii="Times New Roman" w:hAnsi="Times New Roman" w:eastAsia="Times New Roman" w:cs="Times New Roman"/>
        </w:rPr>
        <w:t xml:space="preserve"> </w:t>
      </w:r>
      <w:r>
        <w:rPr>
          <w:rFonts w:ascii="Nirmala UI" w:hAnsi="Nirmala UI" w:eastAsia="Nirmala UI" w:cs="Nirmala UI"/>
        </w:rPr>
        <w:t>கணக்குக்</w:t>
      </w:r>
      <w:r>
        <w:rPr>
          <w:rFonts w:ascii="Times New Roman" w:hAnsi="Times New Roman" w:eastAsia="Times New Roman" w:cs="Times New Roman"/>
        </w:rPr>
        <w:t xml:space="preserve"> </w:t>
      </w:r>
      <w:r>
        <w:rPr>
          <w:rFonts w:ascii="Nirmala UI" w:hAnsi="Nirmala UI" w:eastAsia="Nirmala UI" w:cs="Nirmala UI"/>
        </w:rPr>
        <w:t>கொடுப்பார்கள்</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வார்த்தைகளினால்</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நீதிமானாக்கப்படுவாய்</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வார்த்தைகளினால்</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குற்றவாளியாகத்</w:t>
      </w:r>
      <w:r>
        <w:rPr>
          <w:rFonts w:ascii="Times New Roman" w:hAnsi="Times New Roman" w:eastAsia="Times New Roman" w:cs="Times New Roman"/>
        </w:rPr>
        <w:t xml:space="preserve"> </w:t>
      </w:r>
      <w:r>
        <w:rPr>
          <w:rFonts w:ascii="Nirmala UI" w:hAnsi="Nirmala UI" w:eastAsia="Nirmala UI" w:cs="Nirmala UI"/>
        </w:rPr>
        <w:t>தீர்க்கப்படுவாய்</w:t>
      </w:r>
      <w:r>
        <w:rPr>
          <w:rFonts w:ascii="Times New Roman" w:hAnsi="Times New Roman" w:eastAsia="Times New Roman" w:cs="Times New Roman"/>
        </w:rPr>
        <w:t xml:space="preserve">. </w:t>
      </w:r>
      <w:r>
        <w:rPr>
          <w:rFonts w:ascii="Nirmala UI" w:hAnsi="Nirmala UI" w:eastAsia="Nirmala UI" w:cs="Nirmala UI"/>
        </w:rPr>
        <w:t>மத்தேயு</w:t>
      </w:r>
      <w:r>
        <w:rPr>
          <w:rFonts w:ascii="Times New Roman" w:hAnsi="Times New Roman" w:eastAsia="Times New Roman" w:cs="Times New Roman"/>
        </w:rPr>
        <w:t xml:space="preserve"> 12:33–37.</w:t>
      </w:r>
    </w:p>
    <w:p>
      <w:pPr>
        <w:pStyle w:val="ArticleBody"/>
        <w:jc w:val="left"/>
      </w:pPr>
      <w:r>
        <w:rPr>
          <w:rFonts w:ascii="Times New Roman" w:hAnsi="Times New Roman" w:eastAsia="Times New Roman" w:cs="Times New Roman"/>
        </w:rPr>
        <w:t>Na mokolo ya kosambisama, kolanda na mobeko ya mibale, ezali na ekeke ya minei. Kosambisama yango etongami likoló ya nsango oyo tolobaka, mpe nsango yango ebimaka na mitema na biso. Ezali nsango oyo tolobaka nde emonisaka soki tozali “libota oyo Lipetelo aponami” to “libota ya banyoka ya ngɛngɛ.” Bato ya lolenge nyonso mibale bamonisamaka na suka ya mosala ya komekama, epai Klisto, lokola moto ya kopɛtola putulu, apɛtolaka etando na Ye. Ndenge moko mpe na mafuta na lisese ya bangɔndɔ zomi, nsango emonisami to na motema mabe to na motema malamu. Lisakoli ya Klisto ebakisi ete libota oyo ya banyoka ya ngɛngɛ, oyo ezali ekeke ya minei mpe ya nsuka, elukaka elembo, mpe elembo kaka oyo bakopesa bango ezalaki elembo ya Yona.</w:t>
      </w:r>
    </w:p>
    <w:p>
      <w:pPr>
        <w:pStyle w:val="ArticleScripture"/>
        <w:jc w:val="left"/>
      </w:pPr>
      <w:r>
        <w:rPr>
          <w:rFonts w:ascii="Times New Roman" w:hAnsi="Times New Roman" w:eastAsia="Times New Roman" w:cs="Times New Roman"/>
        </w:rPr>
        <w:t>Alors quelques-uns des scribes et des pharisiens prirent la parole et dirent : Maître, nous voudrions voir de toi un signe. Mais il leur répondit : Une génération méchante et adultère demande un signe ; et il ne lui sera donné d’autre signe que le signe du prophète Jonas. Car, de même que Jonas fut trois jours et trois nuits dans le ventre du grand poisson, de même le Fils de l’homme sera trois jours et trois nuits dans le sein de la terre. Les hommes de Ninive se lèveront, au jugement, avec cette génération, et la condamneront, parce qu’ils se repentirent à la prédication de Jonas ; et voici, il y a ici plus que Jonas. La reine du Midi se lèvera, au jugement, avec cette génération, et la condamnera, car elle vint des extrémités de la terre pour entendre la sagesse de Salomon ; et voici, il y a ici plus que Salomon. Matthieu 12:38–42.</w:t>
      </w:r>
    </w:p>
    <w:p>
      <w:pPr>
        <w:pStyle w:val="ArticleBody"/>
        <w:jc w:val="left"/>
      </w:pPr>
      <w:r>
        <w:rPr>
          <w:rFonts w:ascii="Times New Roman" w:hAnsi="Times New Roman" w:eastAsia="Times New Roman" w:cs="Times New Roman"/>
        </w:rPr>
        <w:t>Christ a désigné les Juifs comme une génération de vipères, et Il emploie des illustrations de jugement, à savoir le message de Jonas et le message de la sagesse de Salomon. Jésus identifie, par le contexte et par deux témoins, que la génération de vipères est la quatrième génération, car c’est dans la quatrième génération que le jugement s’accomplit.</w:t>
      </w:r>
    </w:p>
    <w:p>
      <w:pPr>
        <w:pStyle w:val="ArticleBody"/>
        <w:jc w:val="left"/>
      </w:pPr>
      <w:r>
        <w:rPr>
          <w:rFonts w:ascii="Times New Roman" w:hAnsi="Times New Roman" w:eastAsia="Times New Roman" w:cs="Times New Roman"/>
        </w:rPr>
        <w:t>144,000 là cờ hiệu, hay dấu chỉ của những ngày sau rốt, cũng như luật pháp của Đức Chúa Trời và ngày Sa-bát vậy. Dấu chỉ của Giô-na là dấu chỉ của sự phục sinh, mà đối với người Do Thái trong thời đại của Đấng Christ, đó là phép báp-têm của Ngài, khi Đức Thánh Linh ngự xuống, được biểu hiện như chim bồ câu. Giô-na có nghĩa là “chim bồ câu.” Giô-na, Giăng, tác giả sách Khải Huyền, Đa-ni-ên, Giô-sép và La-xa-rơ tượng trưng cho 144,000 người, là những người được phục sinh khỏi tình trạng chết ngoài đường trong ba ngày rưỡi. Đến lúc ấy họ phải chuyển từ người Lao-đi-xê sang người Phi-la-đen-phi, nhờ đó trở nên vị thứ tám vốn thuộc về bảy vị. Giô-na tượng trưng cho phép báp-têm, vì ông đã bị ném xuống nước và chết theo biểu tượng khi bị cá lớn nuốt. Sau đó ông được phục sinh, cũng như Giăng, khi được đem ra khỏi vạc dầu sôi; cũng như Đa-ni-ên, khi được đem ra khỏi hang sư tử; cũng như Giô-sép, khi được đem lên khỏi hố; cũng như La-xa-rơ, phép lạ niêm ấn trong thời Đấng Christ. Người Do Thái không thể thấy dấu chỉ của Giô-na, như được biểu hiện bởi sự phục sinh của Đấng Christ, rõ ràng hơn việc Cơ Đốc Phục Lâm nhìn thấy dấu chỉ của biến cố 11/9, vốn là dấu chỉ của Giô-na.</w:t>
      </w:r>
    </w:p>
    <w:p>
      <w:pPr>
        <w:pStyle w:val="ArticleBody"/>
        <w:jc w:val="left"/>
      </w:pPr>
      <w:r>
        <w:rPr>
          <w:rFonts w:ascii="Times New Roman" w:hAnsi="Times New Roman" w:eastAsia="Times New Roman" w:cs="Times New Roman"/>
        </w:rPr>
        <w:t>Nous poursuivrons ces sujets dans le prochain article.</w:t>
      </w:r>
    </w:p>
    <w:p>
      <w:pPr>
        <w:pStyle w:val="ArticleScripture"/>
        <w:jc w:val="left"/>
      </w:pPr>
      <w:r>
        <w:rPr>
          <w:rFonts w:ascii="Times New Roman" w:hAnsi="Times New Roman" w:eastAsia="Times New Roman" w:cs="Times New Roman"/>
        </w:rPr>
        <w:t>“</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चलेगा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दुर्बल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सेवेंथ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उद्घाटित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पग</w:t>
      </w:r>
      <w:r>
        <w:rPr>
          <w:rFonts w:ascii="Times New Roman" w:hAnsi="Times New Roman" w:eastAsia="Times New Roman" w:cs="Times New Roman"/>
        </w:rPr>
        <w:t>-</w:t>
      </w:r>
      <w:r>
        <w:rPr>
          <w:rFonts w:ascii="Nirmala UI" w:hAnsi="Nirmala UI" w:eastAsia="Nirmala UI" w:cs="Nirmala UI"/>
        </w:rPr>
        <w:t>पग</w:t>
      </w:r>
      <w:r>
        <w:rPr>
          <w:rFonts w:ascii="Times New Roman" w:hAnsi="Times New Roman" w:eastAsia="Times New Roman" w:cs="Times New Roman"/>
        </w:rPr>
        <w:t xml:space="preserve"> </w:t>
      </w:r>
      <w:r>
        <w:rPr>
          <w:rFonts w:ascii="Nirmala UI" w:hAnsi="Nirmala UI" w:eastAsia="Nirmala UI" w:cs="Nirmala UI"/>
        </w:rPr>
        <w:t>चलकर</w:t>
      </w:r>
      <w:r>
        <w:rPr>
          <w:rFonts w:ascii="Times New Roman" w:hAnsi="Times New Roman" w:eastAsia="Times New Roman" w:cs="Times New Roman"/>
        </w:rPr>
        <w:t xml:space="preserve"> </w:t>
      </w:r>
      <w:r>
        <w:rPr>
          <w:rFonts w:ascii="Nirmala UI" w:hAnsi="Nirmala UI" w:eastAsia="Nirmala UI" w:cs="Nirmala UI"/>
        </w:rPr>
        <w:t>यात्रा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उपवास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मार्गदर्शन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आभास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संकटपूर्ण</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w:t>
      </w:r>
      <w:r>
        <w:rPr>
          <w:rFonts w:ascii="Nirmala UI" w:hAnsi="Nirmala UI" w:eastAsia="Nirmala UI" w:cs="Nirmala UI"/>
        </w:rPr>
        <w:t>भाँति</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सुनाई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चेतावनियाँ</w:t>
      </w:r>
      <w:r>
        <w:rPr>
          <w:rFonts w:ascii="Times New Roman" w:hAnsi="Times New Roman" w:eastAsia="Times New Roman" w:cs="Times New Roman"/>
        </w:rPr>
        <w:t xml:space="preserve"> </w:t>
      </w:r>
      <w:r>
        <w:rPr>
          <w:rFonts w:ascii="Nirmala UI" w:hAnsi="Nirmala UI" w:eastAsia="Nirmala UI" w:cs="Nirmala UI"/>
        </w:rPr>
        <w:t>आईं</w:t>
      </w:r>
      <w:r>
        <w:rPr>
          <w:rFonts w:ascii="Times New Roman" w:hAnsi="Times New Roman" w:eastAsia="Times New Roman" w:cs="Times New Roman"/>
        </w:rPr>
        <w:t>,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w:t>
      </w:r>
      <w:r>
        <w:rPr>
          <w:rFonts w:ascii="Nirmala UI" w:hAnsi="Nirmala UI" w:eastAsia="Nirmala UI" w:cs="Nirmala UI"/>
        </w:rPr>
        <w:t>यिर्मयाह</w:t>
      </w:r>
      <w:r>
        <w:rPr>
          <w:rFonts w:ascii="Times New Roman" w:hAnsi="Times New Roman" w:eastAsia="Times New Roman" w:cs="Times New Roman"/>
        </w:rPr>
        <w:t xml:space="preserve"> 23:21 </w:t>
      </w:r>
      <w:r>
        <w:rPr>
          <w:rFonts w:ascii="Nirmala UI" w:hAnsi="Nirmala UI" w:eastAsia="Nirmala UI" w:cs="Nirmala UI"/>
        </w:rPr>
        <w:t>देखिए।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“Bwana aliwaongoza watu Wake kwa namna iliyo wazi, na mafunuo Yake kuhusu yaliyo kweli yalikuwa ya ajabu sana. Jambo baada ya jambo lilithibitishwa na Bwana Mungu wa mbinguni. Kile kilichokuwa kweli wakati ule, ni kweli leo pia. Lakini sauti zinaendelea kusikika—‘Huu ndio ukweli. Nina nuru mpya.’ Lakini hizi nuru mpya katika mistari ya unabii hujidhihirisha katika kulipotosha Neno na kuwaacha watu wa Mungu wakielea bila nanga ya kuwashikilia. Kama mwanafunzi wa Neno angezipokea kweli ambazo Mungu amezifunua katika uongozi Wake kwa watu Wake, na kuzifanya kuwa zake, akazimeng’enya, na kuzileta katika maisha yake ya kila siku, basi angekuwa mfereji ulio hai wa nuru. Lakini wale waliojitoa kuchunguza nadharia mpya, wana mchanganyiko wa kweli na kosa uliounganishwa pamoja, na baada ya kujaribu kuyafanya mambo haya yawe ya umuhimu mkuu, wameonyesha kwamba hawajawasha taa yao kutoka kwenye madhabahu ya Mungu, nayo imezimika gizani.” Selected Messages, book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vingt et un</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