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لائودیکیه‌ای ادونتیست‌های روز هفتم - شمارهٔ بیست‌وسه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Namba Twenty-Three</w:t>
      </w:r>
    </w:p>
    <w:p>
      <w:pPr>
        <w:pStyle w:val="ArticleBody"/>
        <w:jc w:val="left"/>
      </w:pPr>
      <w:r>
        <w:rPr>
          <w:rFonts w:ascii="Times New Roman" w:hAnsi="Times New Roman" w:eastAsia="Times New Roman" w:cs="Times New Roman"/>
        </w:rPr>
        <w:t>No artigo vinte e dois escrevi: “Então, no capítulo onze, a genealogia do povo escolhido é representada por dez nomes, de Sem a Abrão. O capítulo onze é a história da torre de Babel, mas também a genealogia do povo escolhido, tal como representado por Abraão. O capítulo onze introduz um povo escolhido que haveria de entrar em uma aliança tríplice com Deus. O terceiro e último passo foi o sacrifício de Isaque no capítulo vinte e dois. O capítulo ‘onze’ é o começo alfa, e o capítulo ‘vinte e dois’ é o fim ômega. A fé necessária para ouvir a voz de Deus no significado dos nomes não é diferente da fé necessária para ouvir a Sua voz na numeração da Sua Palavra.”</w:t>
      </w:r>
    </w:p>
    <w:p>
      <w:pPr>
        <w:pStyle w:val="ArticleBody"/>
        <w:jc w:val="left"/>
      </w:pPr>
      <w:r>
        <w:rPr>
          <w:rFonts w:ascii="Times New Roman" w:hAnsi="Times New Roman" w:eastAsia="Times New Roman" w:cs="Times New Roman"/>
        </w:rPr>
        <w:t>Le chapitre onze présente l’alliance de Caïn et l’alliance d’Abel. Au fil des années, nous avons montré à maintes reprises que les caractéristiques prophétiques de la tour de Babel représentent une alliance contrefaite. Après le déluge, il y eut un changement de dispensations: avant le déluge, l’on adorait à la porte d’Éden; après le déluge, l’adoration devait se faire à un autel. L’autel était soumis à des exigences bibliques précises. Il devait être élevé en pierres naturelles, sans qu’aucune main humaine n’en taille ni n’en cisèle la pierre. Il devait être pierre sur pierre, sans mortier.</w:t>
      </w:r>
    </w:p>
    <w:p>
      <w:pPr>
        <w:pStyle w:val="ArticleBody"/>
        <w:jc w:val="left"/>
      </w:pPr>
      <w:r>
        <w:rPr>
          <w:rFonts w:ascii="Times New Roman" w:hAnsi="Times New Roman" w:eastAsia="Times New Roman" w:cs="Times New Roman"/>
        </w:rPr>
        <w:t>Le but de la tour était de faire un nom aux cohortes de Nimrod, ce qui représente le caractère. Dans la tour, nous voyons l’homme tenter de se sauver lui-même et de s’élever comme les dieux du ciel. La tour est le symbole d’une Église qui pense pouvoir se sauver elle-même, et qui pense devoir être élevée, comme le font les dix rois dans le Psaume 83, lorsqu’ils élèvent la tête papale dans la mauvaise confédération de la prophétie biblique, laquelle se produit lors de la loi du dimanche.</w:t>
      </w:r>
    </w:p>
    <w:p>
      <w:pPr>
        <w:pStyle w:val="ArticleScripture"/>
        <w:jc w:val="left"/>
      </w:pPr>
      <w:r>
        <w:rPr>
          <w:rFonts w:ascii="Times New Roman" w:hAnsi="Times New Roman" w:eastAsia="Times New Roman" w:cs="Times New Roman"/>
        </w:rPr>
        <w:t>Une Chanson, ou Psaume d’Asaph. Ô Dieu, ne garde pas le silence; ne te tais pas, et ne demeure pas immobile, ô Dieu. Car voici, tes ennemis s’agitent avec tumulte, et ceux qui te haïssent ont levé la tête. Psaumes 83:1, 2.</w:t>
      </w:r>
    </w:p>
    <w:p>
      <w:pPr>
        <w:pStyle w:val="ArticleBody"/>
        <w:jc w:val="left"/>
      </w:pPr>
      <w:r>
        <w:rPr>
          <w:rFonts w:ascii="Times New Roman" w:hAnsi="Times New Roman" w:eastAsia="Times New Roman" w:cs="Times New Roman"/>
        </w:rPr>
        <w:t>Inyagihugu yari imaze kurimburwa n’umwuzure wa Nowa, kandi impamvu Imana yagaragaje iherezo ry’igihe cy’imbabazi ku isi ya mbere y’umwuzure ni uko ibitekerezo by’umuntu byari byarabaye bibi ubudasiba. Bibiliya ivuga ku bumwe mu buryo butandukanye, bumwe muri bwo akaba ari ukubona “amaso ku maso.” Mbese babiri bashobora kugendana, keretse bumvikanye?</w:t>
      </w:r>
    </w:p>
    <w:p>
      <w:pPr>
        <w:pStyle w:val="ArticleScripture"/>
        <w:jc w:val="left"/>
      </w:pPr>
      <w:r>
        <w:rPr>
          <w:rFonts w:ascii="Times New Roman" w:hAnsi="Times New Roman" w:eastAsia="Times New Roman" w:cs="Times New Roman"/>
        </w:rPr>
        <w:t>Afei I kerekere vei kemudou, na veiwekani, ena yaca ni noda Turaga o Jiova Jisu Karisito, me tautauvata na ka dou vosa kina kecega, ka me kakua ni tiko na veisei ena kemudou maliwa; ia mo dou semati vakadodonu vata tiko ena dua ga na vakasama kei na dua ga na lewa. 1 Korinica 1:10.</w:t>
      </w:r>
    </w:p>
    <w:p>
      <w:pPr>
        <w:pStyle w:val="ArticleBody"/>
        <w:jc w:val="left"/>
      </w:pPr>
      <w:r>
        <w:rPr>
          <w:rFonts w:ascii="Times New Roman" w:hAnsi="Times New Roman" w:eastAsia="Times New Roman" w:cs="Times New Roman"/>
        </w:rPr>
        <w:t>Lorsque Dieu brouilla la langue lors du jugement exercé sur le royaume de Nimrod, cela indique qu’avant cette confusion ils étaient tous unis, et qu’ainsi ils avaient tous le même caractère; or ce caractère était une religion fondée sur les œuvres humaines — par opposition à ceux qui, dans ce même chapitre, sont représentés par Abraham. Sem était une âme fidèle au temps de Nimrod. Les historiens désignent Sem comme celui qui tua Nimrod, le puissant rebelle devant l’Éternel. L’argument demeure même sans les opinions des historiens, car Sem est un homme d’alliance, qui fait remonter son sang à Noé, homme d’alliance, lequel fait remonter son sang à Seth, un autre homme d’alliance, qui entra dans l’histoire de l’alliance pour remplacer son frère Abel, autre homme d’alliance qui était un descendant direct d’Adam.</w:t>
      </w:r>
    </w:p>
    <w:p>
      <w:pPr>
        <w:pStyle w:val="ArticleBody"/>
        <w:jc w:val="left"/>
      </w:pPr>
      <w:r>
        <w:rPr>
          <w:rFonts w:ascii="Times New Roman" w:hAnsi="Times New Roman" w:eastAsia="Times New Roman" w:cs="Times New Roman"/>
        </w:rPr>
        <w:t>Jeunesis chapta elevin hem i stap olsem bikpela pait namel long Krais na Seten, insait long kain stori bilong wanpela kontrak bilong laip na wanpela kontrak bilong dai. Nimrot i makim dispela bikpela painim manmeri long ai bilong Bikpela, long wanem em i makim wanpela sios we i gat planti man i bihainim em. Abram, long rot bilong Sem, i makim wanpela sios we i gat liklik tasol man i bihainim em. Sem em i man bilong kontrak long taim Nimrot i wok long wokim taua bilong em, tasol tupela kontrak long chapta elevin ol i no stap olsem mak bilong Sem na Nimrot, nogat, ol i stap olsem mak bilong Nimrot na Abraham. Pol i mekim dispela lo bilong profesi i kamap klia tru.</w:t>
      </w:r>
    </w:p>
    <w:p>
      <w:pPr>
        <w:pStyle w:val="ArticleScripture"/>
        <w:jc w:val="left"/>
      </w:pP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મેલ્કિસેદેક</w:t>
      </w:r>
      <w:r>
        <w:rPr>
          <w:rFonts w:ascii="Times New Roman" w:hAnsi="Times New Roman" w:eastAsia="Times New Roman" w:cs="Times New Roman"/>
        </w:rPr>
        <w:t xml:space="preserve">, </w:t>
      </w:r>
      <w:r>
        <w:rPr>
          <w:rFonts w:ascii="Nirmala UI" w:hAnsi="Nirmala UI" w:eastAsia="Nirmala UI" w:cs="Nirmala UI"/>
        </w:rPr>
        <w:t>સાલેમનો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સર્વોચ્ચ</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રાજાઓના</w:t>
      </w:r>
      <w:r>
        <w:rPr>
          <w:rFonts w:ascii="Times New Roman" w:hAnsi="Times New Roman" w:eastAsia="Times New Roman" w:cs="Times New Roman"/>
        </w:rPr>
        <w:t xml:space="preserve"> </w:t>
      </w:r>
      <w:r>
        <w:rPr>
          <w:rFonts w:ascii="Nirmala UI" w:hAnsi="Nirmala UI" w:eastAsia="Nirmala UI" w:cs="Nirmala UI"/>
        </w:rPr>
        <w:t>સંહાર</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ફરતા</w:t>
      </w:r>
      <w:r>
        <w:rPr>
          <w:rFonts w:ascii="Times New Roman" w:hAnsi="Times New Roman" w:eastAsia="Times New Roman" w:cs="Times New Roman"/>
        </w:rPr>
        <w:t xml:space="preserve"> </w:t>
      </w:r>
      <w:r>
        <w:rPr>
          <w:rFonts w:ascii="Nirmala UI" w:hAnsi="Nirmala UI" w:eastAsia="Nirmala UI" w:cs="Nirmala UI"/>
        </w:rPr>
        <w:t>અબ્રાહામને</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આશીર્વાદ</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અબ્રાહામે</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સર્વમાંથી</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અર્થાનુવાદ</w:t>
      </w:r>
      <w:r>
        <w:rPr>
          <w:rFonts w:ascii="Times New Roman" w:hAnsi="Times New Roman" w:eastAsia="Times New Roman" w:cs="Times New Roman"/>
        </w:rPr>
        <w:t xml:space="preserve"> </w:t>
      </w:r>
      <w:r>
        <w:rPr>
          <w:rFonts w:ascii="Nirmala UI" w:hAnsi="Nirmala UI" w:eastAsia="Nirmala UI" w:cs="Nirmala UI"/>
        </w:rPr>
        <w:t>પ્રમાણે</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ધાર્મિકતાનો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સાલેમનો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અર્થાત્</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માતા</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વંશાવળી</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જીવનનો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બનાવવામાં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સદાકાળ</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વિચાર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પિતૃપુરુષ</w:t>
      </w:r>
      <w:r>
        <w:rPr>
          <w:rFonts w:ascii="Times New Roman" w:hAnsi="Times New Roman" w:eastAsia="Times New Roman" w:cs="Times New Roman"/>
        </w:rPr>
        <w:t xml:space="preserve"> </w:t>
      </w:r>
      <w:r>
        <w:rPr>
          <w:rFonts w:ascii="Nirmala UI" w:hAnsi="Nirmala UI" w:eastAsia="Nirmala UI" w:cs="Nirmala UI"/>
        </w:rPr>
        <w:t>અબ્રાહામે</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લૂંટના</w:t>
      </w:r>
      <w:r>
        <w:rPr>
          <w:rFonts w:ascii="Times New Roman" w:hAnsi="Times New Roman" w:eastAsia="Times New Roman" w:cs="Times New Roman"/>
        </w:rPr>
        <w:t xml:space="preserve"> </w:t>
      </w:r>
      <w:r>
        <w:rPr>
          <w:rFonts w:ascii="Nirmala UI" w:hAnsi="Nirmala UI" w:eastAsia="Nirmala UI" w:cs="Nirmala UI"/>
        </w:rPr>
        <w:t>માલમાંથી</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vérité, ceux des fils de Lévi qui reçoivent la charge du sacerdoce ont, selon la loi, le commandement de percevoir la dîme du peuple, c’est-à-dire de leurs frères, bien qu’ils soient issus des reins d’Abraham :</w:t>
      </w:r>
    </w:p>
    <w:p>
      <w:pPr>
        <w:pStyle w:val="ArticleScripture"/>
        <w:jc w:val="left"/>
      </w:pPr>
      <w:r>
        <w:rPr>
          <w:rFonts w:ascii="Times New Roman" w:hAnsi="Times New Roman" w:eastAsia="Times New Roman" w:cs="Times New Roman"/>
        </w:rPr>
        <w:t>Men han, hvis æt ikke regnes iblandt dem, modtog tiende af Abraham og velsignede ham, som havde forjættelserne. Og uden al modsigelse er det den ringere, der velsignes af den højere. Og her er det dødelige mennesker, som modtager tiender; men dér er det én, om hvem der vidnes, at han lever. Og, om jeg så må sige, har også Levi, som modtager tiender, givet tiende i Abraham. Thi han var endnu i sin faders lænder, da Melkisedek mødte ham. Hebræerne 7:1–10.</w:t>
      </w:r>
    </w:p>
    <w:p>
      <w:pPr>
        <w:pStyle w:val="ArticleBody"/>
        <w:jc w:val="left"/>
      </w:pPr>
      <w:r>
        <w:rPr>
          <w:rFonts w:ascii="Times New Roman" w:hAnsi="Times New Roman" w:eastAsia="Times New Roman" w:cs="Times New Roman"/>
        </w:rPr>
        <w:t>Le sujet de Melchisédek renferme une grande quantité de vérité présente, mais je me borne simplement à signaler que Paul enseigne expressément que les caractéristiques prophétiques des hommes de l’alliance — et par là, j’entends les hommes et les femmes, dans le témoignage inspiré, dont le témoignage scripturaire identifie un jalon dans la ligne prophétique de l’alliance de Dieu avec l’humanité — Paul enseigne donc que Melchisédek, qui vécut avant l’établissement du sacerdoce lévitique au Sinaï, et par conséquent plus de quatre cents ans avant qu’il y eût un sacerdoce lévitique, avait reçu la dîme de Lévi. Pour appartenir au sacerdoce lévitique, il fallait être un Lévite capable de prouver sa descendance selon le sang de Lévi. Melchisédek ne pouvait pas démontrer que sa descendance provenait de la lignée de Lévi, car Lévi n’était pas encore né.</w:t>
      </w:r>
    </w:p>
    <w:p>
      <w:pPr>
        <w:pStyle w:val="ArticleBody"/>
        <w:jc w:val="left"/>
      </w:pPr>
      <w:r>
        <w:rPr>
          <w:rFonts w:ascii="Times New Roman" w:hAnsi="Times New Roman" w:eastAsia="Times New Roman" w:cs="Times New Roman"/>
        </w:rPr>
        <w:t>La ligne prophétique qui représente l’alliance de Dieu avec Adam et Ève est en réalité composée de deux alliances. La première était une alliance de vie assortie d’une épreuve simple. Après la chute et l’échec de cette épreuve, l’alliance suivante comporta le sang d’un agneau afin de pourvoir à un vêtement. Vint ensuite l’alliance de Dieu avec l’humanité, représentée par l’arc-en-ciel, Noé et le culte de l’autel. Puis vint Genèse onze, où commença l’alliance de Dieu avec un peuple choisi, qui serait appelé Hébreux. Dans chacun de ces récits, les personnages bibliques sont des hommes ou des femmes d’alliance.</w:t>
      </w:r>
    </w:p>
    <w:p>
      <w:pPr>
        <w:pStyle w:val="ArticleBody"/>
        <w:jc w:val="left"/>
      </w:pPr>
      <w:r>
        <w:rPr>
          <w:rFonts w:ascii="Times New Roman" w:hAnsi="Times New Roman" w:eastAsia="Times New Roman" w:cs="Times New Roman"/>
        </w:rPr>
        <w:t>لە پیدایش یازدە، دەستپێکی پەیمانی ژیان لەگەڵ گەلێکی هەڵبژێردراو دەردەخرێت، و ئەوەش لە هەمان شوێنەدا دەردەخرێت کە نمرود پەیمانی مردن دامەزراند، وەک لە خشت و هاونەوەکەدا نیشان دراوە، کە ساختەی ئەو بەردە نەوتاشراوانە و بێ هاونەوەیە بوو کە قوربانگاکە پێیان نیشان درابوو. خوشک وایت ئاگادارمان دەکاتەوە کە قوربانگا مەسیح نیشان دەدات؛ بۆیە ئایینی نمرود، کە ئایینێکی ساختەیە، مەسیحێکی ساختە نیشان دەدات.</w:t>
      </w:r>
    </w:p>
    <w:p>
      <w:pPr>
        <w:pStyle w:val="ArticleScripture"/>
        <w:jc w:val="left"/>
      </w:pPr>
      <w:r>
        <w:rPr>
          <w:rFonts w:ascii="Times New Roman" w:hAnsi="Times New Roman" w:eastAsia="Times New Roman" w:cs="Times New Roman"/>
        </w:rPr>
        <w:t>Et ils se dirent l’un à l’autre : Allons ! faisons des briques et cuisons-les au feu. Et ils eurent la brique pour pierre, et le bitume leur servit de mortier. Genèse 11:3.</w:t>
      </w:r>
    </w:p>
    <w:p>
      <w:pPr>
        <w:pStyle w:val="ArticleScripture"/>
        <w:jc w:val="left"/>
      </w:pPr>
      <w:r>
        <w:rPr>
          <w:rFonts w:ascii="Times New Roman" w:hAnsi="Times New Roman" w:eastAsia="Times New Roman" w:cs="Times New Roman"/>
        </w:rPr>
        <w:t>Et si tu me fais un autel de pierre, tu ne le bâtiras point en pierres taillées ; car, si tu lèves ton outil sur lui, tu le profanes. Exode 20:25.</w:t>
      </w:r>
    </w:p>
    <w:p>
      <w:pPr>
        <w:pStyle w:val="ArticleScripture"/>
        <w:jc w:val="left"/>
      </w:pPr>
      <w:r>
        <w:rPr>
          <w:rFonts w:ascii="Times New Roman" w:hAnsi="Times New Roman" w:eastAsia="Times New Roman" w:cs="Times New Roman"/>
        </w:rPr>
        <w:t>« Nous courons le danger de mêler le sacré et le profane. Le feu sacré venant de Dieu doit être employé dans nos efforts. Le véritable autel, c’est Christ ; le véritable feu, c’est le Saint-Esprit. Telle est notre inspiration. Ce n’est que dans la mesure où le Saint-Esprit conduit et dirige un homme qu’il est un conseiller sûr. Si nous nous détournons de Dieu et de ceux qu’Il a choisis pour consulter des autels étrangers, il nous sera répondu selon nos œuvres. » Selected Messages, livre 3, p. 300.</w:t>
      </w:r>
    </w:p>
    <w:p>
      <w:pPr>
        <w:pStyle w:val="ArticleBody"/>
        <w:jc w:val="left"/>
      </w:pP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जलप्रलय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अंतकालीन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इब्राहीम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वाचाएँ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पराकाष्ठा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इब्राहीमी</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Capítol onze és la història alfa de la línia d’Abraham que arriba a la història omega en el capítol vint-i-dos. El relat inicial de Babel de Nimrod i el relat final de l’oferiment d’Isaac representen tots dos el judici final sobre la humanitat. La línia comença a la torre de Nimrod i s’estén fins a l’oferiment d’Isaac, i la línia culmina en dues ofrenes oposades. L’ofrena de Nimrod rep el judici executiu de Déu, i el judici d’Abraham rep la benedicció de Déu. Nimrod és l’alfa del capítol onze i Abraham és l’omega del capítol vint-i-dos. L’omega és sempre més gran, almenys vint-i-dues vegades segons l’alfabet hebreu, i el poder manifestat en la confusió de les llengües i en la dispersió de les nacions per la terra fou superat amb escreix pel poder de la creu. La torre de Nimrod representa les Torres Bessones de l’11-S i l’oferiment d’Isaac representa la llei dominical.</w:t>
      </w:r>
    </w:p>
    <w:p>
      <w:pPr>
        <w:pStyle w:val="ArticleBody"/>
        <w:jc w:val="left"/>
      </w:pPr>
      <w:r>
        <w:rPr>
          <w:rFonts w:ascii="Times New Roman" w:hAnsi="Times New Roman" w:eastAsia="Times New Roman" w:cs="Times New Roman"/>
        </w:rPr>
        <w:t>حبلُ العهدِ مع شعبٍ مختارٍ يبدأ برمزِ العددِ أحدَ عشر، وينتهي برمزِ اثنين وعشرين. وينتهي هذا الخط عند إغلاق بابِ النعمة في التاريخ الألفي لنمرود، وكذلك في التاريخ الأوميغي لإبراهيم. وإن تاريخَ نمرود وإبراهيم ذاتهما معروضٌ في السفر الأول من الكتاب المقدس، وقد وُضع في سياقِ لملمةِ البقايا إثر الدمار الحديث العهد جدًا لطوفان نوح. وفي السفر الأول من الكتاب المقدس، يقدّم تصويرُ العهدين شاهدين يُظهران إغلاقَ بابِ النعمة في الامتداد من الأصحاح الحادي عشر إلى الثاني والعشرين.</w:t>
      </w:r>
    </w:p>
    <w:p>
      <w:pPr>
        <w:pStyle w:val="ArticleScripture"/>
        <w:jc w:val="left"/>
      </w:pPr>
      <w:r>
        <w:rPr>
          <w:rFonts w:ascii="Times New Roman" w:hAnsi="Times New Roman" w:eastAsia="Times New Roman" w:cs="Times New Roman"/>
        </w:rPr>
        <w:t>Celui qui est injuste, qu’il soit encore injuste; et celui qui est souillé, qu’il se souille encore; et que le juste pratique encore la justice; et que celui qui est saint se sanctifie encore. Apocalypse 22:11.</w:t>
      </w:r>
    </w:p>
    <w:p>
      <w:pPr>
        <w:pStyle w:val="ArticleBody"/>
        <w:jc w:val="left"/>
      </w:pPr>
      <w:r>
        <w:rPr>
          <w:rFonts w:ascii="Times New Roman" w:hAnsi="Times New Roman" w:eastAsia="Times New Roman" w:cs="Times New Roman"/>
        </w:rPr>
        <w:t>Nimrod is nog onregverdig en nog vuil, en Abraham nog regverdig en nog heilig, soos geïdentifiseer in die alfa van Genesis 11–22, en ook in die omega van Openbaring 22:11. Net voordat die genadetyd sluit, word daar in vers 10 ’n uitspraak gemaak om die woorde van die profesie van hierdie boek nie te verseël nie. Net voordat die genadetyd sluit, in die daaropvolgende vers, moet daar in Openbaring ’n profesie wees wat ontsluit moet word. Twee verse ná vers elf verskaf Christus die sleutel om daardie profesie te ontsluit.</w:t>
      </w:r>
    </w:p>
    <w:p>
      <w:pPr>
        <w:pStyle w:val="ArticleScripture"/>
        <w:jc w:val="left"/>
      </w:pPr>
      <w:r>
        <w:rPr>
          <w:rFonts w:ascii="Times New Roman" w:hAnsi="Times New Roman" w:eastAsia="Times New Roman" w:cs="Times New Roman"/>
        </w:rPr>
        <w:t>Na aambia, Usiyatie muhuri maneno ya unabii wa kitabu hiki, kwa maana wakati umekaribia. Yeye aliye dhalimu, na aendelee kuwa dhalimu bado; naye aliye mchafu, na aendelee kuwa mchafu bado; naye aliye mwenye haki, na aendelee kuwa mwenye haki bado; naye aliye mtakatifu, na aendelee kuwa mtakatifu bado. Na tazama, naja upesi; na ujira wangu u pamoja nami, kumlipa kila mtu kama kazi yake itakavyokuwa.</w:t>
      </w:r>
    </w:p>
    <w:p>
      <w:pPr>
        <w:pStyle w:val="ArticleScripture"/>
        <w:jc w:val="left"/>
      </w:pPr>
      <w:r>
        <w:rPr>
          <w:rFonts w:ascii="Times New Roman" w:hAnsi="Times New Roman" w:eastAsia="Times New Roman" w:cs="Times New Roman"/>
        </w:rPr>
        <w:t>Mimi ni Alfa na Omega, mwanzo na mwisho, wa kwanza na wa mwisho. Ufunuo 22:10–13.</w:t>
      </w:r>
    </w:p>
    <w:p>
      <w:pPr>
        <w:pStyle w:val="ArticleBody"/>
        <w:jc w:val="left"/>
      </w:pPr>
      <w:r>
        <w:rPr>
          <w:rFonts w:ascii="Times New Roman" w:hAnsi="Times New Roman" w:eastAsia="Times New Roman" w:cs="Times New Roman"/>
        </w:rPr>
        <w:t>Babi ya ishirini na mbili ni sura ya omega ya Biblia nzima, na ufunguo wa kufungua unabii ulio katika Ufunuo uliotiwa muhuri ni ile kanuni ambayo Kristo aliitambulisha juu ya nyingine zote katika sura ya kwanza ya Ufunuo. Sura ya kwanza ni herufi ya kwanza ya alfabeti ya Kiebrania, na sura ya ishirini na mbili ni ya mwisho. Katika aya ya tisa hadi ya kumi na moja ya sura ya kwanza, Yohana anajitambulisha, na humtambulisha Kristo kuwa Alfa na Omega.</w:t>
      </w:r>
    </w:p>
    <w:p>
      <w:pPr>
        <w:pStyle w:val="ArticleScripture"/>
        <w:jc w:val="left"/>
      </w:pPr>
      <w:r>
        <w:rPr>
          <w:rFonts w:ascii="Times New Roman" w:hAnsi="Times New Roman" w:eastAsia="Times New Roman" w:cs="Times New Roman"/>
        </w:rPr>
        <w:t>Mimi Yohana, ambaye mimi nami ni ndugu yenu, na mshiriki pamoja nanyi katika dhiki, na katika ufalme na saburi ya Yesu Kristo, nalikuwa katika kisiwa kinachoitwa Patmo kwa ajili ya neno la Mungu, na kwa ajili ya ushuhuda wa Yesu Kristo. Nalikuwa katika Roho siku ya Bwana, nikasikia nyuma yangu sauti kuu, kama ya tarumbeta, ikisema, Mimi ni Alfa na Omega, wa kwanza na wa mwisho; na, Uonayo, andika katika kitabu, ukakipeleke kwa yale makanisa saba yaliyo katika Asia; kwa Efeso, na kwa Smirna, na kwa Pergamo, na kwa Thiatira, na kwa Sardi, na kwa Filadelfia, na kwa Laodikia. Ufunuo 1:9-11.</w:t>
      </w:r>
    </w:p>
    <w:p>
      <w:pPr>
        <w:pStyle w:val="ArticleBody"/>
        <w:jc w:val="left"/>
      </w:pPr>
      <w:r>
        <w:rPr>
          <w:rFonts w:ascii="Times New Roman" w:hAnsi="Times New Roman" w:eastAsia="Times New Roman" w:cs="Times New Roman"/>
        </w:rPr>
        <w:t>Ao versículo onze, João está em Patmos; porém, volta-se no versículo doze e, dali em diante, encontra-se no santuário celestial. Assim, nos versículos 9/11, encontramos o testemunho de João, o qual identifica Jesus como o Alfa e o Ômega, algo que o próprio Jesus já havia declarado acerca de Si mesmo no versículo 8:</w:t>
      </w:r>
    </w:p>
    <w:p>
      <w:pPr>
        <w:pStyle w:val="ArticleScripture"/>
        <w:jc w:val="left"/>
      </w:pPr>
      <w:r>
        <w:rPr>
          <w:rFonts w:ascii="Times New Roman" w:hAnsi="Times New Roman" w:eastAsia="Times New Roman" w:cs="Times New Roman"/>
        </w:rPr>
        <w:t>Nsɛm a edi kan ne nea etwa to, me ne Alfa ne Omega, Awurade na ɔse, nea ɔwɔ hɔ, na ɔwɔ hɔ dada, na ɔreba no, Otumfoɔ Nyankopɔn no. Adiyisɛm 1:8.</w:t>
      </w:r>
    </w:p>
    <w:p>
      <w:pPr>
        <w:pStyle w:val="ArticleBody"/>
        <w:jc w:val="left"/>
      </w:pPr>
      <w:r>
        <w:rPr>
          <w:rFonts w:ascii="Times New Roman" w:hAnsi="Times New Roman" w:eastAsia="Times New Roman" w:cs="Times New Roman"/>
        </w:rPr>
        <w:t>À la huitième verset, Jean écrit ce qu’il a entendu Christ dire de Lui-même. Aux versets neuf à onze, c’est Jean qui parle de lui-même. Cela représente deux témoins, dans les onze premiers versets, qui identifient Christ comme l’Alpha et l’Oméga. Les versets neuf à onze constituent leur propre unité de pensée. Bien qu’ils soient liés à l’ensemble du chapitre, dans ces versets Jean parle de lui-même, tandis que, dans les versets quatre à huit, Jean parle de la part de la Divinité à Ses Églises. Le verset quatre commence une unité de pensée qui s’achève au verset huit. Cela se reconnaît aux caractéristiques d’ouverture de Christ, qui était, qui est, et qui est encore à venir, étant identifié au verset quatre, puis de nouveau au verset huit.</w:t>
      </w:r>
    </w:p>
    <w:p>
      <w:pPr>
        <w:pStyle w:val="ArticleScripture"/>
        <w:jc w:val="left"/>
      </w:pPr>
      <w:r>
        <w:rPr>
          <w:rFonts w:ascii="Times New Roman" w:hAnsi="Times New Roman" w:eastAsia="Times New Roman" w:cs="Times New Roman"/>
        </w:rPr>
        <w:t>John kepada ketujuh jemaat yang ada di Asia: Kasih karunia dan damai sejahtera bagi kamu, dari Dia yang ada dan yang sudah ada dan yang akan datang; dan dari ketujuh Roh yang ada di hadapan takhta-Nya; dan dari Yesus Kristus, Saksi yang setia, yang sulung dari antara orang mati, dan Penguasa raja-raja di bumi. Bagi Dia, yang telah mengasihi kita dan membasuh kita dari dosa-dosa kita dengan darah-Nya sendiri, dan yang telah menjadikan kita raja-raja dan imam-imam bagi Allah dan Bapa-Nya, bagi Dialah kemuliaan dan kekuasaan sampai selama-lamanya. Amin. Lihatlah, Ia datang dengan awan-awan, dan setiap mata akan melihat Dia, juga mereka yang telah menikam Dia; dan semua kaum di bumi akan meratap karena Dia. Ya, Amin.</w:t>
      </w:r>
    </w:p>
    <w:p>
      <w:pPr>
        <w:pStyle w:val="ArticleScripture"/>
        <w:jc w:val="left"/>
      </w:pPr>
      <w:r>
        <w:rPr>
          <w:rFonts w:ascii="Times New Roman" w:hAnsi="Times New Roman" w:eastAsia="Times New Roman" w:cs="Times New Roman"/>
        </w:rPr>
        <w:t>Mi jẹ́ Alfa àti Omega, ìbẹ̀rẹ̀ àti òpin, ni Olúwa wí, ẹni tí ó wà, tí ó sì ti wà, tí yóò sì wá, Olódùmarè. Ìfihàn 1:4–8.</w:t>
      </w:r>
    </w:p>
    <w:p>
      <w:pPr>
        <w:pStyle w:val="ArticleBody"/>
        <w:jc w:val="left"/>
      </w:pPr>
      <w:r>
        <w:rPr>
          <w:rFonts w:ascii="Times New Roman" w:hAnsi="Times New Roman" w:eastAsia="Times New Roman" w:cs="Times New Roman"/>
        </w:rPr>
        <w:t>Sura ya kwanza, aya tatu za kwanza, zinawasilisha Ufunuo wa Yesu Kristo, ambao unafunguliwa muda mfupi kabla ya kufungwa kwa muda wa rehema, kwa maana aya ya tatu yasema, “wakati u karibu.” “Wakati u karibu” ndilo tamko lilelile la aya ya kumi, ya sura ya ishirini na mbili, lisemalo, “usiyatie muhuri maneno ya unabii wa kitabu hiki; kwa maana wakati u karibu.” Unabii unaofunguliwa ni Ufunuo wa Yesu Kristo.</w:t>
      </w:r>
    </w:p>
    <w:p>
      <w:pPr>
        <w:pStyle w:val="ArticleBody"/>
        <w:jc w:val="left"/>
      </w:pPr>
      <w:r>
        <w:rPr>
          <w:rFonts w:ascii="Times New Roman" w:hAnsi="Times New Roman" w:eastAsia="Times New Roman" w:cs="Times New Roman"/>
        </w:rPr>
        <w:t>Le verset quatre commence le descellement, et le verset quatre s’ouvre par le témoignage de Jean: « Moi, Jean », puis, au verset huit, c’est le Christ qui s’identifie Lui-même. Un témoin humain dans le premier de ces cinq versets, et un témoin divin à la fin. Le verset quatre désigne le Père céleste comme celui « qui est, et qui était, et qui vient ». Le verset huit désigne le Christ comme celui « qui est, et qui était, et qui vient ».</w:t>
      </w:r>
    </w:p>
    <w:p>
      <w:pPr>
        <w:pStyle w:val="ArticleBody"/>
        <w:jc w:val="left"/>
      </w:pPr>
      <w:r>
        <w:rPr>
          <w:rFonts w:ascii="Times New Roman" w:hAnsi="Times New Roman" w:eastAsia="Times New Roman" w:cs="Times New Roman"/>
        </w:rPr>
        <w:t>Ufunguo wa kufunua Ufunuo wa Yesu Kristo ni kanuni ya alfa na omega. Akiwa wa Kwanza na wa Mwisho, Kristo pia yupo wakati wa sasa, ingawa alikuwapo wakati uliopita na atakuwapo wakati ujao. Ukweli kwamba Yesu na Baba wote wawili ni Mungu aliyekuwako, aliyeko, na atakayekuja bado, ni namna nyingine ya kumwasilisha Kristo kama Alfa na Omega. Yeye ni Alfa na Omega, wa Kwanza na wa Mwisho, Mwanzo na Mwisho, naye alikuwapo hapo mwanzo na atakuwapo hapo mwisho. “Funguo” za ufalme, zilizolipewa kanisa huko Kaisaria Filipi, pia ndizo “ufunguo” uliowekwa juu ya bega la Eliakimu katika Isaya 22:22. Alfa ya kitabu cha Ufunuo ni sura ya kwanza na omega ni sura ya ishirini na mbili, hivyo tunaiona alfabeti yote ya Kiebrania katika sura za Ufunuo. Sura ya kumi na tatu inawakilisha uasi wa Marekani na baadaye wa ulimwengu. Sura ya kwanza inamwasilisha Kristo kama Alfa na Omega, na sura ya ishirini na mbili inathibitisha ukweli huohuo, lakini kwa uhusiano na kufunuliwa huko kunakotajwa katika sura ya kwanza. Sura ya kwanza, ya kumi na tatu, na ya ishirini na mbili zinawakilisha herufi tatu za Kiebrania ambazo kwa pamoja huunda neno “kweli.”</w:t>
      </w:r>
    </w:p>
    <w:p>
      <w:pPr>
        <w:pStyle w:val="ArticleBody"/>
        <w:jc w:val="left"/>
      </w:pPr>
      <w:r>
        <w:rPr>
          <w:rFonts w:ascii="Times New Roman" w:hAnsi="Times New Roman" w:eastAsia="Times New Roman" w:cs="Times New Roman"/>
        </w:rPr>
        <w:t>Dans le chapitre vingt-trois de Matthieu, Jésus prononce huit malheurs contre les pharisiens et les sadducéens. Dans le dernier verset du chapitre vingt-deux, l’échange du Christ avec les Juifs ergoteurs s’acheva sur l’énigme de David, énigme qui ne peut être résolue que si l’on comprend le principe de l’alpha et de l’oméga.</w:t>
      </w:r>
    </w:p>
    <w:p>
      <w:pPr>
        <w:pStyle w:val="ArticleScripture"/>
        <w:jc w:val="left"/>
      </w:pPr>
      <w:r>
        <w:rPr>
          <w:rFonts w:ascii="Times New Roman" w:hAnsi="Times New Roman" w:eastAsia="Times New Roman" w:cs="Times New Roman"/>
        </w:rPr>
        <w:t>فا ئەو کاتەی فەریسییەکان پێکەوە کۆبوونەوە، عیسا لێیانی پرسی و فەرمووی: دەربارەی مەسیح چی بیردەکەنەوە؟ کوڕی کێیە؟</w:t>
      </w:r>
    </w:p>
    <w:p>
      <w:pPr>
        <w:pStyle w:val="ArticleScripture"/>
        <w:jc w:val="left"/>
      </w:pPr>
      <w:r>
        <w:rPr>
          <w:rFonts w:ascii="Times New Roman" w:hAnsi="Times New Roman" w:eastAsia="Times New Roman" w:cs="Times New Roman"/>
        </w:rPr>
        <w:t>Elles lui disent : Le Fils de David.</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कहकर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nul ne put lui répondre un mot; et, depuis ce jour, personne n’osa plus lui poser de questions. Matthieu 22:41–46.</w:t>
      </w:r>
    </w:p>
    <w:p>
      <w:pPr>
        <w:pStyle w:val="ArticleBody"/>
        <w:jc w:val="left"/>
      </w:pPr>
      <w:r>
        <w:rPr>
          <w:rFonts w:ascii="Times New Roman" w:hAnsi="Times New Roman" w:eastAsia="Times New Roman" w:cs="Times New Roman"/>
        </w:rPr>
        <w:t>Cha fa hnuaihnung ber hi thuthlung chanchin thu-a hriatna hmun pakhat a sawi fiah a ni. Jeremiah chuan he thu dik kawng hi a sawi ve bawk:</w:t>
      </w:r>
    </w:p>
    <w:p>
      <w:pPr>
        <w:pStyle w:val="ArticleScripture"/>
        <w:jc w:val="left"/>
      </w:pPr>
      <w:r>
        <w:rPr>
          <w:rFonts w:ascii="Times New Roman" w:hAnsi="Times New Roman" w:eastAsia="Times New Roman" w:cs="Times New Roman"/>
        </w:rPr>
        <w:t>Parole qui fut adressée à Jérémie de la part de l’Éternel, en ces termes : Tiens-toi à la porte de la maison de l’Éternel, et là proclame cette parole, et dis : Écoutez la parole de l’Éternel, vous tous de Juda, qui entrez par ces portes pour adorer l’Éternel. Ainsi parle l’Éternel des armées, le Dieu d’Israël : Réformez vos voies et vos actions, et je vous ferai demeurer dans ce lieu. Ne vous fiez pas à des paroles mensongères, en disant : Le temple de l’Éternel, le temple de l’Éternel, le temple de l’Éternel, voilà ce qu’ils sont.</w:t>
      </w:r>
    </w:p>
    <w:p>
      <w:pPr>
        <w:pStyle w:val="ArticleScripture"/>
        <w:jc w:val="left"/>
      </w:pPr>
      <w:r>
        <w:rPr>
          <w:rFonts w:ascii="Times New Roman" w:hAnsi="Times New Roman" w:eastAsia="Times New Roman" w:cs="Times New Roman"/>
        </w:rPr>
        <w:t>Nokuba nithe nazilungisa kakuhle iindlela zenu nezenzo zenu; ukuba nithe nawusenza kakuhle umgwebo phakathi komntu nommelwane wakhe; ukuba aninicinezeli owasemzini, nenkedama, nomhlolokazi, ningaphalazi gazi lingenatyala kule ndawo, ningalandeli thixo bambi ukuze nizenzakalise: ndiya kunenza nihlale kule ndawo, ezweni endalinika ooyihlo, ngonaphakade kanaphakade. Yabonani, nithembela kumazwi obuxoki angenakunceda nto. Noba ningeba, nibulale, nihenyuze, nifunge ubuxoki, ninyanisele uBhahali isiqhumiso, nilandele thixo bambi eningabaziyo; nize nime phambi kwam kule ndlu ibizwe ngegama lam, nithi, Sikhululwe ukuze senze onke la manyala?</w:t>
      </w:r>
    </w:p>
    <w:p>
      <w:pPr>
        <w:pStyle w:val="ArticleScripture"/>
        <w:jc w:val="left"/>
      </w:pPr>
      <w:r>
        <w:rPr>
          <w:rFonts w:ascii="Times New Roman" w:hAnsi="Times New Roman" w:eastAsia="Times New Roman" w:cs="Times New Roman"/>
        </w:rPr>
        <w:t>Цей дім, що зветься Моїм Ім’ям, чи не став у ваших очах вертепом розбійників? Ось, Я, Я Сам бачив це, говорить Господь. Та йдіть тепер до Мого місця, що було в Шіло, де Я на початку оселив Ім’я Моє, і подивіться, що Я вчинив із ним за беззаконня народу Мого, Ізраїля.</w:t>
      </w:r>
    </w:p>
    <w:p>
      <w:pPr>
        <w:pStyle w:val="ArticleScripture"/>
        <w:jc w:val="left"/>
      </w:pPr>
      <w:r>
        <w:rPr>
          <w:rFonts w:ascii="Times New Roman" w:hAnsi="Times New Roman" w:eastAsia="Times New Roman" w:cs="Times New Roman"/>
        </w:rPr>
        <w:t>Et maintenant, parce que vous avez commis toutes ces actions, dit l’Éternel, et que je vous ai parlé, me levant dès le matin et parlant, mais que vous n’avez point écouté, et que je vous ai appelés, mais que vous n’avez point répondu, c’est pourquoi je ferai à cette maison qui est appelée de mon nom, en laquelle vous mettez votre confiance, et au lieu que je vous ai donné, à vous et à vos pères, comme j’ai fait à Silo. Et je vous rejetterai loin de devant ma face, comme j’ai rejeté tous vos frères, toute la postérité d’Éphraïm. Toi donc, n’intercède point pour ce peuple, n’élève pour eux ni cri ni prière, et n’insiste pas auprès de moi; car je ne t’écouterai point. Jérémie 7:1–16.</w:t>
      </w:r>
    </w:p>
    <w:p>
      <w:pPr>
        <w:pStyle w:val="ArticleBody"/>
        <w:jc w:val="left"/>
      </w:pPr>
      <w:r>
        <w:rPr>
          <w:rFonts w:ascii="Times New Roman" w:hAnsi="Times New Roman" w:eastAsia="Times New Roman" w:cs="Times New Roman"/>
        </w:rPr>
        <w:t>Yeremia diberi tahu untuk tidak berdoa bagi Israel kuno, sebab mereka telah mencapai suatu titik yang tidak dapat dipulihkan lagi, sebagaimana juga orang-orang Yahudi yang suka berbantah pada akhir pasal dua puluh dua. Ketika Musa, (seorang manusia perjanjian) berhadapan dengan keputusan Allah untuk membinasakan umat pilihan perjanjian itu, Musa menjadi pengantara dengan doa. Dalam pasal tujuh, Yeremia diberi tahu untuk tidak berdoa bagi umat perjanjian yang sama itu. Sejarah kenabian Silo diidentifikasi sebagai bukti “demi baris demi baris” bahwa Allah menolak suatu umat pilihan perjanjian ketika dosa mereka mencapai titik yang tidak lagi dapat ditebus, sebagaimana diungkapkan dalam satu ayat.</w:t>
      </w:r>
    </w:p>
    <w:p>
      <w:pPr>
        <w:pStyle w:val="ArticleScripture"/>
        <w:jc w:val="left"/>
      </w:pPr>
      <w:r>
        <w:rPr>
          <w:rFonts w:ascii="Times New Roman" w:hAnsi="Times New Roman" w:eastAsia="Times New Roman" w:cs="Times New Roman"/>
        </w:rPr>
        <w:t>Efraim ametenganishwa na sanamu; mwache peke yake. Hosea 4:17.</w:t>
      </w:r>
    </w:p>
    <w:p>
      <w:pPr>
        <w:pStyle w:val="ArticleBody"/>
        <w:jc w:val="left"/>
      </w:pPr>
      <w:r>
        <w:rPr>
          <w:rFonts w:ascii="Times New Roman" w:hAnsi="Times New Roman" w:eastAsia="Times New Roman" w:cs="Times New Roman"/>
        </w:rPr>
        <w:t>Dans l’histoire de l’alliance, le point où Dieu met fin à sa relation d’alliance constitue un repère précis. Le rejet du rapport de Josué et de Caleb, marquant la dixième épreuve, en est un autre exemple. Quelques chapitres plus loin, il est également dit à Jérémie de ne pas prier pour ce peuple.</w:t>
      </w:r>
    </w:p>
    <w:p>
      <w:pPr>
        <w:pStyle w:val="ArticleScripture"/>
        <w:jc w:val="left"/>
      </w:pPr>
      <w:r>
        <w:rPr>
          <w:rFonts w:ascii="Times New Roman" w:hAnsi="Times New Roman" w:eastAsia="Times New Roman" w:cs="Times New Roman"/>
        </w:rPr>
        <w:t>N’est pourquoi n’intercède point pour ce peuple, et n’élève pour eux ni cri ni prière; car je ne les écouterai point au temps où ils crieront à moi à cause de leur détresse. Jérémie 11:14.</w:t>
      </w:r>
    </w:p>
    <w:p>
      <w:pPr>
        <w:pStyle w:val="ArticleBody"/>
        <w:jc w:val="left"/>
      </w:pPr>
      <w:r>
        <w:rPr>
          <w:rFonts w:ascii="Times New Roman" w:hAnsi="Times New Roman" w:eastAsia="Times New Roman" w:cs="Times New Roman"/>
        </w:rPr>
        <w:t>Mnɔ yie, mede mebɔ wo amanneɛ sɛ mennim kasa a wokyerɛw no sɛ “ff” no pɛpɛɛpɛ. Mesrɛ wo, kyerɛ me kasa no din pɛpɛɛpɛ na mɛkyerɛ ase ama wo wɔ ɔkwan a ɛfata.</w:t>
      </w:r>
    </w:p>
    <w:p>
      <w:pPr>
        <w:pStyle w:val="ArticleScripture"/>
        <w:jc w:val="left"/>
      </w:pPr>
      <w:r>
        <w:rPr>
          <w:rFonts w:ascii="Times New Roman" w:hAnsi="Times New Roman" w:eastAsia="Times New Roman" w:cs="Times New Roman"/>
        </w:rPr>
        <w:t>Kweeza nze ndikola ennyumba eno, eyitiddwa erinnya lyange, gye mwesiga, n’ekifo kye nabawa mmwe ne bajjajjammwe, nga bwe nakola e Siiro. Era ndibagoba mu maaso gange, nga bwe nagoba baganda bammwe bonna, ensigo yonna eya Efulayimu. Kale tosabira bantu bano, so toyimusa kukaaba newaakubadde okusaba ku lwabwe, so tombegayirira: kubanga sirikuwulira. Yeremiya 7:14–16.</w:t>
      </w:r>
    </w:p>
    <w:p>
      <w:pPr>
        <w:pStyle w:val="ArticleBody"/>
        <w:jc w:val="left"/>
      </w:pPr>
      <w:r>
        <w:rPr>
          <w:rFonts w:ascii="Times New Roman" w:hAnsi="Times New Roman" w:eastAsia="Times New Roman" w:cs="Times New Roman"/>
        </w:rPr>
        <w:t>Sa sura onse, ang sugo nga indi magpangamuyo nahanungod sa kahadlok nga magaabot sa mga Laodiceanhon sa ila masapwan ang ila kaugalingon sa panahon sang kasamok nga nagasunod sa balaod sang Domingo. Ang kahadlok nga ila mabatyagan nahamutang sa sulod sang kasaysayan sang ila pagsikway sa katipan.</w:t>
      </w:r>
    </w:p>
    <w:p>
      <w:pPr>
        <w:pStyle w:val="ArticleScripture"/>
        <w:jc w:val="left"/>
      </w:pPr>
      <w:r>
        <w:rPr>
          <w:rFonts w:ascii="Microsoft YaHei" w:hAnsi="Microsoft YaHei" w:eastAsia="Microsoft YaHei" w:cs="Microsoft YaHei"/>
        </w:rPr>
        <w:t>聴</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言葉</w:t>
      </w:r>
      <w:r>
        <w:rPr>
          <w:rFonts w:ascii="MS Gothic" w:hAnsi="MS Gothic" w:eastAsia="MS Gothic" w:cs="MS Gothic"/>
        </w:rPr>
        <w:t>を</w:t>
      </w:r>
      <w:r>
        <w:rPr>
          <w:rFonts w:ascii="Times New Roman" w:hAnsi="Times New Roman" w:eastAsia="Times New Roman" w:cs="Times New Roman"/>
        </w:rPr>
        <w:t>.</w:t>
      </w:r>
      <w:r>
        <w:rPr>
          <w:rFonts w:ascii="MS Gothic" w:hAnsi="MS Gothic" w:eastAsia="MS Gothic" w:cs="MS Gothic"/>
        </w:rPr>
        <w:t>そしてこれをユダの</w:t>
      </w:r>
      <w:r>
        <w:rPr>
          <w:rFonts w:ascii="Microsoft YaHei" w:hAnsi="Microsoft YaHei" w:eastAsia="Microsoft YaHei" w:cs="Microsoft YaHei"/>
        </w:rPr>
        <w:t>人々</w:t>
      </w:r>
      <w:r>
        <w:rPr>
          <w:rFonts w:ascii="MS Gothic" w:hAnsi="MS Gothic" w:eastAsia="MS Gothic" w:cs="MS Gothic"/>
        </w:rPr>
        <w:t>とエルサレムの</w:t>
      </w:r>
      <w:r>
        <w:rPr>
          <w:rFonts w:ascii="Microsoft YaHei" w:hAnsi="Microsoft YaHei" w:eastAsia="Microsoft YaHei" w:cs="Microsoft YaHei"/>
        </w:rPr>
        <w:t>住民</w:t>
      </w:r>
      <w:r>
        <w:rPr>
          <w:rFonts w:ascii="MS Gothic" w:hAnsi="MS Gothic" w:eastAsia="MS Gothic" w:cs="MS Gothic"/>
        </w:rPr>
        <w:t>に</w:t>
      </w:r>
      <w:r>
        <w:rPr>
          <w:rFonts w:ascii="Microsoft YaHei" w:hAnsi="Microsoft YaHei" w:eastAsia="Microsoft YaHei" w:cs="Microsoft YaHei"/>
        </w:rPr>
        <w:t>告</w:t>
      </w:r>
      <w:r>
        <w:rPr>
          <w:rFonts w:ascii="MS Gothic" w:hAnsi="MS Gothic" w:eastAsia="MS Gothic" w:cs="MS Gothic"/>
        </w:rPr>
        <w:t>げよ</w:t>
      </w:r>
      <w:r>
        <w:rPr>
          <w:rFonts w:ascii="Times New Roman" w:hAnsi="Times New Roman" w:eastAsia="Times New Roman" w:cs="Times New Roman"/>
        </w:rPr>
        <w:t>.</w:t>
      </w:r>
      <w:r>
        <w:rPr>
          <w:rFonts w:ascii="MS Gothic" w:hAnsi="MS Gothic" w:eastAsia="MS Gothic" w:cs="MS Gothic"/>
        </w:rPr>
        <w:t>あなたは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言</w:t>
      </w:r>
      <w:r>
        <w:rPr>
          <w:rFonts w:ascii="MS Gothic" w:hAnsi="MS Gothic" w:eastAsia="MS Gothic" w:cs="MS Gothic"/>
        </w:rPr>
        <w:t>わなければならない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Mungu wa Israeli, asema hivi;</w:t>
      </w:r>
    </w:p>
    <w:p>
      <w:pPr>
        <w:pStyle w:val="ArticleScripture"/>
        <w:jc w:val="left"/>
      </w:pPr>
      <w:r>
        <w:rPr>
          <w:rFonts w:ascii="Times New Roman" w:hAnsi="Times New Roman" w:eastAsia="Times New Roman" w:cs="Times New Roman"/>
        </w:rPr>
        <w:t>Ikuwentoa munhu asingateereri mashoko esungano iyi, yandakaraidza madzibaba enyu pazuva randakavabudisa munyika yeEgipita, muchoto chesimbi, ndichiti, Teererai inzwi rangu, uye muazadzise, maererano nezvose zvandinokurairai; saizvozvo muchava vanhu vangu, ini ndigova Mwari wenyu; kuti ndizadzise mhiko yandakapikira madzibaba enyu, yokuvapa nyika inoyerera mukaka nouchi, sezvazviri nanhasi.</w:t>
      </w:r>
    </w:p>
    <w:p>
      <w:pPr>
        <w:pStyle w:val="ArticleScripture"/>
        <w:jc w:val="left"/>
      </w:pPr>
      <w:r>
        <w:rPr>
          <w:rFonts w:ascii="Times New Roman" w:hAnsi="Times New Roman" w:eastAsia="Times New Roman" w:cs="Times New Roman"/>
        </w:rPr>
        <w:t>J’ai alors répondu et dit : Qu’il en soit ainsi, ô Seigneur. Puis le Seigneur me dit,</w:t>
      </w:r>
    </w:p>
    <w:p>
      <w:pPr>
        <w:pStyle w:val="ArticleScripture"/>
        <w:jc w:val="left"/>
      </w:pPr>
      <w:r>
        <w:rPr>
          <w:rFonts w:ascii="Times New Roman" w:hAnsi="Times New Roman" w:eastAsia="Times New Roman" w:cs="Times New Roman"/>
        </w:rPr>
        <w:t>Tangaza maneno haya yote katika miji ya Yuda na katika njia za Yerusalemu, ukisema, Sikilizeni maneno ya agano hili, na kuyatenda. Kwa maana naliwaonya baba zenu kwa bidii tangu siku ile niliyowatoa katika nchi ya Misri hata leo hii, nikiamka mapema na kuwaonya, nikisema, Tii sauti yangu. Lakini hawakutii, wala hawakutega sikio lao, bali kila mmoja alikwenda katika ukaidi wa moyo wake mbaya; kwa hiyo nitaleta juu yao maneno yote ya agano hili, niliyowaamuru wayatende; lakini hawakuyatenda.</w:t>
      </w:r>
    </w:p>
    <w:p>
      <w:pPr>
        <w:pStyle w:val="ArticleScripture"/>
        <w:jc w:val="left"/>
      </w:pPr>
      <w:r>
        <w:rPr>
          <w:rFonts w:ascii="Times New Roman" w:hAnsi="Times New Roman" w:eastAsia="Times New Roman" w:cs="Times New Roman"/>
        </w:rPr>
        <w:t>Et l’Éternel me dit : Il s’est trouvé une conspiration parmi les hommes de Juda et parmi les habitants de Jérusalem. Ils sont retournés aux iniquités de leurs pères, qui ont refusé d’entendre mes paroles ; et ils sont allés après d’autres dieux pour les servir : la maison d’Israël et la maison de Juda ont rompu mon alliance que j’avais faite avec leurs pères.</w:t>
      </w:r>
    </w:p>
    <w:p>
      <w:pPr>
        <w:pStyle w:val="ArticleScripture"/>
        <w:jc w:val="left"/>
      </w:pPr>
      <w:r>
        <w:rPr>
          <w:rFonts w:ascii="Times New Roman" w:hAnsi="Times New Roman" w:eastAsia="Times New Roman" w:cs="Times New Roman"/>
        </w:rPr>
        <w:t>Kaya nga, ganito ang sabi ng Panginoon, Narito, magpapasapit ako ng kasamaan sa kanila, na hindi nila matatakasan; at bagaman sila’y dumaing sa akin, hindi ko sila diringgin. Kung magkagayo’y yayaon ang mga lungsod ng Juda at ang mga nananahan sa Jerusalem, at magsisidaing sa mga dios na kanilang pinag-uukulan ng kamangyan: ngunit hindi sila ililigtas ng mga iyon sa panahon ng kanilang kabagabagan. Sapagka’t ayon sa bilang ng iyong mga lungsod ay gayon ang iyong mga dios, Oh Juda; at ayon sa bilang ng mga lansangan ng Jerusalem ay naglagay kayo ng mga dambana sa kahiya-hiyang bagay na yaon, sa makatuwid baga’y mga dambana upang pagsunugan ng kamangyan si Baal.</w:t>
      </w:r>
    </w:p>
    <w:p>
      <w:pPr>
        <w:pStyle w:val="ArticleScripture"/>
        <w:jc w:val="left"/>
      </w:pPr>
      <w:r>
        <w:rPr>
          <w:rFonts w:ascii="Times New Roman" w:hAnsi="Times New Roman" w:eastAsia="Times New Roman" w:cs="Times New Roman"/>
        </w:rPr>
        <w:t>Par conséquent, n’intercède pas pour ce peuple, et n’élève pour eux ni cri ni prière; car je ne les écouterai pas au temps où ils crieront vers moi à cause de leur détresse. Jérémie 11:1–14.</w:t>
      </w:r>
    </w:p>
    <w:p>
      <w:pPr>
        <w:pStyle w:val="ArticleBody"/>
        <w:jc w:val="left"/>
      </w:pPr>
      <w:r>
        <w:rPr>
          <w:rFonts w:ascii="Times New Roman" w:hAnsi="Times New Roman" w:eastAsia="Times New Roman" w:cs="Times New Roman"/>
        </w:rPr>
        <w:t>La résurrection des candidats destinés à faire partie des cent quarante-quatre mille est identifiée dans Apocalypse 11:11 ; et leur rassemblement final est identifié dans Ésaïe 11:11 ; et la ligne extérieure du dragon, de la bête et du faux prophète est identifiée dans Daniel 11:11 ; le jugement, par la loi du dimanche, de l’ivraie est identifié dans Ézéchiel 11:11, et le châtiment ainsi que la crainte qui s’abattent sur les vierges folles sont identifiés dans Jérémie 11:11.</w:t>
      </w:r>
    </w:p>
    <w:p>
      <w:pPr>
        <w:pStyle w:val="ArticleBody"/>
        <w:jc w:val="left"/>
      </w:pPr>
      <w:r>
        <w:rPr>
          <w:rFonts w:ascii="Times New Roman" w:hAnsi="Times New Roman" w:eastAsia="Times New Roman" w:cs="Times New Roman"/>
        </w:rPr>
        <w:t>دا حکم چې د دې ولس لپاره دعا مه کوئ، د متی د دوه ویشتم فصل په وروستیو آیتونو کې هغه د لارې نښه ده، او درې ویشتم فصل پر اډوېنټېزم باندې اته «افسوسونه» څرګندوي. درې ویشتم فصل یا د 1844 کال د اکتوبر 22 ته اشاره کوي، او یا د یکشنبې قانون ته. دا دواړه د لارې نښې د واده پوره کېدل دي، او واده د ناوې او مېړه ترمنځ وي، چې دواړه سره یو وجود ګرځي. د واده بشپړېدل د کفارې استازیتوب کوي، یا «یو-کېدنه». انسان د خدای په صورت کې پیدا شو، او هغه نارینه او ښځه پیدا کړل. د هغوی اولاد د نارینه له خوا د درې ویشت کروموزومونو او د ښځې له خوا د درې ویشت کروموزومونو په وسیله تمثیل شوی دی. په ګډه د هغوی شپږ څلوېښت کروموزومونه هیکل جوړوي. هر فرد یو هیکل دی، ځکه آیا نه پوهېږئ چې تاسو د څښتن هیکل یاست؟</w:t>
      </w:r>
    </w:p>
    <w:p>
      <w:pPr>
        <w:pStyle w:val="ArticleBody"/>
        <w:jc w:val="left"/>
      </w:pPr>
      <w:r>
        <w:rPr>
          <w:rFonts w:ascii="Times New Roman" w:hAnsi="Times New Roman" w:eastAsia="Times New Roman" w:cs="Times New Roman"/>
        </w:rPr>
        <w:t>Kuwwan qindoomina gaaʼelaa, yeroo lamaan tokko taʼan, walitti makama mana qulqullummaa lamaa kan lakkoofsi isaanii digdamii sadii taʼeeti; kunis mana qulqullummaa tokko kan afurtamii jaha taʼe uuma. Kiristoos isa mana qulqullummaa ijaaru dha; innis waldaa isaa akka mana qulqullummaa dubartii, isa mana qulqullummaa dhiiraa isaa wajjin walitti makamuu qabuutti ijaara. Walitti hidhamiinsi sun yeroo mana qulqullummaa namaa mana Qulqullummaa Waaqayyoo keessaa Iddoo Hundumaa Caalaa Qulqulluu keessatti Isa Waaqa taʼe wajjin walitti makametti taʼa. “Digdamii sadii” mallattoo chaappessuu dhibba afurtamii afurii fi kuma afurii afurii ti; hojii sunis xumura raajii waggaa kuma lamaa fi dhibba sadii irratti jalqabe. Maatewos digdamii sadii labsii mormii jedhuu irratti kenname dha Laaʼodiiqeyaa Adveentistoota Guyyaa Torbaffaa irratti, warra fakkeenyummaa sobaa dhibba afurtamii afurii fi kuma afurii afurii taʼan.</w:t>
      </w:r>
    </w:p>
    <w:p>
      <w:pPr>
        <w:pStyle w:val="ArticleBody"/>
        <w:jc w:val="left"/>
      </w:pPr>
      <w:r>
        <w:rPr>
          <w:rFonts w:ascii="Times New Roman" w:hAnsi="Times New Roman" w:eastAsia="Times New Roman" w:cs="Times New Roman"/>
        </w:rPr>
        <w:t>144,000, tujuh yang kedelapan itu, dan merekalah yang dibangkitkan pada hari kedelapan; dan merekalah kedelapan jiwa di dalam bahtera Nuh; mereka adalah delapan keturunan Set, dan meterai pada dahi mereka dilambangkan oleh sunat, yang dilaksanakan pada hari kedelapan. Mereka adalah para imam yang diurapi untuk pelayanan pada hari kedelapan, dan pengucapan delapan celaka atas Adventisme dalam pasal dua puluh tiga adalah suatu pengucapan terhadap yang kedelapan yang palsu.</w:t>
      </w:r>
    </w:p>
    <w:p>
      <w:pPr>
        <w:pStyle w:val="ArticleBody"/>
        <w:jc w:val="left"/>
      </w:pPr>
      <w:r>
        <w:rPr>
          <w:rFonts w:ascii="Times New Roman" w:hAnsi="Times New Roman" w:eastAsia="Times New Roman" w:cs="Times New Roman"/>
        </w:rPr>
        <w:t>Déanas cinnte den léan ar na hÓigh amaideacha roimh shéalú mhuintir Dé sa véarsa deiridh de chaibidil fiche a dó. Tá caibidil fiche a dó ar aon dul le caibidil fiche a dó i Leabhar Ghineasas, óir is réamhshamhlú é céad leabhar na Sean-Tiomna ar chéad leabhar na Tiomna Nua. I gcroílár líne fháidhiúil Mhatha a haon déag go dtí caibidil fiche a dó, a chuimsíonn dhá chaibidil déag, agus is í an séú ceann de na dhá chaibidil déag sin caibidil a sé déag, mar ar athraíodh ainm Shimoin Bhár-Ióna go Peadar.</w:t>
      </w:r>
    </w:p>
    <w:p>
      <w:pPr>
        <w:pStyle w:val="ArticleScripture"/>
        <w:jc w:val="left"/>
      </w:pPr>
      <w:r>
        <w:rPr>
          <w:rFonts w:ascii="Times New Roman" w:hAnsi="Times New Roman" w:eastAsia="Times New Roman" w:cs="Times New Roman"/>
        </w:rPr>
        <w:t>Et je te dis aussi que tu es Pierre, et que sur ce roc je bâtirai mon Église, et que les portes de l’enfer ne prévaudront point contre elle. Matthieu 16:18.</w:t>
      </w:r>
    </w:p>
    <w:p>
      <w:pPr>
        <w:pStyle w:val="ArticleBody"/>
        <w:jc w:val="left"/>
      </w:pPr>
      <w:r>
        <w:rPr>
          <w:rFonts w:ascii="Times New Roman" w:hAnsi="Times New Roman" w:eastAsia="Times New Roman" w:cs="Times New Roman"/>
        </w:rPr>
        <w:t>Matiu mokapo zomi na moko kino mokapo zomi na mibale ezali na bavɛrsɛ nkama minei na ntuku mitano na libwa. Vɛrsɛ ya katikati ezali vɛrsɛ zomi na nsambo ya mokapo zomi na motoba, kasi vɛrsɛ yango ekoki te kokabolama na bavɛrsɛ zomi na mwambe mpe zomi na libwa, mpo ete ezali liloba moko.</w:t>
      </w:r>
    </w:p>
    <w:p>
      <w:pPr>
        <w:pStyle w:val="ArticleScripture"/>
        <w:jc w:val="left"/>
      </w:pPr>
      <w:r>
        <w:rPr>
          <w:rFonts w:ascii="Times New Roman" w:hAnsi="Times New Roman" w:eastAsia="Times New Roman" w:cs="Times New Roman"/>
        </w:rPr>
        <w:t>Yesu akamjibu, akamwambia, Heri wewe, Simoni Bar-yona; kwa maana mwili na damu havikukufunulia jambo hili, ila Baba yangu aliye mbinguni. Nami nakuambia ya kwamba wewe ndiwe Petro, na juu ya mwamba huu nitalijenga kanisa langu; wala milango ya kuzimu haitalishinda. Nami nitakupa funguo za ufalme wa mbinguni; na lo lote utakalolifunga duniani litafungwa mbinguni; na lo lote utakalolifungua duniani litafunguliwa mbinguni. Mathayo 16:17–19.</w:t>
      </w:r>
    </w:p>
    <w:p>
      <w:pPr>
        <w:pStyle w:val="ArticleBody"/>
        <w:jc w:val="left"/>
      </w:pPr>
      <w:r>
        <w:rPr>
          <w:rFonts w:ascii="Times New Roman" w:hAnsi="Times New Roman" w:eastAsia="Times New Roman" w:cs="Times New Roman"/>
        </w:rPr>
        <w:t>Katikati kabisa ya sura ya kumi na moja hadi ishirini na mbili mna kauli ya agano ya msingi kwa Ukristo. Katika kauli hiyo, jina la Simoni linabadilishwa kuwa Petro, ambalo; unapoweka katika matumizi nafasi ya nambari ambayo kila herufi ya lugha ya Kiingereza hushika; kama vile “a” ni moja, na “z” ni ishirini na sita—unakuta kwamba “p” ni 16, “e” ni 5, na “t” ni 20, na “e” nyingine ni 5 na “r” ni 18. Unapozidisha 16 X 5 X 20 X 5 X 18 hupata 144,000, na rejea ya kubadilishwa kwa jina la Petro, ishara ya uhusiano wa agano, inapatikana katika sura ya 16 mstari wa 18, na herufi ya kwanza ya Petro ni namba 16 na herufi ya mwisho ni namba 18. Haya yote yako katikati ya sura kumi na mbili zinazoanza kwa ishara ya kumi na moja na kuishia kwa ishara ya ishirini na mbili.</w:t>
      </w:r>
    </w:p>
    <w:p>
      <w:pPr>
        <w:pStyle w:val="ArticleBody"/>
        <w:jc w:val="left"/>
      </w:pPr>
      <w:r>
        <w:rPr>
          <w:rFonts w:ascii="Times New Roman" w:hAnsi="Times New Roman" w:eastAsia="Times New Roman" w:cs="Times New Roman"/>
        </w:rPr>
        <w:t>Huo mstari pia unapatikana katika sura za kumi na moja hadi ishirini na mbili za Mwanzo, na katika mstari huo mna aya 305, jambo linalotambulisha sura ya kumi na saba na aya ya kumi na moja kuwa kitovu cha mstari huo. Mstari huo wa sura kumi na mbili za kitabu cha kwanza cha Agano la Kale hutambulisha agano na Ibrahimu, na huwakilisha mstari wa alfa unaokutana na mstari wa omega, katika sura hizohizo za kitabu cha kwanza cha Agano Jipya. Aya ya katikati ya mstari wa omega katika Mathayo ni kilele cha uhusiano wa agano wa wale mia moja arobaini na nne elfu, ambao ndio ishara ya agano inayoinuliwa katika sheria ya Jumapili. Aya ya katikati ya mstari wa Mwanzo haitambulishi tu aya ya katikati, bali pia hatua ya pili au ya kati ya agano la sehemu tatu na Ibrahimu, na kwa umuhimu uleule ishara ya agano.</w:t>
      </w:r>
    </w:p>
    <w:p>
      <w:pPr>
        <w:pStyle w:val="ArticleScripture"/>
        <w:jc w:val="left"/>
      </w:pPr>
      <w:r>
        <w:rPr>
          <w:rFonts w:ascii="Times New Roman" w:hAnsi="Times New Roman" w:eastAsia="Times New Roman" w:cs="Times New Roman"/>
        </w:rPr>
        <w:t>Et vous circoncirez la chair de votre prépuce; et cela sera un signe de l’alliance entre moi et vous. Genèse 17:11.</w:t>
      </w:r>
    </w:p>
    <w:p>
      <w:pPr>
        <w:pStyle w:val="ArticleBody"/>
        <w:jc w:val="left"/>
      </w:pPr>
      <w:r>
        <w:rPr>
          <w:rFonts w:ascii="Times New Roman" w:hAnsi="Times New Roman" w:eastAsia="Times New Roman" w:cs="Times New Roman"/>
        </w:rPr>
        <w:t>Nous poursuivrons ces choses dans le prochain article.</w:t>
      </w:r>
    </w:p>
    <w:p>
      <w:pPr>
        <w:pStyle w:val="ArticleScripture"/>
        <w:jc w:val="left"/>
      </w:pPr>
      <w:r>
        <w:rPr>
          <w:rFonts w:ascii="Times New Roman" w:hAnsi="Times New Roman" w:eastAsia="Times New Roman" w:cs="Times New Roman"/>
        </w:rPr>
        <w:t>«Puis, tandis qu’il balayait la poussière et les débris, les faux joyaux et la monnaie contrefaite, tout cela s’éleva et sortit par la fenêtre comme un nuage, et le vent les emporta. Dans l’agitation, je fermai les yeux un instant; lorsque je les rouvris, tous les débris avaient disparu. Les joyaux précieux, les diamants, les pièces d’or et d’argent, gisaient épars en abondance dans toute la pièce. »</w:t>
      </w:r>
    </w:p>
    <w:p>
      <w:pPr>
        <w:pStyle w:val="ArticleScripture"/>
        <w:jc w:val="left"/>
      </w:pPr>
      <w:r>
        <w:rPr>
          <w:rFonts w:ascii="Microsoft YaHei" w:hAnsi="Microsoft YaHei" w:eastAsia="Microsoft YaHei" w:cs="Microsoft YaHei"/>
        </w:rPr>
        <w:t>彼随后把一个匣子放在桌上</w:t>
      </w:r>
      <w:r>
        <w:rPr>
          <w:rFonts w:ascii="Times New Roman" w:hAnsi="Times New Roman" w:eastAsia="Times New Roman" w:cs="Times New Roman"/>
        </w:rPr>
        <w:t>,</w:t>
      </w:r>
      <w:r>
        <w:rPr>
          <w:rFonts w:ascii="Microsoft YaHei" w:hAnsi="Microsoft YaHei" w:eastAsia="Microsoft YaHei" w:cs="Microsoft YaHei"/>
        </w:rPr>
        <w:t>比先前那个大得多</w:t>
      </w:r>
      <w:r>
        <w:rPr>
          <w:rFonts w:ascii="Times New Roman" w:hAnsi="Times New Roman" w:eastAsia="Times New Roman" w:cs="Times New Roman"/>
        </w:rPr>
        <w:t>,</w:t>
      </w:r>
      <w:r>
        <w:rPr>
          <w:rFonts w:ascii="Microsoft YaHei" w:hAnsi="Microsoft YaHei" w:eastAsia="Microsoft YaHei" w:cs="Microsoft YaHei"/>
        </w:rPr>
        <w:t>也美丽得多</w:t>
      </w:r>
      <w:r>
        <w:rPr>
          <w:rFonts w:ascii="Times New Roman" w:hAnsi="Times New Roman" w:eastAsia="Times New Roman" w:cs="Times New Roman"/>
        </w:rPr>
        <w:t>;</w:t>
      </w:r>
      <w:r>
        <w:rPr>
          <w:rFonts w:ascii="Microsoft YaHei" w:hAnsi="Microsoft YaHei" w:eastAsia="Microsoft YaHei" w:cs="Microsoft YaHei"/>
        </w:rPr>
        <w:t>然后双手一把一把地将那些珠宝、钻石、钱币聚拢起来</w:t>
      </w:r>
      <w:r>
        <w:rPr>
          <w:rFonts w:ascii="Times New Roman" w:hAnsi="Times New Roman" w:eastAsia="Times New Roman" w:cs="Times New Roman"/>
        </w:rPr>
        <w:t>,</w:t>
      </w:r>
      <w:r>
        <w:rPr>
          <w:rFonts w:ascii="Microsoft YaHei" w:hAnsi="Microsoft YaHei" w:eastAsia="Microsoft YaHei" w:cs="Microsoft YaHei"/>
        </w:rPr>
        <w:t>投入那匣子里</w:t>
      </w:r>
      <w:r>
        <w:rPr>
          <w:rFonts w:ascii="Times New Roman" w:hAnsi="Times New Roman" w:eastAsia="Times New Roman" w:cs="Times New Roman"/>
        </w:rPr>
        <w:t>,</w:t>
      </w:r>
      <w:r>
        <w:rPr>
          <w:rFonts w:ascii="Microsoft YaHei" w:hAnsi="Microsoft YaHei" w:eastAsia="Microsoft YaHei" w:cs="Microsoft YaHei"/>
        </w:rPr>
        <w:t>直到一件也不剩</w:t>
      </w:r>
      <w:r>
        <w:rPr>
          <w:rFonts w:ascii="Times New Roman" w:hAnsi="Times New Roman" w:eastAsia="Times New Roman" w:cs="Times New Roman"/>
        </w:rPr>
        <w:t>,</w:t>
      </w:r>
      <w:r>
        <w:rPr>
          <w:rFonts w:ascii="Microsoft YaHei" w:hAnsi="Microsoft YaHei" w:eastAsia="Microsoft YaHei" w:cs="Microsoft YaHei"/>
        </w:rPr>
        <w:t>尽管其中有些钻石还不比针尖更大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“Sau đó, người kêu gọi tôi ‘đến mà xem.’”</w:t>
      </w:r>
    </w:p>
    <w:p>
      <w:pPr>
        <w:pStyle w:val="ArticleScripture"/>
        <w:jc w:val="left"/>
      </w:pPr>
      <w:r>
        <w:rPr>
          <w:rFonts w:ascii="Times New Roman" w:hAnsi="Times New Roman" w:eastAsia="Times New Roman" w:cs="Times New Roman"/>
        </w:rPr>
        <w:t>« J’ai regardé dans le coffret, mais mes yeux furent éblouis par ce spectacle. Ils resplendissaient d’une gloire dix fois plus grande qu’auparavant. Je pensais qu’ils avaient été frottés dans le sable par les pieds de ces méchantes personnes qui les avaient dispersés et foulés dans la poussière. Ils étaient disposés dans le coffret avec un bel ordre, chacun à sa place, sans aucune marque visible des efforts de l’homme qui les y avait jetés. Je poussai un cri de pure joie, et ce cri me réveilla. » Early Writings, 83.</w:t>
      </w:r>
    </w:p>
    <w:p>
      <w:pPr>
        <w:pStyle w:val="ArticleScripture"/>
        <w:jc w:val="left"/>
      </w:pPr>
      <w:r>
        <w:rPr>
          <w:rFonts w:ascii="Times New Roman" w:hAnsi="Times New Roman" w:eastAsia="Times New Roman" w:cs="Times New Roman"/>
        </w:rPr>
        <w:t>“Mun lalon ganin zuwan Ubangiji nesa ƙwarai. Na ga ruwan sama na ƙarshen yana zuwa [da sauri kamar] kiran tsakar dare, kuma da iko har ninki goma.” Spalding and Magan, 5.</w:t>
      </w:r>
    </w:p>
    <w:p>
      <w:pPr>
        <w:pStyle w:val="ArticleScripture"/>
        <w:jc w:val="left"/>
      </w:pPr>
      <w:r>
        <w:rPr>
          <w:rFonts w:ascii="Times New Roman" w:hAnsi="Times New Roman" w:eastAsia="Times New Roman" w:cs="Times New Roman"/>
        </w:rPr>
        <w:t>En dans toutes les affaires de sagesse et d’intelligence sur lesquelles le roi les interrogeait, il les trouva dix fois supérieurs à tous les magiciens et astrologues qui étaient dans tout son royaume.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لائودیکیه‌ای ادونتیست‌های روز هفتم - شمارهٔ بیست‌وسه</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