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Joël et l’Église adventiste du septième jour de Laodicée - Numéro vingt-six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Leelawadee UI" w:hAnsi="Leelawadee UI" w:eastAsia="Leelawadee UI" w:cs="Leelawadee UI"/>
        </w:rPr>
        <w:t>លេខម្ភៃប្រាំមួយ</w:t>
      </w:r>
    </w:p>
    <w:p>
      <w:pPr>
        <w:pStyle w:val="ArticleBody"/>
        <w:jc w:val="left"/>
      </w:pPr>
      <w:r>
        <w:rPr>
          <w:rFonts w:ascii="Microsoft YaHei" w:hAnsi="Microsoft YaHei" w:eastAsia="Microsoft YaHei" w:cs="Microsoft YaHei"/>
        </w:rPr>
        <w:t>四代約珥所代表的</w:t>
      </w:r>
      <w:r>
        <w:rPr>
          <w:rFonts w:ascii="Times New Roman" w:hAnsi="Times New Roman" w:eastAsia="Times New Roman" w:cs="Times New Roman"/>
        </w:rPr>
        <w:t>,</w:t>
      </w:r>
      <w:r>
        <w:rPr>
          <w:rFonts w:ascii="Microsoft YaHei" w:hAnsi="Microsoft YaHei" w:eastAsia="Microsoft YaHei" w:cs="Microsoft YaHei"/>
        </w:rPr>
        <w:t>是自</w:t>
      </w:r>
      <w:r>
        <w:rPr>
          <w:rFonts w:ascii="Times New Roman" w:hAnsi="Times New Roman" w:eastAsia="Times New Roman" w:cs="Times New Roman"/>
        </w:rPr>
        <w:t xml:space="preserve"> 1863 </w:t>
      </w:r>
      <w:r>
        <w:rPr>
          <w:rFonts w:ascii="Microsoft YaHei" w:hAnsi="Microsoft YaHei" w:eastAsia="Microsoft YaHei" w:cs="Microsoft YaHei"/>
        </w:rPr>
        <w:t>年直到主日法令期間</w:t>
      </w:r>
      <w:r>
        <w:rPr>
          <w:rFonts w:ascii="Times New Roman" w:hAnsi="Times New Roman" w:eastAsia="Times New Roman" w:cs="Times New Roman"/>
        </w:rPr>
        <w:t>,</w:t>
      </w:r>
      <w:r>
        <w:rPr>
          <w:rFonts w:ascii="Microsoft YaHei" w:hAnsi="Microsoft YaHei" w:eastAsia="Microsoft YaHei" w:cs="Microsoft YaHei"/>
        </w:rPr>
        <w:t>上帝葡萄園所遭受之漸進性毀壞</w:t>
      </w:r>
      <w:r>
        <w:rPr>
          <w:rFonts w:ascii="Times New Roman" w:hAnsi="Times New Roman" w:eastAsia="Times New Roman" w:cs="Times New Roman"/>
        </w:rPr>
        <w:t>.</w:t>
      </w:r>
      <w:r>
        <w:rPr>
          <w:rFonts w:ascii="Microsoft YaHei" w:hAnsi="Microsoft YaHei" w:eastAsia="Microsoft YaHei" w:cs="Microsoft YaHei"/>
        </w:rPr>
        <w:t>數字四亦象徵基督品格的四種屬性</w:t>
      </w:r>
      <w:r>
        <w:rPr>
          <w:rFonts w:ascii="Times New Roman" w:hAnsi="Times New Roman" w:eastAsia="Times New Roman" w:cs="Times New Roman"/>
        </w:rPr>
        <w:t>.</w:t>
      </w:r>
      <w:r>
        <w:rPr>
          <w:rFonts w:ascii="Microsoft YaHei" w:hAnsi="Microsoft YaHei" w:eastAsia="Microsoft YaHei" w:cs="Microsoft YaHei"/>
        </w:rPr>
        <w:t>聖所中的基路伯有四種面貌的顯現</w:t>
      </w:r>
      <w:r>
        <w:rPr>
          <w:rFonts w:ascii="Times New Roman" w:hAnsi="Times New Roman" w:eastAsia="Times New Roman" w:cs="Times New Roman"/>
        </w:rPr>
        <w:t>,</w:t>
      </w:r>
      <w:r>
        <w:rPr>
          <w:rFonts w:ascii="Microsoft YaHei" w:hAnsi="Microsoft YaHei" w:eastAsia="Microsoft YaHei" w:cs="Microsoft YaHei"/>
        </w:rPr>
        <w:t>而這些顯現與古代以色列人在聖所四圍安營時之四重分布相互對應</w:t>
      </w:r>
      <w:r>
        <w:rPr>
          <w:rFonts w:ascii="Times New Roman" w:hAnsi="Times New Roman" w:eastAsia="Times New Roman" w:cs="Times New Roman"/>
        </w:rPr>
        <w:t>.</w:t>
      </w:r>
      <w:r>
        <w:rPr>
          <w:rFonts w:ascii="Microsoft YaHei" w:hAnsi="Microsoft YaHei" w:eastAsia="Microsoft YaHei" w:cs="Microsoft YaHei"/>
        </w:rPr>
        <w:t>它們也代表四福音書</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أما شبهُ وجوهِها، فكان للأربعةِ وجهُ إنسان، ووجهُ أسدٍ عن الجانب الأيمن؛ وكان للأربعةِ وجهُ ثورٍ عن الجانب الأيسر؛ وكان للأربعةِ أيضًا وجهُ نسر. حزقيال 1:10.</w:t>
      </w:r>
    </w:p>
    <w:p>
      <w:pPr>
        <w:pStyle w:val="ArticleScripture"/>
        <w:jc w:val="left"/>
      </w:pPr>
      <w:r>
        <w:rPr>
          <w:rFonts w:ascii="Times New Roman" w:hAnsi="Times New Roman" w:eastAsia="Times New Roman" w:cs="Times New Roman"/>
        </w:rPr>
        <w:t>Ý beast a kɛ́ra leii, nì beast a muna a kɛ́ra nɔ, nì beast a aakɛ́naa a yela kɛ́ra gbɔŋ lɔ, nì beast a ananɔ a kɛ́ra kpakpatɔ a lɛɛ. Ɔfata 4:7.</w:t>
      </w:r>
    </w:p>
    <w:p>
      <w:pPr>
        <w:pStyle w:val="ArticleBody"/>
        <w:jc w:val="left"/>
      </w:pPr>
      <w:r>
        <w:rPr>
          <w:rFonts w:ascii="Times New Roman" w:hAnsi="Times New Roman" w:eastAsia="Times New Roman" w:cs="Times New Roman"/>
        </w:rPr>
        <w:t>La Bible (Nombres 2) décrit les douze tribus — à l’exclusion de Lévi, qui campait immédiatement autour du tabernacle — organisées en quatre camps de trois tribus chacun, placés aux quatre points cardinaux autour du sanctuaire, chacun sous un étendard, c’est-à-dire une bannière ou une enseigne. Cette disposition établissait un parallèle symbolique, selon lequel le camp terrestre reflète le trône céleste gardé par les chérubins.</w:t>
      </w:r>
    </w:p>
    <w:p>
      <w:pPr>
        <w:pStyle w:val="ArticleBody"/>
        <w:jc w:val="left"/>
      </w:pPr>
      <w:r>
        <w:rPr>
          <w:rFonts w:ascii="Nirmala UI" w:hAnsi="Nirmala UI" w:eastAsia="Nirmala UI" w:cs="Nirmala UI"/>
        </w:rPr>
        <w:t>ইয়াহূদা</w:t>
      </w:r>
      <w:r>
        <w:rPr>
          <w:rFonts w:ascii="Times New Roman" w:hAnsi="Times New Roman" w:eastAsia="Times New Roman" w:cs="Times New Roman"/>
        </w:rPr>
        <w:t xml:space="preserve"> </w:t>
      </w:r>
      <w:r>
        <w:rPr>
          <w:rFonts w:ascii="Nirmala UI" w:hAnsi="Nirmala UI" w:eastAsia="Nirmala UI" w:cs="Nirmala UI"/>
        </w:rPr>
        <w:t>পূর্বদিকে</w:t>
      </w:r>
      <w:r>
        <w:rPr>
          <w:rFonts w:ascii="Times New Roman" w:hAnsi="Times New Roman" w:eastAsia="Times New Roman" w:cs="Times New Roman"/>
        </w:rPr>
        <w:t xml:space="preserve">, </w:t>
      </w:r>
      <w:r>
        <w:rPr>
          <w:rFonts w:ascii="Nirmala UI" w:hAnsi="Nirmala UI" w:eastAsia="Nirmala UI" w:cs="Nirmala UI"/>
        </w:rPr>
        <w:t>উদীয়মান</w:t>
      </w:r>
      <w:r>
        <w:rPr>
          <w:rFonts w:ascii="Times New Roman" w:hAnsi="Times New Roman" w:eastAsia="Times New Roman" w:cs="Times New Roman"/>
        </w:rPr>
        <w:t xml:space="preserve"> </w:t>
      </w:r>
      <w:r>
        <w:rPr>
          <w:rFonts w:ascii="Nirmala UI" w:hAnsi="Nirmala UI" w:eastAsia="Nirmala UI" w:cs="Nirmala UI"/>
        </w:rPr>
        <w:t>সূর্যের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পবিত্রস্থানের</w:t>
      </w:r>
      <w:r>
        <w:rPr>
          <w:rFonts w:ascii="Times New Roman" w:hAnsi="Times New Roman" w:eastAsia="Times New Roman" w:cs="Times New Roman"/>
        </w:rPr>
        <w:t xml:space="preserve"> </w:t>
      </w:r>
      <w:r>
        <w:rPr>
          <w:rFonts w:ascii="Nirmala UI" w:hAnsi="Nirmala UI" w:eastAsia="Nirmala UI" w:cs="Nirmala UI"/>
        </w:rPr>
        <w:t>প্রবেশমুখের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ইয়াহূদার</w:t>
      </w:r>
      <w:r>
        <w:rPr>
          <w:rFonts w:ascii="Times New Roman" w:hAnsi="Times New Roman" w:eastAsia="Times New Roman" w:cs="Times New Roman"/>
        </w:rPr>
        <w:t xml:space="preserve"> </w:t>
      </w:r>
      <w:r>
        <w:rPr>
          <w:rFonts w:ascii="Nirmala UI" w:hAnsi="Nirmala UI" w:eastAsia="Nirmala UI" w:cs="Nirmala UI"/>
        </w:rPr>
        <w:t>পতাকাচিহ্ন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সিংহ</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ইয়াহূদা</w:t>
      </w:r>
      <w:r>
        <w:rPr>
          <w:rFonts w:ascii="Times New Roman" w:hAnsi="Times New Roman" w:eastAsia="Times New Roman" w:cs="Times New Roman"/>
        </w:rPr>
        <w:t xml:space="preserve"> </w:t>
      </w:r>
      <w:r>
        <w:rPr>
          <w:rFonts w:ascii="Nirmala UI" w:hAnsi="Nirmala UI" w:eastAsia="Nirmala UI" w:cs="Nirmala UI"/>
        </w:rPr>
        <w:t>গোত্রের</w:t>
      </w:r>
      <w:r>
        <w:rPr>
          <w:rFonts w:ascii="Times New Roman" w:hAnsi="Times New Roman" w:eastAsia="Times New Roman" w:cs="Times New Roman"/>
        </w:rPr>
        <w:t xml:space="preserve"> </w:t>
      </w:r>
      <w:r>
        <w:rPr>
          <w:rFonts w:ascii="Nirmala UI" w:hAnsi="Nirmala UI" w:eastAsia="Nirmala UI" w:cs="Nirmala UI"/>
        </w:rPr>
        <w:t>সিংহকে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ইয়াহূদার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গোত্র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ইষাখর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সবুলূন।</w:t>
      </w:r>
      <w:r>
        <w:rPr>
          <w:rFonts w:ascii="Times New Roman" w:hAnsi="Times New Roman" w:eastAsia="Times New Roman" w:cs="Times New Roman"/>
        </w:rPr>
        <w:t xml:space="preserve"> </w:t>
      </w:r>
      <w:r>
        <w:rPr>
          <w:rFonts w:ascii="Nirmala UI" w:hAnsi="Nirmala UI" w:eastAsia="Nirmala UI" w:cs="Nirmala UI"/>
        </w:rPr>
        <w:t>যোহনের</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জীবটি</w:t>
      </w:r>
      <w:r>
        <w:rPr>
          <w:rFonts w:ascii="Times New Roman" w:hAnsi="Times New Roman" w:eastAsia="Times New Roman" w:cs="Times New Roman"/>
        </w:rPr>
        <w:t xml:space="preserve"> </w:t>
      </w:r>
      <w:r>
        <w:rPr>
          <w:rFonts w:ascii="Nirmala UI" w:hAnsi="Nirmala UI" w:eastAsia="Nirmala UI" w:cs="Nirmala UI"/>
        </w:rPr>
        <w:t>সিংহের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ইযিকিয়েলের</w:t>
      </w:r>
      <w:r>
        <w:rPr>
          <w:rFonts w:ascii="Times New Roman" w:hAnsi="Times New Roman" w:eastAsia="Times New Roman" w:cs="Times New Roman"/>
        </w:rPr>
        <w:t xml:space="preserve"> </w:t>
      </w:r>
      <w:r>
        <w:rPr>
          <w:rFonts w:ascii="Nirmala UI" w:hAnsi="Nirmala UI" w:eastAsia="Nirmala UI" w:cs="Nirmala UI"/>
        </w:rPr>
        <w:t>করূবদেরও</w:t>
      </w:r>
      <w:r>
        <w:rPr>
          <w:rFonts w:ascii="Times New Roman" w:hAnsi="Times New Roman" w:eastAsia="Times New Roman" w:cs="Times New Roman"/>
        </w:rPr>
        <w:t xml:space="preserve"> </w:t>
      </w:r>
      <w:r>
        <w:rPr>
          <w:rFonts w:ascii="Nirmala UI" w:hAnsi="Nirmala UI" w:eastAsia="Nirmala UI" w:cs="Nirmala UI"/>
        </w:rPr>
        <w:t>সিংহের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রূবেন</w:t>
      </w:r>
      <w:r>
        <w:rPr>
          <w:rFonts w:ascii="Times New Roman" w:hAnsi="Times New Roman" w:eastAsia="Times New Roman" w:cs="Times New Roman"/>
        </w:rPr>
        <w:t>—</w:t>
      </w:r>
      <w:r>
        <w:rPr>
          <w:rFonts w:ascii="Nirmala UI" w:hAnsi="Nirmala UI" w:eastAsia="Nirmala UI" w:cs="Nirmala UI"/>
        </w:rPr>
        <w:t>মানবের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w:t>
      </w:r>
      <w:r>
        <w:rPr>
          <w:rFonts w:ascii="Nirmala UI" w:hAnsi="Nirmala UI" w:eastAsia="Nirmala UI" w:cs="Nirmala UI"/>
        </w:rPr>
        <w:t>শিমিয়োন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গাদের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দক্ষিণে</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পশ্চিমে</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ইফ্রয়িম</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বিন্যামীন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মনশি</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বলদের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প্রতীকায়িত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আশের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নপ্তালি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ঈগলের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প্রতীকায়িত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স্বর্গীয়</w:t>
      </w:r>
      <w:r>
        <w:rPr>
          <w:rFonts w:ascii="Times New Roman" w:hAnsi="Times New Roman" w:eastAsia="Times New Roman" w:cs="Times New Roman"/>
        </w:rPr>
        <w:t xml:space="preserve"> </w:t>
      </w:r>
      <w:r>
        <w:rPr>
          <w:rFonts w:ascii="Nirmala UI" w:hAnsi="Nirmala UI" w:eastAsia="Nirmala UI" w:cs="Nirmala UI"/>
        </w:rPr>
        <w:t>পবিত্রস্থানের</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মুখের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গোত্রগুলোর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চারটি</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প্রতিফলিত</w:t>
      </w:r>
      <w:r>
        <w:rPr>
          <w:rFonts w:ascii="Times New Roman" w:hAnsi="Times New Roman" w:eastAsia="Times New Roman" w:cs="Times New Roman"/>
        </w:rPr>
        <w:t xml:space="preserve"> </w:t>
      </w:r>
      <w:r>
        <w:rPr>
          <w:rFonts w:ascii="Nirmala UI" w:hAnsi="Nirmala UI" w:eastAsia="Nirmala UI" w:cs="Nirmala UI"/>
        </w:rPr>
        <w:t>হয়েছে।</w:t>
      </w:r>
    </w:p>
    <w:p>
      <w:pPr>
        <w:pStyle w:val="ArticleBody"/>
        <w:jc w:val="left"/>
      </w:pPr>
      <w:r>
        <w:rPr>
          <w:rFonts w:ascii="Times New Roman" w:hAnsi="Times New Roman" w:eastAsia="Times New Roman" w:cs="Times New Roman"/>
        </w:rPr>
        <w:t>Matthäus ist der Löwe aus dem Stamm Juda, Markus ist der Opferochse, Lukas der Mensch und Johannes der hochfliegende Adler. Christus als der Löwe aus dem Stamm Juda bezeichnet sich selbst als den, der sein prophetisches Wort versiegelt und entsiegelt. Das Buch Matthäus enthält mehr direkte Verweise auf die Erfüllung messianischer Weissagungen (12) als die anderen drei Evangelien zusammen. Der Unterschied ist nicht einmal annähernd gering.</w:t>
      </w:r>
    </w:p>
    <w:p>
      <w:pPr>
        <w:pStyle w:val="ArticleBody"/>
        <w:jc w:val="left"/>
      </w:pPr>
      <w:r>
        <w:rPr>
          <w:rFonts w:ascii="Times New Roman" w:hAnsi="Times New Roman" w:eastAsia="Times New Roman" w:cs="Times New Roman"/>
        </w:rPr>
        <w:t>Buku Matius melambangkan Firman nubuat Allah. Lukas, yang adalah seorang tabib, menyajikan Injilnya dari sudut pandang Kristus sebagai Anak Manusia, sebab Lukas adalah wajah manusia. Markus menyajikan Injilnya tentang Kristus dari sudut pandang persembahan korban yang dilambangkan oleh Kristus, sebab Markus adalah lembu jantan. Yohanes adalah rajawali yang terbang tinggi, yang menyampaikan hal-hal yang dalam dari Allah dalam penyajiannya tentang Injil Kristus.</w:t>
      </w:r>
    </w:p>
    <w:p>
      <w:pPr>
        <w:pStyle w:val="ArticleBody"/>
        <w:jc w:val="left"/>
      </w:pPr>
      <w:r>
        <w:rPr>
          <w:rFonts w:ascii="Times New Roman" w:hAnsi="Times New Roman" w:eastAsia="Times New Roman" w:cs="Times New Roman"/>
        </w:rPr>
        <w:t>Ka kongsan ban sngewthuh ïa ka kitab u Matthew katkum ka jingïmihkhmat jong ka hapoh ka Ktien jingïathuhlypa. Ka kitab u Matthew ka long U Sing na ka jait Judah, U Trai jong Ka Ktien jingïathuhlypa jong U, U Nongkheiñ Baphylla ïa ki jingïasopri, U Nongthylliej Baphylla, Uta uba pynsah bad plie ïa Ka Ktien jong U. U Jisu U long U Alpha bad U Omega, bad ma U hi U long Ka Ktien. Ka kitab kaba nyngkong jong ka Testament Bathymmai bad ka kitab kaba khatduh jong ka Testament Bathymmai ki long ki kitab jingïathuhlypa. Bun ki tip ïa kane ka jingshisha shaphang ka kitab Jingpynpaw, hynrei ki lah ban ym shym la ithuh ba u Matthew u long u alpha jong ka Testament Bathymmai, kumta u dei ban ïaïahap bad u omega jong ka Testament Bathymmai. U dei ban mihkhmat ïa ka jingïakut, kata ka long ka kitab Jingpynpaw.</w:t>
      </w:r>
    </w:p>
    <w:p>
      <w:pPr>
        <w:pStyle w:val="ArticleBody"/>
        <w:jc w:val="left"/>
      </w:pP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मत्तीमा</w:t>
      </w:r>
      <w:r>
        <w:rPr>
          <w:rFonts w:ascii="Times New Roman" w:hAnsi="Times New Roman" w:eastAsia="Times New Roman" w:cs="Times New Roman"/>
        </w:rPr>
        <w:t xml:space="preserve"> </w:t>
      </w:r>
      <w:r>
        <w:rPr>
          <w:rFonts w:ascii="Nirmala UI" w:hAnsi="Nirmala UI" w:eastAsia="Nirmala UI" w:cs="Nirmala UI"/>
        </w:rPr>
        <w:t>उत्पत्तिको</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रेखासँग</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एघारदेखि</w:t>
      </w:r>
      <w:r>
        <w:rPr>
          <w:rFonts w:ascii="Times New Roman" w:hAnsi="Times New Roman" w:eastAsia="Times New Roman" w:cs="Times New Roman"/>
        </w:rPr>
        <w:t xml:space="preserve"> </w:t>
      </w:r>
      <w:r>
        <w:rPr>
          <w:rFonts w:ascii="Nirmala UI" w:hAnsi="Nirmala UI" w:eastAsia="Nirmala UI" w:cs="Nirmala UI"/>
        </w:rPr>
        <w:t>बाइससम्म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पाउँछौँ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मत्तीको</w:t>
      </w:r>
      <w:r>
        <w:rPr>
          <w:rFonts w:ascii="Times New Roman" w:hAnsi="Times New Roman" w:eastAsia="Times New Roman" w:cs="Times New Roman"/>
        </w:rPr>
        <w:t xml:space="preserve"> </w:t>
      </w:r>
      <w:r>
        <w:rPr>
          <w:rFonts w:ascii="Nirmala UI" w:hAnsi="Nirmala UI" w:eastAsia="Nirmala UI" w:cs="Nirmala UI"/>
        </w:rPr>
        <w:t>कुलको</w:t>
      </w:r>
      <w:r>
        <w:rPr>
          <w:rFonts w:ascii="Times New Roman" w:hAnsi="Times New Roman" w:eastAsia="Times New Roman" w:cs="Times New Roman"/>
        </w:rPr>
        <w:t xml:space="preserve"> </w:t>
      </w:r>
      <w:r>
        <w:rPr>
          <w:rFonts w:ascii="Nirmala UI" w:hAnsi="Nirmala UI" w:eastAsia="Nirmala UI" w:cs="Nirmala UI"/>
        </w:rPr>
        <w:t>सिंहले</w:t>
      </w:r>
      <w:r>
        <w:rPr>
          <w:rFonts w:ascii="Times New Roman" w:hAnsi="Times New Roman" w:eastAsia="Times New Roman" w:cs="Times New Roman"/>
        </w:rPr>
        <w:t xml:space="preserve"> </w:t>
      </w:r>
      <w:r>
        <w:rPr>
          <w:rFonts w:ascii="Nirmala UI" w:hAnsi="Nirmala UI" w:eastAsia="Nirmala UI" w:cs="Nirmala UI"/>
        </w:rPr>
        <w:t>खोल्दै</w:t>
      </w:r>
      <w:r>
        <w:rPr>
          <w:rFonts w:ascii="Times New Roman" w:hAnsi="Times New Roman" w:eastAsia="Times New Roman" w:cs="Times New Roman"/>
        </w:rPr>
        <w:t xml:space="preserve"> </w:t>
      </w:r>
      <w:r>
        <w:rPr>
          <w:rFonts w:ascii="Nirmala UI" w:hAnsi="Nirmala UI" w:eastAsia="Nirmala UI" w:cs="Nirmala UI"/>
        </w:rPr>
        <w:t>हुनुहुने</w:t>
      </w:r>
      <w:r>
        <w:rPr>
          <w:rFonts w:ascii="Times New Roman" w:hAnsi="Times New Roman" w:eastAsia="Times New Roman" w:cs="Times New Roman"/>
        </w:rPr>
        <w:t xml:space="preserve"> </w:t>
      </w:r>
      <w:r>
        <w:rPr>
          <w:rFonts w:ascii="Nirmala UI" w:hAnsi="Nirmala UI" w:eastAsia="Nirmala UI" w:cs="Nirmala UI"/>
        </w:rPr>
        <w:t>सत्यभन्दा</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प्रकाशमा</w:t>
      </w:r>
      <w:r>
        <w:rPr>
          <w:rFonts w:ascii="Times New Roman" w:hAnsi="Times New Roman" w:eastAsia="Times New Roman" w:cs="Times New Roman"/>
        </w:rPr>
        <w:t xml:space="preserve"> </w:t>
      </w:r>
      <w:r>
        <w:rPr>
          <w:rFonts w:ascii="Nirmala UI" w:hAnsi="Nirmala UI" w:eastAsia="Nirmala UI" w:cs="Nirmala UI"/>
        </w:rPr>
        <w:t>प्रतिनिनिधित्व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अध्यायहरू</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खोलिँदै</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मत्तीको</w:t>
      </w:r>
      <w:r>
        <w:rPr>
          <w:rFonts w:ascii="Times New Roman" w:hAnsi="Times New Roman" w:eastAsia="Times New Roman" w:cs="Times New Roman"/>
        </w:rPr>
        <w:t xml:space="preserve"> </w:t>
      </w:r>
      <w:r>
        <w:rPr>
          <w:rFonts w:ascii="Nirmala UI" w:hAnsi="Nirmala UI" w:eastAsia="Nirmala UI" w:cs="Nirmala UI"/>
        </w:rPr>
        <w:t>तेइसौँ</w:t>
      </w:r>
      <w:r>
        <w:rPr>
          <w:rFonts w:ascii="Times New Roman" w:hAnsi="Times New Roman" w:eastAsia="Times New Roman" w:cs="Times New Roman"/>
        </w:rPr>
        <w:t xml:space="preserve"> </w:t>
      </w:r>
      <w:r>
        <w:rPr>
          <w:rFonts w:ascii="Nirmala UI" w:hAnsi="Nirmala UI" w:eastAsia="Nirmala UI" w:cs="Nirmala UI"/>
        </w:rPr>
        <w:t>अध्यायले</w:t>
      </w:r>
      <w:r>
        <w:rPr>
          <w:rFonts w:ascii="Times New Roman" w:hAnsi="Times New Roman" w:eastAsia="Times New Roman" w:cs="Times New Roman"/>
        </w:rPr>
        <w:t xml:space="preserve"> </w:t>
      </w:r>
      <w:r>
        <w:rPr>
          <w:rFonts w:ascii="Nirmala UI" w:hAnsi="Nirmala UI" w:eastAsia="Nirmala UI" w:cs="Nirmala UI"/>
        </w:rPr>
        <w:t>दाखबारीको</w:t>
      </w:r>
      <w:r>
        <w:rPr>
          <w:rFonts w:ascii="Times New Roman" w:hAnsi="Times New Roman" w:eastAsia="Times New Roman" w:cs="Times New Roman"/>
        </w:rPr>
        <w:t xml:space="preserve"> </w:t>
      </w:r>
      <w:r>
        <w:rPr>
          <w:rFonts w:ascii="Nirmala UI" w:hAnsi="Nirmala UI" w:eastAsia="Nirmala UI" w:cs="Nirmala UI"/>
        </w:rPr>
        <w:t>दृष्टान्तमा</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मूर्खबीचको</w:t>
      </w:r>
      <w:r>
        <w:rPr>
          <w:rFonts w:ascii="Times New Roman" w:hAnsi="Times New Roman" w:eastAsia="Times New Roman" w:cs="Times New Roman"/>
        </w:rPr>
        <w:t xml:space="preserve"> </w:t>
      </w:r>
      <w:r>
        <w:rPr>
          <w:rFonts w:ascii="Nirmala UI" w:hAnsi="Nirmala UI" w:eastAsia="Nirmala UI" w:cs="Nirmala UI"/>
        </w:rPr>
        <w:t>विभाजनलाई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अघिल्लो</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मानिसहरूमाथि</w:t>
      </w:r>
      <w:r>
        <w:rPr>
          <w:rFonts w:ascii="Times New Roman" w:hAnsi="Times New Roman" w:eastAsia="Times New Roman" w:cs="Times New Roman"/>
        </w:rPr>
        <w:t xml:space="preserve"> </w:t>
      </w:r>
      <w:r>
        <w:rPr>
          <w:rFonts w:ascii="Nirmala UI" w:hAnsi="Nirmala UI" w:eastAsia="Nirmala UI" w:cs="Nirmala UI"/>
        </w:rPr>
        <w:t>उच्चारित</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शोकहरू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समकक्ष</w:t>
      </w:r>
      <w:r>
        <w:rPr>
          <w:rFonts w:ascii="Times New Roman" w:hAnsi="Times New Roman" w:eastAsia="Times New Roman" w:cs="Times New Roman"/>
        </w:rPr>
        <w:t xml:space="preserve"> </w:t>
      </w:r>
      <w:r>
        <w:rPr>
          <w:rFonts w:ascii="Nirmala UI" w:hAnsi="Nirmala UI" w:eastAsia="Nirmala UI" w:cs="Nirmala UI"/>
        </w:rPr>
        <w:t>सुरक्षितताको</w:t>
      </w:r>
      <w:r>
        <w:rPr>
          <w:rFonts w:ascii="Times New Roman" w:hAnsi="Times New Roman" w:eastAsia="Times New Roman" w:cs="Times New Roman"/>
        </w:rPr>
        <w:t xml:space="preserve"> </w:t>
      </w:r>
      <w:r>
        <w:rPr>
          <w:rFonts w:ascii="Nirmala UI" w:hAnsi="Nirmala UI" w:eastAsia="Nirmala UI" w:cs="Nirmala UI"/>
        </w:rPr>
        <w:t>जहाजमा</w:t>
      </w:r>
      <w:r>
        <w:rPr>
          <w:rFonts w:ascii="Times New Roman" w:hAnsi="Times New Roman" w:eastAsia="Times New Roman" w:cs="Times New Roman"/>
        </w:rPr>
        <w:t xml:space="preserve"> </w:t>
      </w:r>
      <w:r>
        <w:rPr>
          <w:rFonts w:ascii="Nirmala UI" w:hAnsi="Nirmala UI" w:eastAsia="Nirmala UI" w:cs="Nirmala UI"/>
        </w:rPr>
        <w:t>चढ्ने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प्राणहरूमा</w:t>
      </w:r>
      <w:r>
        <w:rPr>
          <w:rFonts w:ascii="Times New Roman" w:hAnsi="Times New Roman" w:eastAsia="Times New Roman" w:cs="Times New Roman"/>
        </w:rPr>
        <w:t xml:space="preserve"> </w:t>
      </w:r>
      <w:r>
        <w:rPr>
          <w:rFonts w:ascii="Nirmala UI" w:hAnsi="Nirmala UI" w:eastAsia="Nirmala UI" w:cs="Nirmala UI"/>
        </w:rPr>
        <w:t>पाइन्छ।</w:t>
      </w:r>
      <w:r>
        <w:rPr>
          <w:rFonts w:ascii="Times New Roman" w:hAnsi="Times New Roman" w:eastAsia="Times New Roman" w:cs="Times New Roman"/>
        </w:rPr>
        <w:t xml:space="preserve"> 23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पवित्रस्थानमा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2300 </w:t>
      </w:r>
      <w:r>
        <w:rPr>
          <w:rFonts w:ascii="Nirmala UI" w:hAnsi="Nirmala UI" w:eastAsia="Nirmala UI" w:cs="Nirmala UI"/>
        </w:rPr>
        <w:t>दिनहरू</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22, 1844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निष्कर्षमा</w:t>
      </w:r>
      <w:r>
        <w:rPr>
          <w:rFonts w:ascii="Times New Roman" w:hAnsi="Times New Roman" w:eastAsia="Times New Roman" w:cs="Times New Roman"/>
        </w:rPr>
        <w:t xml:space="preserve"> </w:t>
      </w:r>
      <w:r>
        <w:rPr>
          <w:rFonts w:ascii="Nirmala UI" w:hAnsi="Nirmala UI" w:eastAsia="Nirmala UI" w:cs="Nirmala UI"/>
        </w:rPr>
        <w:t>पुगे</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Sunday law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23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सत्यलाई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Body"/>
        <w:jc w:val="left"/>
      </w:pPr>
      <w:r>
        <w:rPr>
          <w:rFonts w:ascii="Times New Roman" w:hAnsi="Times New Roman" w:eastAsia="Times New Roman" w:cs="Times New Roman"/>
        </w:rPr>
        <w:t>Jọt isii na anọ na-ewere ọnọdụ mgbe Kraịst ka mechara mkparịta-ụka Ya na Izrel nke dapụrụ n’ezi okwukwe, ma hapụ ụlọ nsọ ndị Juu ahụ ikpeazụ kpamkpam. Ọnụọgụ 24 bụ akara nke mgbanwe site n’Izrel oge ochie ruo n’Izrel oge ọhụrụ, ya bụ kpọmkwem isi n’akụkọ amụma ebe Kraịst guzoro mgbe O wetara ozi Ya n’ime Matiu isi nke iri abụọ na anọ. Ozi amụma nke Matiu 24 bụ ngosipụta nke Chineke nke usoro “ahịrị n’elu ahịrị,” nke na-ekwu kpọmkwem banyere akụkọ ndị Millerite, ya mere kwa akụkọ nke ndị puku narị anọ na iri anọ na anọ. A na-anọchi 24 anya site na nzukọ nke Mkpughe iri na abụọ, nke guzo n’elu ọnwa nke na-egosipụta ìhè anyanwụ nke ezi omume. N’isi ya dị kpakpando iri na abụọ nke na-anọchi 24 anya, n’ihi na ọ na-anọchi anya akụkọ na-eduga ruo n’ọmụmụ Kraịst mgbe ebo iri na abụọ nke Izrel oge ochie ga-abụ ndịozi iri na abụọ nke Izrel oge ọhụrụ. N’isi nke iri abụọ na anọ, a na-anọchi anya akụkọ ndị Millerite site na 1798 ruo n’oke ndakpọ olileanya ahụ. Mgbe ahụ ka Matiu 25 na-abịa.</w:t>
      </w:r>
    </w:p>
    <w:p>
      <w:pPr>
        <w:pStyle w:val="ArticleBody"/>
        <w:jc w:val="left"/>
      </w:pPr>
      <w:r>
        <w:rPr>
          <w:rFonts w:ascii="Times New Roman" w:hAnsi="Times New Roman" w:eastAsia="Times New Roman" w:cs="Times New Roman"/>
        </w:rPr>
        <w:t>Le nombre 25 est un symbole des Lévites, qu’ils soient bons ou mauvais, mais, tout aussi significativement, il représente la séparation des Lévites sages et des Lévites méchants. Matthieu 25 établit, sur la base de trois témoins, ou de trois paraboles, le processus de séparation représenté par le nombre vingt-cinq. Bien entendu, la parabole des dix vierges représente l’histoire des Millerites, ainsi que l’histoire des cent quarante-quatre mille. Cette histoire est l’histoire du premier ange; la parabole des talents correspond au deuxième ange, et la parabole des brebis et des boucs est le jugement du troisième ange.</w:t>
      </w:r>
    </w:p>
    <w:p>
      <w:pPr>
        <w:pStyle w:val="ArticleBody"/>
        <w:jc w:val="left"/>
      </w:pPr>
      <w:r>
        <w:rPr>
          <w:rFonts w:ascii="Times New Roman" w:hAnsi="Times New Roman" w:eastAsia="Times New Roman" w:cs="Times New Roman"/>
        </w:rPr>
        <w:t>Les chapitres vingt-six à vingt-huit retracent l’histoire de la Pâque jusqu’à la mission évangélique postérieure à la crucifixion.</w:t>
      </w:r>
    </w:p>
    <w:p>
      <w:pPr>
        <w:pStyle w:val="ArticleScripture"/>
        <w:jc w:val="left"/>
      </w:pPr>
      <w:r>
        <w:rPr>
          <w:rFonts w:ascii="Times New Roman" w:hAnsi="Times New Roman" w:eastAsia="Times New Roman" w:cs="Times New Roman"/>
        </w:rPr>
        <w:t>Kwaye kwathi, ekugqibeni kukaYesu onke la mazwi, wathi kubafundi bakhe, Niyazi ukuba emva kweentsuku ezimbini ngumthendeleko wepasika, yaye uNyana woMntu unikelwa ukuze abethelelwe emnqamlezweni. Mateyu 26:1, 2.</w:t>
      </w:r>
    </w:p>
    <w:p>
      <w:pPr>
        <w:pStyle w:val="ArticleBody"/>
        <w:jc w:val="left"/>
      </w:pPr>
      <w:r>
        <w:rPr>
          <w:rFonts w:ascii="Times New Roman" w:hAnsi="Times New Roman" w:eastAsia="Times New Roman" w:cs="Times New Roman"/>
        </w:rPr>
        <w:t>Bobi ya mokuse ya bilembo ndenge na ndenge oyo ezali na mokapo 26 ezali mwango ya koboma Yesu na molongo ya misato kino ya mitano. Na nsima, Yesu apakolami mafuta na Betania na molongo ya motoba kino ya zomi na misato. Na molongo ya zomi na minei kino ya zomi na motoba, Yuda akabi Klisto mpo na mbongo ya palata ntuku misato. Bongo Elekeli eyei elongo na bayekoli na Ye, na molongo ya zomi na nsambo kino ya ntuku mibale na mitano. Na molongo ya ntuku mibale na motoba kino ya ntuku mibale na libwa, Yesu atiaki Elambo ya Nkolo, mpe na molongo ya ntuku misato, Yesu asakoli liboso koboya ya Petelo. Na molongo ya ntuku misato na motoba kino ya ntuku minei na motoba, Yesu azali na Getesemane. Na molongo ya ntuku minei na nsambo kino ya ntuku mitano na motoba, Yesu akangami; bongo na molongo ya ntuku mitano na nsambo kino ya ntuku motoba na mwambe, Yesu azali liboso ya Kayafa mpe ya Sanedrina. Uta na molongo ya ntuku motoba na libwa kokende liboso, koboya ya Petelo epai ya Klisto elakisami polele. Mokapo yango ezali na bilembo zomi ya sikisiki oyo esengeli kozongelama na mikolo ya suka.</w:t>
      </w:r>
    </w:p>
    <w:p>
      <w:pPr>
        <w:pStyle w:val="ArticleBody"/>
        <w:jc w:val="left"/>
      </w:pPr>
      <w:r>
        <w:rPr>
          <w:rFonts w:ascii="Times New Roman" w:hAnsi="Times New Roman" w:eastAsia="Times New Roman" w:cs="Times New Roman"/>
        </w:rPr>
        <w:t>Chapit 27 i gat tenpela klia mak tu. Ol i olsem: ol i putim Jisas long han bilong Pailat; bihain Judas i hangamapim em yet; bihain ol i bringim Jisas i go sanap long ai bilong Pailat; bihain ol i makim Barabbas; Pailat i givim Jisas long ol bilong nilim em long diwai kros; bihain ol i tok bilas long Jisas; bihain pasin bilong nilim em long diwai kros; bihain dai bilong Jisas; bihain ol i planim Jisas; na bihain ol soldia i was long matmat i kamap witnes.</w:t>
      </w:r>
    </w:p>
    <w:p>
      <w:pPr>
        <w:pStyle w:val="ArticleBody"/>
        <w:jc w:val="left"/>
      </w:pPr>
      <w:r>
        <w:rPr>
          <w:rFonts w:ascii="Nirmala UI" w:hAnsi="Nirmala UI" w:eastAsia="Nirmala UI" w:cs="Nirmala UI"/>
        </w:rPr>
        <w:t>चैप्टर</w:t>
      </w:r>
      <w:r>
        <w:rPr>
          <w:rFonts w:ascii="Times New Roman" w:hAnsi="Times New Roman" w:eastAsia="Times New Roman" w:cs="Times New Roman"/>
        </w:rPr>
        <w:t xml:space="preserve"> </w:t>
      </w:r>
      <w:r>
        <w:rPr>
          <w:rFonts w:ascii="Nirmala UI" w:hAnsi="Nirmala UI" w:eastAsia="Nirmala UI" w:cs="Nirmala UI"/>
        </w:rPr>
        <w:t>अठ्ठाइस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महासभा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दोहराए</w:t>
      </w:r>
      <w:r>
        <w:rPr>
          <w:rFonts w:ascii="Times New Roman" w:hAnsi="Times New Roman" w:eastAsia="Times New Roman" w:cs="Times New Roman"/>
        </w:rPr>
        <w:t xml:space="preserve"> </w:t>
      </w:r>
      <w:r>
        <w:rPr>
          <w:rFonts w:ascii="Nirmala UI" w:hAnsi="Nirmala UI" w:eastAsia="Nirmala UI" w:cs="Nirmala UI"/>
        </w:rPr>
        <w:t>जाएंगे।</w:t>
      </w:r>
    </w:p>
    <w:p>
      <w:pPr>
        <w:pStyle w:val="ArticleHeading"/>
        <w:jc w:val="left"/>
      </w:pPr>
      <w:r>
        <w:rPr>
          <w:rFonts w:ascii="Arial" w:hAnsi="Arial" w:eastAsia="Arial" w:cs="Arial"/>
        </w:rPr>
        <w:t>Mataayo 26 – Calaamado Toban ah</w:t>
      </w:r>
    </w:p>
    <w:p>
      <w:pPr>
        <w:pStyle w:val="ArticleListItem"/>
        <w:ind w:left="576" w:hanging="259"/>
        <w:jc w:val="left"/>
      </w:pPr>
      <w:r>
        <w:rPr>
          <w:rFonts w:ascii="Times New Roman" w:hAnsi="Times New Roman" w:eastAsia="Times New Roman" w:cs="Times New Roman"/>
        </w:rPr>
        <w:t>1. Complot des principaux sacrificateurs et des anciens pour faire mourir Jésus (vv. 3–5)</w:t>
      </w:r>
    </w:p>
    <w:p>
      <w:pPr>
        <w:pStyle w:val="ArticleListItem"/>
        <w:ind w:left="576" w:hanging="259"/>
        <w:jc w:val="left"/>
      </w:pPr>
      <w:r>
        <w:rPr>
          <w:rFonts w:ascii="Times New Roman" w:hAnsi="Times New Roman" w:eastAsia="Times New Roman" w:cs="Times New Roman"/>
        </w:rPr>
        <w:t>2. L’onction à Béthanie par la femme au vase d’albâtre (vv. 6–13)</w:t>
      </w:r>
    </w:p>
    <w:p>
      <w:pPr>
        <w:pStyle w:val="ArticleListItem"/>
        <w:ind w:left="576" w:hanging="259"/>
        <w:jc w:val="left"/>
      </w:pPr>
      <w:r>
        <w:rPr>
          <w:rFonts w:ascii="Times New Roman" w:hAnsi="Times New Roman" w:eastAsia="Times New Roman" w:cs="Times New Roman"/>
        </w:rPr>
        <w:t>3. Judas anaanza kumusaliti Yesu kwa vipande 30 vya fedha (aya 14–16)</w:t>
      </w:r>
    </w:p>
    <w:p>
      <w:pPr>
        <w:pStyle w:val="ArticleListItem"/>
        <w:ind w:left="576" w:hanging="259"/>
        <w:jc w:val="left"/>
      </w:pPr>
      <w:r>
        <w:rPr>
          <w:rFonts w:ascii="Times New Roman" w:hAnsi="Times New Roman" w:eastAsia="Times New Roman" w:cs="Times New Roman"/>
        </w:rPr>
        <w:t>4. Disekis ak ƒe wowɔwɔ kple eɖuɖu kple nusrɔlawo (kp. 17–25)</w:t>
      </w:r>
    </w:p>
    <w:p>
      <w:pPr>
        <w:pStyle w:val="ArticleListItem"/>
        <w:ind w:left="576" w:hanging="259"/>
        <w:jc w:val="left"/>
      </w:pPr>
      <w:r>
        <w:rPr>
          <w:rFonts w:ascii="Times New Roman" w:hAnsi="Times New Roman" w:eastAsia="Times New Roman" w:cs="Times New Roman"/>
        </w:rPr>
        <w:t>5. Taasisi ya Meza ya Bwana (aya 26–29)</w:t>
      </w:r>
    </w:p>
    <w:p>
      <w:pPr>
        <w:pStyle w:val="ArticleListItem"/>
        <w:ind w:left="576" w:hanging="259"/>
        <w:jc w:val="left"/>
      </w:pPr>
      <w:r>
        <w:rPr>
          <w:rFonts w:ascii="Times New Roman" w:hAnsi="Times New Roman" w:eastAsia="Times New Roman" w:cs="Times New Roman"/>
        </w:rPr>
        <w:t xml:space="preserve">6. </w:t>
      </w:r>
      <w:r>
        <w:rPr>
          <w:rFonts w:ascii="Leelawadee UI" w:hAnsi="Leelawadee UI" w:eastAsia="Leelawadee UI" w:cs="Leelawadee UI"/>
        </w:rPr>
        <w:t>ការព្យាករណ៍អំពីការបដិសេធរបស់ពេត្រុស</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៣០</w:t>
      </w:r>
      <w:r>
        <w:rPr>
          <w:rFonts w:ascii="Times New Roman" w:hAnsi="Times New Roman" w:eastAsia="Times New Roman" w:cs="Times New Roman"/>
        </w:rPr>
        <w:t>–</w:t>
      </w:r>
      <w:r>
        <w:rPr>
          <w:rFonts w:ascii="Leelawadee UI" w:hAnsi="Leelawadee UI" w:eastAsia="Leelawadee UI" w:cs="Leelawadee UI"/>
        </w:rPr>
        <w:t>៣៥</w:t>
      </w:r>
      <w:r>
        <w:rPr>
          <w:rFonts w:ascii="Times New Roman" w:hAnsi="Times New Roman" w:eastAsia="Times New Roman" w:cs="Times New Roman"/>
        </w:rPr>
        <w:t>)</w:t>
      </w:r>
    </w:p>
    <w:p>
      <w:pPr>
        <w:pStyle w:val="ArticleListItem"/>
        <w:ind w:left="576" w:hanging="259"/>
        <w:jc w:val="left"/>
      </w:pPr>
      <w:r>
        <w:rPr>
          <w:rFonts w:ascii="Times New Roman" w:hAnsi="Times New Roman" w:eastAsia="Times New Roman" w:cs="Times New Roman"/>
        </w:rPr>
        <w:t xml:space="preserve">7. </w:t>
      </w:r>
      <w:r>
        <w:rPr>
          <w:rFonts w:ascii="MS Gothic" w:hAnsi="MS Gothic" w:eastAsia="MS Gothic" w:cs="MS Gothic"/>
        </w:rPr>
        <w:t>ゲツセマネにおける</w:t>
      </w:r>
      <w:r>
        <w:rPr>
          <w:rFonts w:ascii="Microsoft YaHei" w:hAnsi="Microsoft YaHei" w:eastAsia="Microsoft YaHei" w:cs="Microsoft YaHei"/>
        </w:rPr>
        <w:t>苦悶（</w:t>
      </w:r>
      <w:r>
        <w:rPr>
          <w:rFonts w:ascii="Times New Roman" w:hAnsi="Times New Roman" w:eastAsia="Times New Roman" w:cs="Times New Roman"/>
        </w:rPr>
        <w:t>36–46</w:t>
      </w:r>
      <w:r>
        <w:rPr>
          <w:rFonts w:ascii="Microsoft YaHei" w:hAnsi="Microsoft YaHei" w:eastAsia="Microsoft YaHei" w:cs="Microsoft YaHei"/>
        </w:rPr>
        <w:t>節）</w:t>
      </w:r>
    </w:p>
    <w:p>
      <w:pPr>
        <w:pStyle w:val="ArticleListItem"/>
        <w:ind w:left="576" w:hanging="259"/>
        <w:jc w:val="left"/>
      </w:pPr>
      <w:r>
        <w:rPr>
          <w:rFonts w:ascii="Times New Roman" w:hAnsi="Times New Roman" w:eastAsia="Times New Roman" w:cs="Times New Roman"/>
        </w:rPr>
        <w:t>8. Uhaini na kukamatwa kwa Yesu (vv. 47–56)</w:t>
      </w:r>
    </w:p>
    <w:p>
      <w:pPr>
        <w:pStyle w:val="ArticleListItem"/>
        <w:ind w:left="576" w:hanging="259"/>
        <w:jc w:val="left"/>
      </w:pPr>
      <w:r>
        <w:rPr>
          <w:rFonts w:ascii="Times New Roman" w:hAnsi="Times New Roman" w:eastAsia="Times New Roman" w:cs="Times New Roman"/>
        </w:rPr>
        <w:t>9. Yesu jugé devant Caïphe et le Sanhédrin (vv. 57–68)</w:t>
      </w:r>
    </w:p>
    <w:p>
      <w:pPr>
        <w:pStyle w:val="ArticleListItem"/>
        <w:ind w:left="576" w:hanging="259"/>
        <w:jc w:val="left"/>
      </w:pPr>
      <w:r>
        <w:rPr>
          <w:rFonts w:ascii="Times New Roman" w:hAnsi="Times New Roman" w:eastAsia="Times New Roman" w:cs="Times New Roman"/>
        </w:rPr>
        <w:t>10. Inkore eshatu Petero yahakanye (vv. 69–75)</w:t>
      </w:r>
    </w:p>
    <w:p>
      <w:pPr>
        <w:pStyle w:val="ArticleHeading"/>
        <w:jc w:val="left"/>
      </w:pPr>
      <w:r>
        <w:rPr>
          <w:rFonts w:ascii="Arial" w:hAnsi="Arial" w:eastAsia="Arial" w:cs="Arial"/>
        </w:rPr>
        <w:t>Matthäus 27 – Zehn Wegmarken</w:t>
      </w:r>
    </w:p>
    <w:p>
      <w:pPr>
        <w:pStyle w:val="ArticleListItem"/>
        <w:ind w:left="576" w:hanging="259"/>
        <w:jc w:val="left"/>
      </w:pPr>
      <w:r>
        <w:rPr>
          <w:rFonts w:ascii="Times New Roman" w:hAnsi="Times New Roman" w:eastAsia="Times New Roman" w:cs="Times New Roman"/>
        </w:rPr>
        <w:t>1. Jésus livré à Pilate (vv. 1–2)</w:t>
      </w:r>
    </w:p>
    <w:p>
      <w:pPr>
        <w:pStyle w:val="ArticleListItem"/>
        <w:ind w:left="576" w:hanging="259"/>
        <w:jc w:val="left"/>
      </w:pPr>
      <w:r>
        <w:rPr>
          <w:rFonts w:ascii="Times New Roman" w:hAnsi="Times New Roman" w:eastAsia="Times New Roman" w:cs="Times New Roman"/>
        </w:rPr>
        <w:t>2. Le remords et le suicide de Judas (vv. 3–10)</w:t>
      </w:r>
    </w:p>
    <w:p>
      <w:pPr>
        <w:pStyle w:val="ArticleListItem"/>
        <w:ind w:left="576" w:hanging="259"/>
        <w:jc w:val="left"/>
      </w:pPr>
      <w:r>
        <w:rPr>
          <w:rFonts w:ascii="Times New Roman" w:hAnsi="Times New Roman" w:eastAsia="Times New Roman" w:cs="Times New Roman"/>
        </w:rPr>
        <w:t>3. Yesu imbere ya Pilato — urubanza rwemewe rw’Abaroma (imirongo ya 11–14)</w:t>
      </w:r>
    </w:p>
    <w:p>
      <w:pPr>
        <w:pStyle w:val="ArticleListItem"/>
        <w:ind w:left="576" w:hanging="259"/>
        <w:jc w:val="left"/>
      </w:pPr>
      <w:r>
        <w:rPr>
          <w:rFonts w:ascii="Times New Roman" w:hAnsi="Times New Roman" w:eastAsia="Times New Roman" w:cs="Times New Roman"/>
        </w:rPr>
        <w:t>4. Choix de Barabbas plutôt que Jésus (vv. 15–26)</w:t>
      </w:r>
    </w:p>
    <w:p>
      <w:pPr>
        <w:pStyle w:val="ArticleListItem"/>
        <w:ind w:left="576" w:hanging="259"/>
        <w:jc w:val="left"/>
      </w:pPr>
      <w:r>
        <w:rPr>
          <w:rFonts w:ascii="Times New Roman" w:hAnsi="Times New Roman" w:eastAsia="Times New Roman" w:cs="Times New Roman"/>
        </w:rPr>
        <w:t>5. Pilatus livre Jésus pour être crucifié (y compris la libération de Barabbas)</w:t>
      </w:r>
    </w:p>
    <w:p>
      <w:pPr>
        <w:pStyle w:val="ArticleListItem"/>
        <w:ind w:left="576" w:hanging="259"/>
        <w:jc w:val="left"/>
      </w:pPr>
      <w:r>
        <w:rPr>
          <w:rFonts w:ascii="Times New Roman" w:hAnsi="Times New Roman" w:eastAsia="Times New Roman" w:cs="Times New Roman"/>
        </w:rPr>
        <w:t>6. Les moqueries et les flagellations infligées par les soldats (vv. 27–31)</w:t>
      </w:r>
    </w:p>
    <w:p>
      <w:pPr>
        <w:pStyle w:val="ArticleListItem"/>
        <w:ind w:left="576" w:hanging="259"/>
        <w:jc w:val="left"/>
      </w:pPr>
      <w:r>
        <w:rPr>
          <w:rFonts w:ascii="Times New Roman" w:hAnsi="Times New Roman" w:eastAsia="Times New Roman" w:cs="Times New Roman"/>
        </w:rPr>
        <w:t xml:space="preserve">7. </w:t>
      </w:r>
      <w:r>
        <w:rPr>
          <w:rFonts w:ascii="Leelawadee UI" w:hAnsi="Leelawadee UI" w:eastAsia="Leelawadee UI" w:cs="Leelawadee UI"/>
        </w:rPr>
        <w:t>ការឆ្កាងលើឈើឆ្កាង</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៣២</w:t>
      </w:r>
      <w:r>
        <w:rPr>
          <w:rFonts w:ascii="Times New Roman" w:hAnsi="Times New Roman" w:eastAsia="Times New Roman" w:cs="Times New Roman"/>
        </w:rPr>
        <w:t>–</w:t>
      </w:r>
      <w:r>
        <w:rPr>
          <w:rFonts w:ascii="Leelawadee UI" w:hAnsi="Leelawadee UI" w:eastAsia="Leelawadee UI" w:cs="Leelawadee UI"/>
        </w:rPr>
        <w:t>៤៤</w:t>
      </w:r>
      <w:r>
        <w:rPr>
          <w:rFonts w:ascii="Times New Roman" w:hAnsi="Times New Roman" w:eastAsia="Times New Roman" w:cs="Times New Roman"/>
        </w:rPr>
        <w:t>)</w:t>
      </w:r>
    </w:p>
    <w:p>
      <w:pPr>
        <w:pStyle w:val="ArticleListItem"/>
        <w:ind w:left="576" w:hanging="259"/>
        <w:jc w:val="left"/>
      </w:pPr>
      <w:r>
        <w:rPr>
          <w:rFonts w:ascii="Times New Roman" w:hAnsi="Times New Roman" w:eastAsia="Times New Roman" w:cs="Times New Roman"/>
        </w:rPr>
        <w:t>8. Le mort de Jésus (vv. 45–50)</w:t>
      </w:r>
    </w:p>
    <w:p>
      <w:pPr>
        <w:pStyle w:val="ArticleListItem"/>
        <w:ind w:left="576" w:hanging="259"/>
        <w:jc w:val="left"/>
      </w:pPr>
      <w:r>
        <w:rPr>
          <w:rFonts w:ascii="Times New Roman" w:hAnsi="Times New Roman" w:eastAsia="Times New Roman" w:cs="Times New Roman"/>
        </w:rPr>
        <w:t>9. Alama za kimuujiza na kuzikwa na Yosefu wa Arimathaya (aya 51–61)</w:t>
      </w:r>
    </w:p>
    <w:p>
      <w:pPr>
        <w:pStyle w:val="ArticleListItem"/>
        <w:ind w:left="576" w:hanging="259"/>
        <w:jc w:val="left"/>
      </w:pPr>
      <w:r>
        <w:rPr>
          <w:rFonts w:ascii="Times New Roman" w:hAnsi="Times New Roman" w:eastAsia="Times New Roman" w:cs="Times New Roman"/>
        </w:rPr>
        <w:t>10. Asew si le gɛngɛl fɛnwɔrɔ no so wɔ ɔda no mu (nky. 62–66)</w:t>
      </w:r>
    </w:p>
    <w:p>
      <w:pPr>
        <w:pStyle w:val="ArticleHeading"/>
        <w:jc w:val="left"/>
      </w:pPr>
      <w:r>
        <w:rPr>
          <w:rFonts w:ascii="Arial" w:hAnsi="Arial" w:eastAsia="Arial" w:cs="Arial"/>
        </w:rPr>
        <w:t>Matthieu 28 – Trois repères</w:t>
      </w:r>
    </w:p>
    <w:p>
      <w:pPr>
        <w:pStyle w:val="ArticleListItem"/>
        <w:ind w:left="576" w:hanging="259"/>
        <w:jc w:val="left"/>
      </w:pPr>
      <w:r>
        <w:rPr>
          <w:rFonts w:ascii="Times New Roman" w:hAnsi="Times New Roman" w:eastAsia="Times New Roman" w:cs="Times New Roman"/>
        </w:rPr>
        <w:t>1. Ang pagkabanhaw at ang walang-lamang libingan (mga tal. 1–10)</w:t>
      </w:r>
    </w:p>
    <w:p>
      <w:pPr>
        <w:pStyle w:val="ArticleListItem"/>
        <w:ind w:left="576" w:hanging="259"/>
        <w:jc w:val="left"/>
      </w:pPr>
      <w:r>
        <w:rPr>
          <w:rFonts w:ascii="Times New Roman" w:hAnsi="Times New Roman" w:eastAsia="Times New Roman" w:cs="Times New Roman"/>
        </w:rPr>
        <w:t>2. Le mensonge des principaux sacrificateurs et des anciens aux soldats (vv. 11–15)</w:t>
      </w:r>
    </w:p>
    <w:p>
      <w:pPr>
        <w:pStyle w:val="ArticleListItem"/>
        <w:ind w:left="576" w:hanging="259"/>
        <w:jc w:val="left"/>
      </w:pPr>
      <w:r>
        <w:rPr>
          <w:rFonts w:ascii="Times New Roman" w:hAnsi="Times New Roman" w:eastAsia="Times New Roman" w:cs="Times New Roman"/>
        </w:rPr>
        <w:t>3. Tuma Kubwa (aya 16–20)</w:t>
      </w:r>
    </w:p>
    <w:p>
      <w:pPr>
        <w:pStyle w:val="ArticleBody"/>
        <w:jc w:val="left"/>
      </w:pPr>
      <w:r>
        <w:rPr>
          <w:rFonts w:ascii="Times New Roman" w:hAnsi="Times New Roman" w:eastAsia="Times New Roman" w:cs="Times New Roman"/>
        </w:rPr>
        <w:t>Tel qu’entre l’onction à Béthanie et le grand mandat l’expérience du Christ marqua la clôture de Son ministère terrestre et le commencement de l’Évangile destiné à toutes les nations, de même ces mêmes jalons se répètent dans l’expérience du reste de Dieu, à mesure qu’il s’approche de la clôture du temps de grâce et de son triomphe final.</w:t>
      </w:r>
    </w:p>
    <w:p>
      <w:pPr>
        <w:pStyle w:val="ArticleBody"/>
        <w:jc w:val="left"/>
      </w:pPr>
      <w:r>
        <w:rPr>
          <w:rFonts w:ascii="Times New Roman" w:hAnsi="Times New Roman" w:eastAsia="Times New Roman" w:cs="Times New Roman"/>
        </w:rPr>
        <w:t>Les chapitres vingt-six à vingt-huit représentent l’histoire de la Pâque structurée selon 23 balises distinctes, lesquelles se répètent au cours de l’histoire conduisant à la loi du dimanche et se poursuivant après celle-ci.</w:t>
      </w:r>
    </w:p>
    <w:p>
      <w:pPr>
        <w:pStyle w:val="ArticleScripture"/>
        <w:jc w:val="left"/>
      </w:pPr>
      <w:r>
        <w:rPr>
          <w:rFonts w:ascii="Times New Roman" w:hAnsi="Times New Roman" w:eastAsia="Times New Roman" w:cs="Times New Roman"/>
        </w:rPr>
        <w:t>« La venue du Christ comme notre souverain sacrificateur dans le lieu très saint, pour la purification du sanctuaire, présentée dans Daniel 8:14 ; la venue du Fils de l’homme vers l’Ancien des jours, telle qu’elle est exposée dans Daniel 7:13 ; et la venue du Seigneur à son temple, annoncée par Malachie, sont des descriptions du même événement ; et cela est aussi représenté par la venue de l’époux aux noces, décrite par le Christ dans la parabole des dix vierges, en Matthieu 25. » The Great Controversy, 427.</w:t>
      </w:r>
    </w:p>
    <w:p>
      <w:pPr>
        <w:pStyle w:val="ArticleBody"/>
        <w:jc w:val="left"/>
      </w:pPr>
      <w:r>
        <w:rPr>
          <w:rFonts w:ascii="Times New Roman" w:hAnsi="Times New Roman" w:eastAsia="Times New Roman" w:cs="Times New Roman"/>
        </w:rPr>
        <w:t>La fin des 2300 jours, le 22 octobre 1844, se répète lors de la loi du dimanche. Les 23 balises prophétiques situées dans les trois derniers chapitres de Matthieu identifient le sang précieux qui est employé pour unir la Divinité à l’humanité.</w:t>
      </w:r>
    </w:p>
    <w:p>
      <w:pPr>
        <w:pStyle w:val="ArticleScripture"/>
        <w:jc w:val="left"/>
      </w:pPr>
      <w:r>
        <w:rPr>
          <w:rFonts w:ascii="Times New Roman" w:hAnsi="Times New Roman" w:eastAsia="Times New Roman" w:cs="Times New Roman"/>
        </w:rPr>
        <w:t>“Ukuyincengela kukaKristu umuntu endaweni engcwele yasezulwini kubaluleke kakhulu ohlelweni lwensindiso njengoba nokufa kwaKhe esiphambanweni kwakubalulekile. Ngokufa kwaKhe waqala lowo msebenzi okwakuthi, emva kokuvuka kwaKhe, enyukele ezulwini ukuyowuphelelisa. Kumelwe singene ngokukholwa ngaphakathi kwesihenqo, ‘lapho umanduleli engené khona ngenxa yethu.’ Hebrews 6:20. Lapho ukukhanya okuvela esiphambanweni saseKalvari kubonakala khona. Lapho singazuza ukuqonda okucace kakhudlwana ngezimfihlakalo zokuhlengwa. Insindiso yomuntu ifezwa ngezindleko ezingapheliyo ezulwini; umhlatshelo owenziweyo uyalingana nezimfuno ezibanzi kakhulu zomthetho kaNkulunkulu owephuliwe. UJesu uvule indlela eya esihlalweni sobukhosi sikaYise, futhi ngokumela kwaKhe izifiso eziqotho zabo bonke abeza kuYe ngokukholwa zingethulwa phambi kukaNkulunkulu.” The Great Controversy, 489.</w:t>
      </w:r>
    </w:p>
    <w:p>
      <w:pPr>
        <w:pStyle w:val="ArticleBody"/>
        <w:jc w:val="left"/>
      </w:pPr>
      <w:r>
        <w:rPr>
          <w:rFonts w:ascii="Times New Roman" w:hAnsi="Times New Roman" w:eastAsia="Times New Roman" w:cs="Times New Roman"/>
        </w:rPr>
        <w:t>Matthieu 23 met l’accent sur la condamnation qui pèse sur le sacerdoce contrefait. Les chapitres vingt-six à vingt-huit constituent l’oméga du chapitre vingt-trois. Les faux Lévites, la rébellion croissante des anciens au cours de quatre générations, ont produit les jalons exposés dans les trois derniers chapitres.</w:t>
      </w:r>
    </w:p>
    <w:p>
      <w:pPr>
        <w:pStyle w:val="ArticleBody"/>
        <w:jc w:val="left"/>
      </w:pPr>
      <w:r>
        <w:rPr>
          <w:rFonts w:ascii="Times New Roman" w:hAnsi="Times New Roman" w:eastAsia="Times New Roman" w:cs="Times New Roman"/>
        </w:rPr>
        <w:t>Lesa ya ntuku zole na iya ikalelula mayele ya “liné par ligne” lokola mayele ya Klisto, wana Azali kosalela kobebisama ya Yelusaleme mpo na kolimbola makambo oyo ezali, makambo oyo esilá kozala mpe makambo oyo ekoya.</w:t>
      </w:r>
    </w:p>
    <w:p>
      <w:pPr>
        <w:pStyle w:val="ArticleBody"/>
        <w:jc w:val="left"/>
      </w:pPr>
      <w:r>
        <w:rPr>
          <w:rFonts w:ascii="Times New Roman" w:hAnsi="Times New Roman" w:eastAsia="Times New Roman" w:cs="Times New Roman"/>
        </w:rPr>
        <w:t>Quddusaan Yeruusaalem sanadkii 70 AD waxay dhacday isla maalinta sannadka ee Yeruusaalem markii ugu horraysay uu Nebukadnesar baabbi'iyey. Baabbi'inta Yeruusaalem ee uu Nebukadnesar sameeyey waxay ahayd taariikh hore, taariikhdii Masiixana, markii Tiitos qabsaday Yeruusaalem, waxay ahayd astaan u ah dhammaadka dunida. Matayos 24 wuxuu kor u qaadaa habraaca xariiqda xariiqda ku dul taalla, sidaas darteedna wuxuu aqoonsanayaa “habraac” inuu yahay qayb ka mid ah markhaatifurka nebiyadeed.</w:t>
      </w:r>
    </w:p>
    <w:p>
      <w:pPr>
        <w:pStyle w:val="ArticleBody"/>
        <w:jc w:val="left"/>
      </w:pPr>
      <w:r>
        <w:rPr>
          <w:rFonts w:ascii="Microsoft YaHei" w:hAnsi="Microsoft YaHei" w:eastAsia="Microsoft YaHei" w:cs="Microsoft YaHei"/>
        </w:rPr>
        <w:t>在第</w:t>
      </w:r>
      <w:r>
        <w:rPr>
          <w:rFonts w:ascii="Times New Roman" w:hAnsi="Times New Roman" w:eastAsia="Times New Roman" w:cs="Times New Roman"/>
        </w:rPr>
        <w:t>24</w:t>
      </w:r>
      <w:r>
        <w:rPr>
          <w:rFonts w:ascii="Microsoft YaHei" w:hAnsi="Microsoft YaHei" w:eastAsia="Microsoft YaHei" w:cs="Microsoft YaHei"/>
        </w:rPr>
        <w:t>章中</w:t>
      </w:r>
      <w:r>
        <w:rPr>
          <w:rFonts w:ascii="Times New Roman" w:hAnsi="Times New Roman" w:eastAsia="Times New Roman" w:cs="Times New Roman"/>
        </w:rPr>
        <w:t>,</w:t>
      </w:r>
      <w:r>
        <w:rPr>
          <w:rFonts w:ascii="Microsoft YaHei" w:hAnsi="Microsoft YaHei" w:eastAsia="Microsoft YaHei" w:cs="Microsoft YaHei"/>
        </w:rPr>
        <w:t>基督指出</w:t>
      </w:r>
      <w:r>
        <w:rPr>
          <w:rFonts w:ascii="Times New Roman" w:hAnsi="Times New Roman" w:eastAsia="Times New Roman" w:cs="Times New Roman"/>
        </w:rPr>
        <w:t>,</w:t>
      </w:r>
      <w:r>
        <w:rPr>
          <w:rFonts w:ascii="Microsoft YaHei" w:hAnsi="Microsoft YaHei" w:eastAsia="Microsoft YaHei" w:cs="Microsoft YaHei"/>
        </w:rPr>
        <w:t>必须明白先知但以理所说的</w:t>
      </w:r>
      <w:r>
        <w:rPr>
          <w:rFonts w:ascii="Times New Roman" w:hAnsi="Times New Roman" w:eastAsia="Times New Roman" w:cs="Times New Roman"/>
        </w:rPr>
        <w:t>“</w:t>
      </w:r>
      <w:r>
        <w:rPr>
          <w:rFonts w:ascii="Microsoft YaHei" w:hAnsi="Microsoft YaHei" w:eastAsia="Microsoft YaHei" w:cs="Microsoft YaHei"/>
        </w:rPr>
        <w:t>那行毁坏可憎的</w:t>
      </w:r>
      <w:r>
        <w:rPr>
          <w:rFonts w:ascii="Times New Roman" w:hAnsi="Times New Roman" w:eastAsia="Times New Roman" w:cs="Times New Roman"/>
        </w:rPr>
        <w:t>”,</w:t>
      </w:r>
      <w:r>
        <w:rPr>
          <w:rFonts w:ascii="Microsoft YaHei" w:hAnsi="Microsoft YaHei" w:eastAsia="Microsoft YaHei" w:cs="Microsoft YaHei"/>
        </w:rPr>
        <w:t>这正是威廉</w:t>
      </w:r>
      <w:r>
        <w:rPr>
          <w:rFonts w:ascii="Times New Roman" w:hAnsi="Times New Roman" w:eastAsia="Times New Roman" w:cs="Times New Roman"/>
        </w:rPr>
        <w:t>·</w:t>
      </w:r>
      <w:r>
        <w:rPr>
          <w:rFonts w:ascii="Microsoft YaHei" w:hAnsi="Microsoft YaHei" w:eastAsia="Microsoft YaHei" w:cs="Microsoft YaHei"/>
        </w:rPr>
        <w:t>米勒最根本的认识</w:t>
      </w:r>
      <w:r>
        <w:rPr>
          <w:rFonts w:ascii="Times New Roman" w:hAnsi="Times New Roman" w:eastAsia="Times New Roman" w:cs="Times New Roman"/>
        </w:rPr>
        <w:t>,</w:t>
      </w:r>
      <w:r>
        <w:rPr>
          <w:rFonts w:ascii="Microsoft YaHei" w:hAnsi="Microsoft YaHei" w:eastAsia="Microsoft YaHei" w:cs="Microsoft YaHei"/>
        </w:rPr>
        <w:t>也是确立但以理异象的表号</w:t>
      </w:r>
      <w:r>
        <w:rPr>
          <w:rFonts w:ascii="Times New Roman" w:hAnsi="Times New Roman" w:eastAsia="Times New Roman" w:cs="Times New Roman"/>
        </w:rPr>
        <w:t>.</w:t>
      </w:r>
      <w:r>
        <w:rPr>
          <w:rFonts w:ascii="Microsoft YaHei" w:hAnsi="Microsoft YaHei" w:eastAsia="Microsoft YaHei" w:cs="Microsoft YaHei"/>
        </w:rPr>
        <w:t>它同时也代表着复临信仰的悖逆</w:t>
      </w:r>
      <w:r>
        <w:rPr>
          <w:rFonts w:ascii="Times New Roman" w:hAnsi="Times New Roman" w:eastAsia="Times New Roman" w:cs="Times New Roman"/>
        </w:rPr>
        <w:t>,</w:t>
      </w:r>
      <w:r>
        <w:rPr>
          <w:rFonts w:ascii="Microsoft YaHei" w:hAnsi="Microsoft YaHei" w:eastAsia="Microsoft YaHei" w:cs="Microsoft YaHei"/>
        </w:rPr>
        <w:t>因为他们弃绝了米勒派对于但以理书中</w:t>
      </w:r>
      <w:r>
        <w:rPr>
          <w:rFonts w:ascii="Times New Roman" w:hAnsi="Times New Roman" w:eastAsia="Times New Roman" w:cs="Times New Roman"/>
        </w:rPr>
        <w:t>“</w:t>
      </w:r>
      <w:r>
        <w:rPr>
          <w:rFonts w:ascii="Microsoft YaHei" w:hAnsi="Microsoft YaHei" w:eastAsia="Microsoft YaHei" w:cs="Microsoft YaHei"/>
        </w:rPr>
        <w:t>常献的</w:t>
      </w:r>
      <w:r>
        <w:rPr>
          <w:rFonts w:ascii="Times New Roman" w:hAnsi="Times New Roman" w:eastAsia="Times New Roman" w:cs="Times New Roman"/>
        </w:rPr>
        <w:t>”</w:t>
      </w:r>
      <w:r>
        <w:rPr>
          <w:rFonts w:ascii="Microsoft YaHei" w:hAnsi="Microsoft YaHei" w:eastAsia="Microsoft YaHei" w:cs="Microsoft YaHei"/>
        </w:rPr>
        <w:t>之理解</w:t>
      </w:r>
      <w:r>
        <w:rPr>
          <w:rFonts w:ascii="Times New Roman" w:hAnsi="Times New Roman" w:eastAsia="Times New Roman" w:cs="Times New Roman"/>
        </w:rPr>
        <w:t>,</w:t>
      </w:r>
      <w:r>
        <w:rPr>
          <w:rFonts w:ascii="Microsoft YaHei" w:hAnsi="Microsoft YaHei" w:eastAsia="Microsoft YaHei" w:cs="Microsoft YaHei"/>
        </w:rPr>
        <w:t>因此有分于帖撒罗尼迦后书第二章所说那强烈的迷惑</w:t>
      </w:r>
      <w:r>
        <w:rPr>
          <w:rFonts w:ascii="Times New Roman" w:hAnsi="Times New Roman" w:eastAsia="Times New Roman" w:cs="Times New Roman"/>
        </w:rPr>
        <w:t>.</w:t>
      </w:r>
      <w:r>
        <w:rPr>
          <w:rFonts w:ascii="Microsoft YaHei" w:hAnsi="Microsoft YaHei" w:eastAsia="Microsoft YaHei" w:cs="Microsoft YaHei"/>
        </w:rPr>
        <w:t>此章又直接与路加福音第</w:t>
      </w:r>
      <w:r>
        <w:rPr>
          <w:rFonts w:ascii="Times New Roman" w:hAnsi="Times New Roman" w:eastAsia="Times New Roman" w:cs="Times New Roman"/>
        </w:rPr>
        <w:t>21</w:t>
      </w:r>
      <w:r>
        <w:rPr>
          <w:rFonts w:ascii="Microsoft YaHei" w:hAnsi="Microsoft YaHei" w:eastAsia="Microsoft YaHei" w:cs="Microsoft YaHei"/>
        </w:rPr>
        <w:t>章相连</w:t>
      </w:r>
      <w:r>
        <w:rPr>
          <w:rFonts w:ascii="Times New Roman" w:hAnsi="Times New Roman" w:eastAsia="Times New Roman" w:cs="Times New Roman"/>
        </w:rPr>
        <w:t>,</w:t>
      </w:r>
      <w:r>
        <w:rPr>
          <w:rFonts w:ascii="Microsoft YaHei" w:hAnsi="Microsoft YaHei" w:eastAsia="Microsoft YaHei" w:cs="Microsoft YaHei"/>
        </w:rPr>
        <w:t>从而指明</w:t>
      </w:r>
      <w:r>
        <w:rPr>
          <w:rFonts w:ascii="Times New Roman" w:hAnsi="Times New Roman" w:eastAsia="Times New Roman" w:cs="Times New Roman"/>
        </w:rPr>
        <w:t>1840</w:t>
      </w:r>
      <w:r>
        <w:rPr>
          <w:rFonts w:ascii="Microsoft YaHei" w:hAnsi="Microsoft YaHei" w:eastAsia="Microsoft YaHei" w:cs="Microsoft YaHei"/>
        </w:rPr>
        <w:t>年</w:t>
      </w:r>
      <w:r>
        <w:rPr>
          <w:rFonts w:ascii="Times New Roman" w:hAnsi="Times New Roman" w:eastAsia="Times New Roman" w:cs="Times New Roman"/>
        </w:rPr>
        <w:t>8</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日至</w:t>
      </w:r>
      <w:r>
        <w:rPr>
          <w:rFonts w:ascii="Times New Roman" w:hAnsi="Times New Roman" w:eastAsia="Times New Roman" w:cs="Times New Roman"/>
        </w:rPr>
        <w:t>1844</w:t>
      </w:r>
      <w:r>
        <w:rPr>
          <w:rFonts w:ascii="Microsoft YaHei" w:hAnsi="Microsoft YaHei" w:eastAsia="Microsoft YaHei" w:cs="Microsoft YaHei"/>
        </w:rPr>
        <w:t>年</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22</w:t>
      </w:r>
      <w:r>
        <w:rPr>
          <w:rFonts w:ascii="Microsoft YaHei" w:hAnsi="Microsoft YaHei" w:eastAsia="Microsoft YaHei" w:cs="Microsoft YaHei"/>
        </w:rPr>
        <w:t>日</w:t>
      </w:r>
      <w:r>
        <w:rPr>
          <w:rFonts w:ascii="Times New Roman" w:hAnsi="Times New Roman" w:eastAsia="Times New Roman" w:cs="Times New Roman"/>
        </w:rPr>
        <w:t>,</w:t>
      </w:r>
      <w:r>
        <w:rPr>
          <w:rFonts w:ascii="Microsoft YaHei" w:hAnsi="Microsoft YaHei" w:eastAsia="Microsoft YaHei" w:cs="Microsoft YaHei"/>
        </w:rPr>
        <w:t>这预表着由</w:t>
      </w:r>
      <w:r>
        <w:rPr>
          <w:rFonts w:ascii="Times New Roman" w:hAnsi="Times New Roman" w:eastAsia="Times New Roman" w:cs="Times New Roman"/>
        </w:rPr>
        <w:t>9/11</w:t>
      </w:r>
      <w:r>
        <w:rPr>
          <w:rFonts w:ascii="Microsoft YaHei" w:hAnsi="Microsoft YaHei" w:eastAsia="Microsoft YaHei" w:cs="Microsoft YaHei"/>
        </w:rPr>
        <w:t>直到星期日法令</w:t>
      </w:r>
      <w:r>
        <w:rPr>
          <w:rFonts w:ascii="Times New Roman" w:hAnsi="Times New Roman" w:eastAsia="Times New Roman" w:cs="Times New Roman"/>
        </w:rPr>
        <w:t>.</w:t>
      </w:r>
      <w:r>
        <w:rPr>
          <w:rFonts w:ascii="Microsoft YaHei" w:hAnsi="Microsoft YaHei" w:eastAsia="Microsoft YaHei" w:cs="Microsoft YaHei"/>
        </w:rPr>
        <w:t>它也与路加福音</w:t>
      </w:r>
      <w:r>
        <w:rPr>
          <w:rFonts w:ascii="Times New Roman" w:hAnsi="Times New Roman" w:eastAsia="Times New Roman" w:cs="Times New Roman"/>
        </w:rPr>
        <w:t>21:24</w:t>
      </w:r>
      <w:r>
        <w:rPr>
          <w:rFonts w:ascii="Microsoft YaHei" w:hAnsi="Microsoft YaHei" w:eastAsia="Microsoft YaHei" w:cs="Microsoft YaHei"/>
        </w:rPr>
        <w:t>中的</w:t>
      </w:r>
      <w:r>
        <w:rPr>
          <w:rFonts w:ascii="Times New Roman" w:hAnsi="Times New Roman" w:eastAsia="Times New Roman" w:cs="Times New Roman"/>
        </w:rPr>
        <w:t>“</w:t>
      </w:r>
      <w:r>
        <w:rPr>
          <w:rFonts w:ascii="Microsoft YaHei" w:hAnsi="Microsoft YaHei" w:eastAsia="Microsoft YaHei" w:cs="Microsoft YaHei"/>
        </w:rPr>
        <w:t>外邦人的日期</w:t>
      </w:r>
      <w:r>
        <w:rPr>
          <w:rFonts w:ascii="Times New Roman" w:hAnsi="Times New Roman" w:eastAsia="Times New Roman" w:cs="Times New Roman"/>
        </w:rPr>
        <w:t>”</w:t>
      </w:r>
      <w:r>
        <w:rPr>
          <w:rFonts w:ascii="Microsoft YaHei" w:hAnsi="Microsoft YaHei" w:eastAsia="Microsoft YaHei" w:cs="Microsoft YaHei"/>
        </w:rPr>
        <w:t>相连</w:t>
      </w:r>
      <w:r>
        <w:rPr>
          <w:rFonts w:ascii="Times New Roman" w:hAnsi="Times New Roman" w:eastAsia="Times New Roman" w:cs="Times New Roman"/>
        </w:rPr>
        <w:t>;</w:t>
      </w:r>
      <w:r>
        <w:rPr>
          <w:rFonts w:ascii="Microsoft YaHei" w:hAnsi="Microsoft YaHei" w:eastAsia="Microsoft YaHei" w:cs="Microsoft YaHei"/>
        </w:rPr>
        <w:t>这是开启摩西</w:t>
      </w:r>
      <w:r>
        <w:rPr>
          <w:rFonts w:ascii="Times New Roman" w:hAnsi="Times New Roman" w:eastAsia="Times New Roman" w:cs="Times New Roman"/>
        </w:rPr>
        <w:t>“</w:t>
      </w:r>
      <w:r>
        <w:rPr>
          <w:rFonts w:ascii="Microsoft YaHei" w:hAnsi="Microsoft YaHei" w:eastAsia="Microsoft YaHei" w:cs="Microsoft YaHei"/>
        </w:rPr>
        <w:t>七次</w:t>
      </w:r>
      <w:r>
        <w:rPr>
          <w:rFonts w:ascii="Times New Roman" w:hAnsi="Times New Roman" w:eastAsia="Times New Roman" w:cs="Times New Roman"/>
        </w:rPr>
        <w:t>”</w:t>
      </w:r>
      <w:r>
        <w:rPr>
          <w:rFonts w:ascii="Microsoft YaHei" w:hAnsi="Microsoft YaHei" w:eastAsia="Microsoft YaHei" w:cs="Microsoft YaHei"/>
        </w:rPr>
        <w:t>之奥秘的一把主要钥匙</w:t>
      </w:r>
      <w:r>
        <w:rPr>
          <w:rFonts w:ascii="Times New Roman" w:hAnsi="Times New Roman" w:eastAsia="Times New Roman" w:cs="Times New Roman"/>
        </w:rPr>
        <w:t>,</w:t>
      </w:r>
      <w:r>
        <w:rPr>
          <w:rFonts w:ascii="Microsoft YaHei" w:hAnsi="Microsoft YaHei" w:eastAsia="Microsoft YaHei" w:cs="Microsoft YaHei"/>
        </w:rPr>
        <w:t>同时也与启示录第十一章中量度圣殿之事相互对应</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Daga fara da sura ta ashirin da uku, sai 24 da 25, sannan a kammala da surori 26 zuwa 27, surori uku waɗanda suke da alamomin hanya ashirin da uku, waɗanda su ne omega ga alpha na sura ta ashirin da uku. Sura ta ashirin da shida idan aka ƙara ta da ashirin da bakwai da ashirin da takwas, suna ba da “81,” wanda alama ce ta firistanci. Bisa ga shaidu uku (Farawa, Matiyu da Ru’ya ta Yohanna), surori 11 zuwa 22 layi ɗaya ne. Surori 23 zuwa 28 layin gaskiya ne wanda yake farawa da 23 kuma ya ƙare da 23.</w:t>
      </w:r>
    </w:p>
    <w:p>
      <w:pPr>
        <w:pStyle w:val="ArticleBody"/>
        <w:jc w:val="left"/>
      </w:pPr>
      <w:r>
        <w:rPr>
          <w:rFonts w:ascii="Times New Roman" w:hAnsi="Times New Roman" w:eastAsia="Times New Roman" w:cs="Times New Roman"/>
        </w:rPr>
        <w:t>Los capítulos uno al diez constituyen la primera de tres líneas proféticas en el libro de Mateo: diez capítulos, seguidos de doce capítulos, seguidos de seis capítulos. La Inspiración nos informa que todos los libros de la Biblia confluyen y terminan en el Apocalipsis, y por lo tanto todos los libros de la Biblia confluyen y terminan en Mateo. Mateo, como el rostro del león de la tribu de Judá, identifica doce profecías mesiánicas distintas, y esos doce pasajes producen los hitos de la historia de los Milleritas y de los ciento cuarenta y cuatro mil. Así como el libro de Apocalipsis comienza con la revelación de Jesucristo, Mateo capítulo uno presenta una revelación de Jesucristo que se vincula con la vida y el testimonio de Moisés, con la historia del Anticristo, a la vez que identifica los tres elementos de la iglesia triunfante, representados por el profeta, el sacerdote y el rey.</w:t>
      </w:r>
    </w:p>
    <w:p>
      <w:pPr>
        <w:pStyle w:val="ArticleBody"/>
        <w:jc w:val="left"/>
      </w:pPr>
      <w:r>
        <w:rPr>
          <w:rFonts w:ascii="Times New Roman" w:hAnsi="Times New Roman" w:eastAsia="Times New Roman" w:cs="Times New Roman"/>
        </w:rPr>
        <w:t>Matthieu commence par la révélation de Jésus-Christ dans le contexte de l’alliance de Dieu avec un peuple élu. D’Abraham à David, il y eut quatorze générations ; de David jusqu’à la captivité à Babylone, quatorze générations ; et de Babylone jusqu’au Christ, encore quatorze générations. La généalogie du Christ dans Matthieu correspond à Moïse, car Moïse est l’alpha du Christ, l’oméga. La vie de Moïse, de cent vingt ans, correspond aux cent vingt années de temps probatoire dans l’histoire de Noé. L’alliance de Noé est donc liée à l’alliance d’un peuple élu. Les cent vingt années de Moïse représentent trois périodes de quarante ans, lesquelles s’achevèrent par Moïse tuant l’Égyptien à la fin des quarante premières années, puis par la mise à mort du premier-né, de Pharaon et de son armée à la fin de la deuxième période de quarante ans. La deuxième période de quarante ans prit fin lors d’une rébellion à Kadès, et la troisième période de quarante ans prit fin lors de la seconde rébellion de Kadès. Les trois lignes prophétiques de l’alpha se terminent toutes à Kadès, et les trois lignes prophétiques de la généalogie de Matthieu se terminent à David, à la captivité à Babylone, et au Messager de l’alliance.</w:t>
      </w:r>
    </w:p>
    <w:p>
      <w:pPr>
        <w:pStyle w:val="ArticleBody"/>
        <w:jc w:val="left"/>
      </w:pP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အာလဖာသည်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အိုမေဂါနှင့်</w:t>
      </w:r>
      <w:r>
        <w:rPr>
          <w:rFonts w:ascii="Times New Roman" w:hAnsi="Times New Roman" w:eastAsia="Times New Roman" w:cs="Times New Roman"/>
        </w:rPr>
        <w:t xml:space="preserve"> </w:t>
      </w:r>
      <w:r>
        <w:rPr>
          <w:rFonts w:ascii="Myanmar Text" w:hAnsi="Myanmar Text" w:eastAsia="Myanmar Text" w:cs="Myanmar Text"/>
        </w:rPr>
        <w:t>ညီညွတ်စွာ</w:t>
      </w:r>
      <w:r>
        <w:rPr>
          <w:rFonts w:ascii="Times New Roman" w:hAnsi="Times New Roman" w:eastAsia="Times New Roman" w:cs="Times New Roman"/>
        </w:rPr>
        <w:t xml:space="preserve"> </w:t>
      </w:r>
      <w:r>
        <w:rPr>
          <w:rFonts w:ascii="Myanmar Text" w:hAnsi="Myanmar Text" w:eastAsia="Myanmar Text" w:cs="Myanmar Text"/>
        </w:rPr>
        <w:t>ကိုက်ညီသည့်အခါ၊</w:t>
      </w:r>
      <w:r>
        <w:rPr>
          <w:rFonts w:ascii="Times New Roman" w:hAnsi="Times New Roman" w:eastAsia="Times New Roman" w:cs="Times New Roman"/>
        </w:rPr>
        <w:t xml:space="preserve"> </w:t>
      </w:r>
      <w:r>
        <w:rPr>
          <w:rFonts w:ascii="Myanmar Text" w:hAnsi="Myanmar Text" w:eastAsia="Myanmar Text" w:cs="Myanmar Text"/>
        </w:rPr>
        <w:t>ကာဒေရှ်၏</w:t>
      </w:r>
      <w:r>
        <w:rPr>
          <w:rFonts w:ascii="Times New Roman" w:hAnsi="Times New Roman" w:eastAsia="Times New Roman" w:cs="Times New Roman"/>
        </w:rPr>
        <w:t xml:space="preserve"> </w:t>
      </w:r>
      <w:r>
        <w:rPr>
          <w:rFonts w:ascii="Myanmar Text" w:hAnsi="Myanmar Text" w:eastAsia="Myanmar Text" w:cs="Myanmar Text"/>
        </w:rPr>
        <w:t>သက်သေ</w:t>
      </w:r>
      <w:r>
        <w:rPr>
          <w:rFonts w:ascii="Times New Roman" w:hAnsi="Times New Roman" w:eastAsia="Times New Roman" w:cs="Times New Roman"/>
        </w:rPr>
        <w:t xml:space="preserve"> </w:t>
      </w:r>
      <w:r>
        <w:rPr>
          <w:rFonts w:ascii="Myanmar Text" w:hAnsi="Myanmar Text" w:eastAsia="Myanmar Text" w:cs="Myanmar Text"/>
        </w:rPr>
        <w:t>ခြောက်ပါး</w:t>
      </w:r>
      <w:r>
        <w:rPr>
          <w:rFonts w:ascii="Times New Roman" w:hAnsi="Times New Roman" w:eastAsia="Times New Roman" w:cs="Times New Roman"/>
        </w:rPr>
        <w:t xml:space="preserve"> </w:t>
      </w:r>
      <w:r>
        <w:rPr>
          <w:rFonts w:ascii="Myanmar Text" w:hAnsi="Myanmar Text" w:eastAsia="Myanmar Text" w:cs="Myanmar Text"/>
        </w:rPr>
        <w:t>ရှိလာသည်။</w:t>
      </w:r>
      <w:r>
        <w:rPr>
          <w:rFonts w:ascii="Times New Roman" w:hAnsi="Times New Roman" w:eastAsia="Times New Roman" w:cs="Times New Roman"/>
        </w:rPr>
        <w:t xml:space="preserve"> </w:t>
      </w:r>
      <w:r>
        <w:rPr>
          <w:rFonts w:ascii="Myanmar Text" w:hAnsi="Myanmar Text" w:eastAsia="Myanmar Text" w:cs="Myanmar Text"/>
        </w:rPr>
        <w:t>၎င်းမှာ</w:t>
      </w:r>
      <w:r>
        <w:rPr>
          <w:rFonts w:ascii="Times New Roman" w:hAnsi="Times New Roman" w:eastAsia="Times New Roman" w:cs="Times New Roman"/>
        </w:rPr>
        <w:t xml:space="preserve"> 1863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w:t>
      </w:r>
      <w:r>
        <w:rPr>
          <w:rFonts w:ascii="Myanmar Text" w:hAnsi="Myanmar Text" w:eastAsia="Myanmar Text" w:cs="Myanmar Text"/>
        </w:rPr>
        <w:t>မျိုးရိုးစဉ်တွင်</w:t>
      </w:r>
      <w:r>
        <w:rPr>
          <w:rFonts w:ascii="Times New Roman" w:hAnsi="Times New Roman" w:eastAsia="Times New Roman" w:cs="Times New Roman"/>
        </w:rPr>
        <w:t xml:space="preserve"> </w:t>
      </w:r>
      <w:r>
        <w:rPr>
          <w:rFonts w:ascii="Myanmar Text" w:hAnsi="Myanmar Text" w:eastAsia="Myanmar Text" w:cs="Myanmar Text"/>
        </w:rPr>
        <w:t>ဘုရင်ဒါဝိဒ်ကို</w:t>
      </w:r>
      <w:r>
        <w:rPr>
          <w:rFonts w:ascii="Times New Roman" w:hAnsi="Times New Roman" w:eastAsia="Times New Roman" w:cs="Times New Roman"/>
        </w:rPr>
        <w:t xml:space="preserve"> </w:t>
      </w:r>
      <w:r>
        <w:rPr>
          <w:rFonts w:ascii="Myanmar Text" w:hAnsi="Myanmar Text" w:eastAsia="Myanmar Text" w:cs="Myanmar Text"/>
        </w:rPr>
        <w:t>ကာဒေရှ်၌</w:t>
      </w:r>
      <w:r>
        <w:rPr>
          <w:rFonts w:ascii="Times New Roman" w:hAnsi="Times New Roman" w:eastAsia="Times New Roman" w:cs="Times New Roman"/>
        </w:rPr>
        <w:t xml:space="preserve"> </w:t>
      </w:r>
      <w:r>
        <w:rPr>
          <w:rFonts w:ascii="Myanmar Text" w:hAnsi="Myanmar Text" w:eastAsia="Myanmar Text" w:cs="Myanmar Text"/>
        </w:rPr>
        <w:t>တင်ထားပြီး၊</w:t>
      </w:r>
      <w:r>
        <w:rPr>
          <w:rFonts w:ascii="Times New Roman" w:hAnsi="Times New Roman" w:eastAsia="Times New Roman" w:cs="Times New Roman"/>
        </w:rPr>
        <w:t xml:space="preserve"> </w:t>
      </w:r>
      <w:r>
        <w:rPr>
          <w:rFonts w:ascii="Myanmar Text" w:hAnsi="Myanmar Text" w:eastAsia="Myanmar Text" w:cs="Myanmar Text"/>
        </w:rPr>
        <w:t>ထိုနေရာ၌ပင်</w:t>
      </w:r>
      <w:r>
        <w:rPr>
          <w:rFonts w:ascii="Times New Roman" w:hAnsi="Times New Roman" w:eastAsia="Times New Roman" w:cs="Times New Roman"/>
        </w:rPr>
        <w:t xml:space="preserve"> </w:t>
      </w:r>
      <w:r>
        <w:rPr>
          <w:rFonts w:ascii="Myanmar Text" w:hAnsi="Myanmar Text" w:eastAsia="Myanmar Text" w:cs="Myanmar Text"/>
        </w:rPr>
        <w:t>ဖောက်ပြန်သော</w:t>
      </w:r>
      <w:r>
        <w:rPr>
          <w:rFonts w:ascii="Times New Roman" w:hAnsi="Times New Roman" w:eastAsia="Times New Roman" w:cs="Times New Roman"/>
        </w:rPr>
        <w:t xml:space="preserve"> </w:t>
      </w:r>
      <w:r>
        <w:rPr>
          <w:rFonts w:ascii="Myanmar Text" w:hAnsi="Myanmar Text" w:eastAsia="Myanmar Text" w:cs="Myanmar Text"/>
        </w:rPr>
        <w:t>အက်ဒ်ဗင့်ဝါဒသည်</w:t>
      </w:r>
      <w:r>
        <w:rPr>
          <w:rFonts w:ascii="Times New Roman" w:hAnsi="Times New Roman" w:eastAsia="Times New Roman" w:cs="Times New Roman"/>
        </w:rPr>
        <w:t xml:space="preserve"> </w:t>
      </w:r>
      <w:r>
        <w:rPr>
          <w:rFonts w:ascii="Myanmar Text" w:hAnsi="Myanmar Text" w:eastAsia="Myanmar Text" w:cs="Myanmar Text"/>
        </w:rPr>
        <w:t>ဘာဗျလုန်သို့</w:t>
      </w:r>
      <w:r>
        <w:rPr>
          <w:rFonts w:ascii="Times New Roman" w:hAnsi="Times New Roman" w:eastAsia="Times New Roman" w:cs="Times New Roman"/>
        </w:rPr>
        <w:t xml:space="preserve"> </w:t>
      </w:r>
      <w:r>
        <w:rPr>
          <w:rFonts w:ascii="Myanmar Text" w:hAnsi="Myanmar Text" w:eastAsia="Myanmar Text" w:cs="Myanmar Text"/>
        </w:rPr>
        <w:t>ခေါ်ဆောင်ခံရသည်။</w:t>
      </w:r>
      <w:r>
        <w:rPr>
          <w:rFonts w:ascii="Times New Roman" w:hAnsi="Times New Roman" w:eastAsia="Times New Roman" w:cs="Times New Roman"/>
        </w:rPr>
        <w:t xml:space="preserve"> </w:t>
      </w:r>
      <w:r>
        <w:rPr>
          <w:rFonts w:ascii="Myanmar Text" w:hAnsi="Myanmar Text" w:eastAsia="Myanmar Text" w:cs="Myanmar Text"/>
        </w:rPr>
        <w:t>ထိုအချိန်တွင်</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တစ်သိန်းလေးသောင်းလေးထောင်နှင့်</w:t>
      </w:r>
      <w:r>
        <w:rPr>
          <w:rFonts w:ascii="Times New Roman" w:hAnsi="Times New Roman" w:eastAsia="Times New Roman" w:cs="Times New Roman"/>
        </w:rPr>
        <w:t xml:space="preserve"> </w:t>
      </w:r>
      <w:r>
        <w:rPr>
          <w:rFonts w:ascii="Myanmar Text" w:hAnsi="Myanmar Text" w:eastAsia="Myanmar Text" w:cs="Myanmar Text"/>
        </w:rPr>
        <w:t>ပဋိညာဉ်ကို</w:t>
      </w:r>
      <w:r>
        <w:rPr>
          <w:rFonts w:ascii="Times New Roman" w:hAnsi="Times New Roman" w:eastAsia="Times New Roman" w:cs="Times New Roman"/>
        </w:rPr>
        <w:t xml:space="preserve"> </w:t>
      </w:r>
      <w:r>
        <w:rPr>
          <w:rFonts w:ascii="Myanmar Text" w:hAnsi="Myanmar Text" w:eastAsia="Myanmar Text" w:cs="Myanmar Text"/>
        </w:rPr>
        <w:t>အတည်ပြုတော်မူသည်။</w:t>
      </w:r>
      <w:r>
        <w:rPr>
          <w:rFonts w:ascii="Times New Roman" w:hAnsi="Times New Roman" w:eastAsia="Times New Roman" w:cs="Times New Roman"/>
        </w:rPr>
        <w:t xml:space="preserve"> </w:t>
      </w:r>
      <w:r>
        <w:rPr>
          <w:rFonts w:ascii="Myanmar Text" w:hAnsi="Myanmar Text" w:eastAsia="Myanmar Text" w:cs="Myanmar Text"/>
        </w:rPr>
        <w:t>ဒါဝိဒ်ကို</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တင်ထားခြင်းအားဖြင့်</w:t>
      </w:r>
      <w:r>
        <w:rPr>
          <w:rFonts w:ascii="Times New Roman" w:hAnsi="Times New Roman" w:eastAsia="Times New Roman" w:cs="Times New Roman"/>
        </w:rPr>
        <w:t xml:space="preserve"> </w:t>
      </w:r>
      <w:r>
        <w:rPr>
          <w:rFonts w:ascii="Myanmar Text" w:hAnsi="Myanmar Text" w:eastAsia="Myanmar Text" w:cs="Myanmar Text"/>
        </w:rPr>
        <w:t>ဒါဝိဒ်ဆိုင်ရာ</w:t>
      </w:r>
      <w:r>
        <w:rPr>
          <w:rFonts w:ascii="Times New Roman" w:hAnsi="Times New Roman" w:eastAsia="Times New Roman" w:cs="Times New Roman"/>
        </w:rPr>
        <w:t xml:space="preserve"> </w:t>
      </w:r>
      <w:r>
        <w:rPr>
          <w:rFonts w:ascii="Myanmar Text" w:hAnsi="Myanmar Text" w:eastAsia="Myanmar Text" w:cs="Myanmar Text"/>
        </w:rPr>
        <w:t>ဒုတိယသက်သေတစ်ပါးကို</w:t>
      </w:r>
      <w:r>
        <w:rPr>
          <w:rFonts w:ascii="Times New Roman" w:hAnsi="Times New Roman" w:eastAsia="Times New Roman" w:cs="Times New Roman"/>
        </w:rPr>
        <w:t xml:space="preserve"> </w:t>
      </w:r>
      <w:r>
        <w:rPr>
          <w:rFonts w:ascii="Myanmar Text" w:hAnsi="Myanmar Text" w:eastAsia="Myanmar Text" w:cs="Myanmar Text"/>
        </w:rPr>
        <w:t>တည်စေသည်။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ဒါဝိဒ်သည်</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သုံးဆယ်အရွယ်၌</w:t>
      </w:r>
      <w:r>
        <w:rPr>
          <w:rFonts w:ascii="Times New Roman" w:hAnsi="Times New Roman" w:eastAsia="Times New Roman" w:cs="Times New Roman"/>
        </w:rPr>
        <w:t xml:space="preserve"> </w:t>
      </w:r>
      <w:r>
        <w:rPr>
          <w:rFonts w:ascii="Myanmar Text" w:hAnsi="Myanmar Text" w:eastAsia="Myanmar Text" w:cs="Myanmar Text"/>
        </w:rPr>
        <w:t>စတင်အမှုတော်ဆောင်ခဲ့သော</w:t>
      </w:r>
      <w:r>
        <w:rPr>
          <w:rFonts w:ascii="Times New Roman" w:hAnsi="Times New Roman" w:eastAsia="Times New Roman" w:cs="Times New Roman"/>
        </w:rPr>
        <w:t xml:space="preserve"> </w:t>
      </w:r>
      <w:r>
        <w:rPr>
          <w:rFonts w:ascii="Myanmar Text" w:hAnsi="Myanmar Text" w:eastAsia="Myanmar Text" w:cs="Myanmar Text"/>
        </w:rPr>
        <w:t>လူသားကိုယ်စားလှယ်</w:t>
      </w:r>
      <w:r>
        <w:rPr>
          <w:rFonts w:ascii="Times New Roman" w:hAnsi="Times New Roman" w:eastAsia="Times New Roman" w:cs="Times New Roman"/>
        </w:rPr>
        <w:t xml:space="preserve"> </w:t>
      </w:r>
      <w:r>
        <w:rPr>
          <w:rFonts w:ascii="Myanmar Text" w:hAnsi="Myanmar Text" w:eastAsia="Myanmar Text" w:cs="Myanmar Text"/>
        </w:rPr>
        <w:t>သုံးပါးအနက်</w:t>
      </w:r>
      <w:r>
        <w:rPr>
          <w:rFonts w:ascii="Times New Roman" w:hAnsi="Times New Roman" w:eastAsia="Times New Roman" w:cs="Times New Roman"/>
        </w:rPr>
        <w:t xml:space="preserve"> </w:t>
      </w:r>
      <w:r>
        <w:rPr>
          <w:rFonts w:ascii="Myanmar Text" w:hAnsi="Myanmar Text" w:eastAsia="Myanmar Text" w:cs="Myanmar Text"/>
        </w:rPr>
        <w:t>တစ်ပါး</w:t>
      </w:r>
      <w:r>
        <w:rPr>
          <w:rFonts w:ascii="Times New Roman" w:hAnsi="Times New Roman" w:eastAsia="Times New Roman" w:cs="Times New Roman"/>
        </w:rPr>
        <w:t xml:space="preserve"> </w:t>
      </w:r>
      <w:r>
        <w:rPr>
          <w:rFonts w:ascii="Myanmar Text" w:hAnsi="Myanmar Text" w:eastAsia="Myanmar Text" w:cs="Myanmar Text"/>
        </w:rPr>
        <w:t>ဖြစ်သောကြောင့်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ဒါဝိဒ်၊</w:t>
      </w:r>
      <w:r>
        <w:rPr>
          <w:rFonts w:ascii="Times New Roman" w:hAnsi="Times New Roman" w:eastAsia="Times New Roman" w:cs="Times New Roman"/>
        </w:rPr>
        <w:t xml:space="preserve"> </w:t>
      </w:r>
      <w:r>
        <w:rPr>
          <w:rFonts w:ascii="Myanmar Text" w:hAnsi="Myanmar Text" w:eastAsia="Myanmar Text" w:cs="Myanmar Text"/>
        </w:rPr>
        <w:t>ယောသပ်နှင့်</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သုံးဆယ်အရွယ်၌</w:t>
      </w:r>
      <w:r>
        <w:rPr>
          <w:rFonts w:ascii="Times New Roman" w:hAnsi="Times New Roman" w:eastAsia="Times New Roman" w:cs="Times New Roman"/>
        </w:rPr>
        <w:t xml:space="preserve"> </w:t>
      </w:r>
      <w:r>
        <w:rPr>
          <w:rFonts w:ascii="Myanmar Text" w:hAnsi="Myanmar Text" w:eastAsia="Myanmar Text" w:cs="Myanmar Text"/>
        </w:rPr>
        <w:t>စတင်ခဲ့ကြသည်။</w:t>
      </w:r>
      <w:r>
        <w:rPr>
          <w:rFonts w:ascii="Times New Roman" w:hAnsi="Times New Roman" w:eastAsia="Times New Roman" w:cs="Times New Roman"/>
        </w:rPr>
        <w:t xml:space="preserve"> </w:t>
      </w: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အမှုတော်ဆောင်ရန်</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သုံးဆယ်အရွယ်</w:t>
      </w:r>
      <w:r>
        <w:rPr>
          <w:rFonts w:ascii="Times New Roman" w:hAnsi="Times New Roman" w:eastAsia="Times New Roman" w:cs="Times New Roman"/>
        </w:rPr>
        <w:t xml:space="preserve"> </w:t>
      </w:r>
      <w:r>
        <w:rPr>
          <w:rFonts w:ascii="Myanmar Text" w:hAnsi="Myanmar Text" w:eastAsia="Myanmar Text" w:cs="Myanmar Text"/>
        </w:rPr>
        <w:t>လေးပါးတို့သည်</w:t>
      </w:r>
      <w:r>
        <w:rPr>
          <w:rFonts w:ascii="Times New Roman" w:hAnsi="Times New Roman" w:eastAsia="Times New Roman" w:cs="Times New Roman"/>
        </w:rPr>
        <w:t xml:space="preserve"> </w:t>
      </w:r>
      <w:r>
        <w:rPr>
          <w:rFonts w:ascii="Myanmar Text" w:hAnsi="Myanmar Text" w:eastAsia="Myanmar Text" w:cs="Myanmar Text"/>
        </w:rPr>
        <w:t>တိုက်ခိုက်ဆဲအသင်းတော်ကို</w:t>
      </w:r>
      <w:r>
        <w:rPr>
          <w:rFonts w:ascii="Times New Roman" w:hAnsi="Times New Roman" w:eastAsia="Times New Roman" w:cs="Times New Roman"/>
        </w:rPr>
        <w:t xml:space="preserve"> </w:t>
      </w:r>
      <w:r>
        <w:rPr>
          <w:rFonts w:ascii="Myanmar Text" w:hAnsi="Myanmar Text" w:eastAsia="Myanmar Text" w:cs="Myanmar Text"/>
        </w:rPr>
        <w:t>အောင်မြင်သောအသင်းတော်အဖြစ်</w:t>
      </w:r>
      <w:r>
        <w:rPr>
          <w:rFonts w:ascii="Times New Roman" w:hAnsi="Times New Roman" w:eastAsia="Times New Roman" w:cs="Times New Roman"/>
        </w:rPr>
        <w:t xml:space="preserve"> </w:t>
      </w:r>
      <w:r>
        <w:rPr>
          <w:rFonts w:ascii="Myanmar Text" w:hAnsi="Myanmar Text" w:eastAsia="Myanmar Text" w:cs="Myanmar Text"/>
        </w:rPr>
        <w:t>ပြောင်းလဲသောအခါ၊</w:t>
      </w:r>
      <w:r>
        <w:rPr>
          <w:rFonts w:ascii="Times New Roman" w:hAnsi="Times New Roman" w:eastAsia="Times New Roman" w:cs="Times New Roman"/>
        </w:rPr>
        <w:t xml:space="preserve"> </w:t>
      </w:r>
      <w:r>
        <w:rPr>
          <w:rFonts w:ascii="Myanmar Text" w:hAnsi="Myanmar Text" w:eastAsia="Myanmar Text" w:cs="Myanmar Text"/>
        </w:rPr>
        <w:t>ဘုရားသဘောသဘာဝနှင့်</w:t>
      </w:r>
      <w:r>
        <w:rPr>
          <w:rFonts w:ascii="Times New Roman" w:hAnsi="Times New Roman" w:eastAsia="Times New Roman" w:cs="Times New Roman"/>
        </w:rPr>
        <w:t xml:space="preserve"> </w:t>
      </w:r>
      <w:r>
        <w:rPr>
          <w:rFonts w:ascii="Myanmar Text" w:hAnsi="Myanmar Text" w:eastAsia="Myanmar Text" w:cs="Myanmar Text"/>
        </w:rPr>
        <w:t>လူသားသဘောသဘာဝတို့၏</w:t>
      </w:r>
      <w:r>
        <w:rPr>
          <w:rFonts w:ascii="Times New Roman" w:hAnsi="Times New Roman" w:eastAsia="Times New Roman" w:cs="Times New Roman"/>
        </w:rPr>
        <w:t xml:space="preserve"> </w:t>
      </w:r>
      <w:r>
        <w:rPr>
          <w:rFonts w:ascii="Myanmar Text" w:hAnsi="Myanmar Text" w:eastAsia="Myanmar Text" w:cs="Myanmar Text"/>
        </w:rPr>
        <w:t>ပေါင်းစည်းမှုကို</w:t>
      </w:r>
      <w:r>
        <w:rPr>
          <w:rFonts w:ascii="Times New Roman" w:hAnsi="Times New Roman" w:eastAsia="Times New Roman" w:cs="Times New Roman"/>
        </w:rPr>
        <w:t xml:space="preserve"> </w:t>
      </w:r>
      <w:r>
        <w:rPr>
          <w:rFonts w:ascii="Myanmar Text" w:hAnsi="Myanmar Text" w:eastAsia="Myanmar Text" w:cs="Myanmar Text"/>
        </w:rPr>
        <w:t>ကိုယ်စားပြုကြသည်။</w:t>
      </w:r>
      <w:r>
        <w:rPr>
          <w:rFonts w:ascii="Times New Roman" w:hAnsi="Times New Roman" w:eastAsia="Times New Roman" w:cs="Times New Roman"/>
        </w:rPr>
        <w:t xml:space="preserve"> </w:t>
      </w:r>
      <w:r>
        <w:rPr>
          <w:rFonts w:ascii="Myanmar Text" w:hAnsi="Myanmar Text" w:eastAsia="Myanmar Text" w:cs="Myanmar Text"/>
        </w:rPr>
        <w:t>ထိုအသင်းတော်သည်</w:t>
      </w:r>
      <w:r>
        <w:rPr>
          <w:rFonts w:ascii="Times New Roman" w:hAnsi="Times New Roman" w:eastAsia="Times New Roman" w:cs="Times New Roman"/>
        </w:rPr>
        <w:t xml:space="preserve"> </w:t>
      </w:r>
      <w:r>
        <w:rPr>
          <w:rFonts w:ascii="Myanmar Text" w:hAnsi="Myanmar Text" w:eastAsia="Myanmar Text" w:cs="Myanmar Text"/>
        </w:rPr>
        <w:t>ပရောဖက်တစ်ပါး၊</w:t>
      </w:r>
      <w:r>
        <w:rPr>
          <w:rFonts w:ascii="Times New Roman" w:hAnsi="Times New Roman" w:eastAsia="Times New Roman" w:cs="Times New Roman"/>
        </w:rPr>
        <w:t xml:space="preserve"> </w:t>
      </w:r>
      <w:r>
        <w:rPr>
          <w:rFonts w:ascii="Myanmar Text" w:hAnsi="Myanmar Text" w:eastAsia="Myanmar Text" w:cs="Myanmar Text"/>
        </w:rPr>
        <w:t>ယဇ်ပုရောဟိတ်တစ်ပါး၊</w:t>
      </w:r>
      <w:r>
        <w:rPr>
          <w:rFonts w:ascii="Times New Roman" w:hAnsi="Times New Roman" w:eastAsia="Times New Roman" w:cs="Times New Roman"/>
        </w:rPr>
        <w:t xml:space="preserve"> </w:t>
      </w:r>
      <w:r>
        <w:rPr>
          <w:rFonts w:ascii="Myanmar Text" w:hAnsi="Myanmar Text" w:eastAsia="Myanmar Text" w:cs="Myanmar Text"/>
        </w:rPr>
        <w:t>ဘုရင်တစ်ပါးတို့ဖြင့်</w:t>
      </w:r>
      <w:r>
        <w:rPr>
          <w:rFonts w:ascii="Times New Roman" w:hAnsi="Times New Roman" w:eastAsia="Times New Roman" w:cs="Times New Roman"/>
        </w:rPr>
        <w:t xml:space="preserve"> </w:t>
      </w:r>
      <w:r>
        <w:rPr>
          <w:rFonts w:ascii="Myanmar Text" w:hAnsi="Myanmar Text" w:eastAsia="Myanmar Text" w:cs="Myanmar Text"/>
        </w:rPr>
        <w:t>ဖွဲ့စည်းထားသည်။</w:t>
      </w:r>
      <w:r>
        <w:rPr>
          <w:rFonts w:ascii="Times New Roman" w:hAnsi="Times New Roman" w:eastAsia="Times New Roman" w:cs="Times New Roman"/>
        </w:rPr>
        <w:t xml:space="preserve"> </w:t>
      </w:r>
      <w:r>
        <w:rPr>
          <w:rFonts w:ascii="Myanmar Text" w:hAnsi="Myanmar Text" w:eastAsia="Myanmar Text" w:cs="Myanmar Text"/>
        </w:rPr>
        <w:t>ထိုပြောင်းလဲခြင်းကို</w:t>
      </w:r>
      <w:r>
        <w:rPr>
          <w:rFonts w:ascii="Times New Roman" w:hAnsi="Times New Roman" w:eastAsia="Times New Roman" w:cs="Times New Roman"/>
        </w:rPr>
        <w:t xml:space="preserve"> </w:t>
      </w:r>
      <w:r>
        <w:rPr>
          <w:rFonts w:ascii="Myanmar Text" w:hAnsi="Myanmar Text" w:eastAsia="Myanmar Text" w:cs="Myanmar Text"/>
        </w:rPr>
        <w:t>ကာဒေရှ်လည်းဖြစ်သော</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အမှတ်အသားပြုထားသဖြင့်၊</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w:t>
      </w:r>
      <w:r>
        <w:rPr>
          <w:rFonts w:ascii="Myanmar Text" w:hAnsi="Myanmar Text" w:eastAsia="Myanmar Text" w:cs="Myanmar Text"/>
        </w:rPr>
        <w:t>မျိုးရိုးစဉ်အတွင်းရှိ</w:t>
      </w:r>
      <w:r>
        <w:rPr>
          <w:rFonts w:ascii="Times New Roman" w:hAnsi="Times New Roman" w:eastAsia="Times New Roman" w:cs="Times New Roman"/>
        </w:rPr>
        <w:t xml:space="preserve"> </w:t>
      </w:r>
      <w:r>
        <w:rPr>
          <w:rFonts w:ascii="Myanmar Text" w:hAnsi="Myanmar Text" w:eastAsia="Myanmar Text" w:cs="Myanmar Text"/>
        </w:rPr>
        <w:t>ဒါဝိဒ်သည်</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သုံးဆယ်အရွယ်</w:t>
      </w:r>
      <w:r>
        <w:rPr>
          <w:rFonts w:ascii="Times New Roman" w:hAnsi="Times New Roman" w:eastAsia="Times New Roman" w:cs="Times New Roman"/>
        </w:rPr>
        <w:t xml:space="preserve"> </w:t>
      </w:r>
      <w:r>
        <w:rPr>
          <w:rFonts w:ascii="Myanmar Text" w:hAnsi="Myanmar Text" w:eastAsia="Myanmar Text" w:cs="Myanmar Text"/>
        </w:rPr>
        <w:t>ဒါဝိဒ်နှင့်</w:t>
      </w:r>
      <w:r>
        <w:rPr>
          <w:rFonts w:ascii="Times New Roman" w:hAnsi="Times New Roman" w:eastAsia="Times New Roman" w:cs="Times New Roman"/>
        </w:rPr>
        <w:t xml:space="preserve"> </w:t>
      </w:r>
      <w:r>
        <w:rPr>
          <w:rFonts w:ascii="Myanmar Text" w:hAnsi="Myanmar Text" w:eastAsia="Myanmar Text" w:cs="Myanmar Text"/>
        </w:rPr>
        <w:t>ကိုက်ညီသည်။</w:t>
      </w:r>
    </w:p>
    <w:p>
      <w:pPr>
        <w:pStyle w:val="ArticleBody"/>
        <w:jc w:val="left"/>
      </w:pPr>
      <w:r>
        <w:rPr>
          <w:rFonts w:ascii="Times New Roman" w:hAnsi="Times New Roman" w:eastAsia="Times New Roman" w:cs="Times New Roman"/>
        </w:rPr>
        <w:t>تیس برس کی تیاری ابرہام کے عہد کے چار سو تیس برسوں کے ساتھ مطابقت رکھتی ہے، اور نیز ایک کاہن کی عمر اور دانی ایل 12:11 کے 1290 برسوں کے ساتھ بھی۔ اگلے مضمون میں ہم متی کی کتاب کے اندر ان بارہ مسیحائی پیشین گوئیوں میں سے ہر ایک پر غور کریں گے۔ ہم پہلے متی کے اندر تین نبوتی خطوط کی نشان دہی کر رہے ہیں: ابواب ایک سے دس تک، پھر ابواب گیارہ سے بائیس تک، اور پھر تیئیس سے اٹھائیس تک۔</w:t>
      </w:r>
    </w:p>
    <w:p>
      <w:pPr>
        <w:pStyle w:val="ArticleScripture"/>
        <w:jc w:val="left"/>
      </w:pP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失望</w:t>
      </w:r>
      <w:r>
        <w:rPr>
          <w:rFonts w:ascii="MS Gothic" w:hAnsi="MS Gothic" w:eastAsia="MS Gothic" w:cs="MS Gothic"/>
        </w:rPr>
        <w:t>ののち</w:t>
      </w:r>
      <w:r>
        <w:rPr>
          <w:rFonts w:ascii="Microsoft YaHei" w:hAnsi="Microsoft YaHei" w:eastAsia="Microsoft YaHei" w:cs="Microsoft YaHei"/>
        </w:rPr>
        <w:t>、</w:t>
      </w:r>
      <w:r>
        <w:rPr>
          <w:rFonts w:ascii="MS Gothic" w:hAnsi="MS Gothic" w:eastAsia="MS Gothic" w:cs="MS Gothic"/>
        </w:rPr>
        <w:t>しばらくの</w:t>
      </w:r>
      <w:r>
        <w:rPr>
          <w:rFonts w:ascii="Microsoft YaHei" w:hAnsi="Microsoft YaHei" w:eastAsia="Microsoft YaHei" w:cs="Microsoft YaHei"/>
        </w:rPr>
        <w:t>間、私</w:t>
      </w:r>
      <w:r>
        <w:rPr>
          <w:rFonts w:ascii="MS Gothic" w:hAnsi="MS Gothic" w:eastAsia="MS Gothic" w:cs="MS Gothic"/>
        </w:rPr>
        <w:t>は</w:t>
      </w:r>
      <w:r>
        <w:rPr>
          <w:rFonts w:ascii="Microsoft YaHei" w:hAnsi="Microsoft YaHei" w:eastAsia="Microsoft YaHei" w:cs="Microsoft YaHei"/>
        </w:rPr>
        <w:t>再臨信徒</w:t>
      </w:r>
      <w:r>
        <w:rPr>
          <w:rFonts w:ascii="MS Gothic" w:hAnsi="MS Gothic" w:eastAsia="MS Gothic" w:cs="MS Gothic"/>
        </w:rPr>
        <w:t>の</w:t>
      </w:r>
      <w:r>
        <w:rPr>
          <w:rFonts w:ascii="Microsoft YaHei" w:hAnsi="Microsoft YaHei" w:eastAsia="Microsoft YaHei" w:cs="Microsoft YaHei"/>
        </w:rPr>
        <w:t>一団</w:t>
      </w:r>
      <w:r>
        <w:rPr>
          <w:rFonts w:ascii="MS Gothic" w:hAnsi="MS Gothic" w:eastAsia="MS Gothic" w:cs="MS Gothic"/>
        </w:rPr>
        <w:t>と</w:t>
      </w:r>
      <w:r>
        <w:rPr>
          <w:rFonts w:ascii="Microsoft YaHei" w:hAnsi="Microsoft YaHei" w:eastAsia="Microsoft YaHei" w:cs="Microsoft YaHei"/>
        </w:rPr>
        <w:t>同様</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恵</w:t>
      </w:r>
      <w:r>
        <w:rPr>
          <w:rFonts w:ascii="MS Gothic" w:hAnsi="MS Gothic" w:eastAsia="MS Gothic" w:cs="MS Gothic"/>
        </w:rPr>
        <w:t>みの</w:t>
      </w:r>
      <w:r>
        <w:rPr>
          <w:rFonts w:ascii="Microsoft YaHei" w:hAnsi="Microsoft YaHei" w:eastAsia="Microsoft YaHei" w:cs="Microsoft YaHei"/>
        </w:rPr>
        <w:t>扉</w:t>
      </w:r>
      <w:r>
        <w:rPr>
          <w:rFonts w:ascii="MS Gothic" w:hAnsi="MS Gothic" w:eastAsia="MS Gothic" w:cs="MS Gothic"/>
        </w:rPr>
        <w:t>は</w:t>
      </w:r>
      <w:r>
        <w:rPr>
          <w:rFonts w:ascii="Microsoft YaHei" w:hAnsi="Microsoft YaHei" w:eastAsia="Microsoft YaHei" w:cs="Microsoft YaHei"/>
        </w:rPr>
        <w:t>世界</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して</w:t>
      </w:r>
      <w:r>
        <w:rPr>
          <w:rFonts w:ascii="Microsoft YaHei" w:hAnsi="Microsoft YaHei" w:eastAsia="Microsoft YaHei" w:cs="Microsoft YaHei"/>
        </w:rPr>
        <w:t>永久</w:t>
      </w:r>
      <w:r>
        <w:rPr>
          <w:rFonts w:ascii="MS Gothic" w:hAnsi="MS Gothic" w:eastAsia="MS Gothic" w:cs="MS Gothic"/>
        </w:rPr>
        <w:t>に</w:t>
      </w:r>
      <w:r>
        <w:rPr>
          <w:rFonts w:ascii="Microsoft YaHei" w:hAnsi="Microsoft YaHei" w:eastAsia="Microsoft YaHei" w:cs="Microsoft YaHei"/>
        </w:rPr>
        <w:t>閉</w:t>
      </w:r>
      <w:r>
        <w:rPr>
          <w:rFonts w:ascii="MS Gothic" w:hAnsi="MS Gothic" w:eastAsia="MS Gothic" w:cs="MS Gothic"/>
        </w:rPr>
        <w:t>ざされたのだと</w:t>
      </w:r>
      <w:r>
        <w:rPr>
          <w:rFonts w:ascii="Microsoft YaHei" w:hAnsi="Microsoft YaHei" w:eastAsia="Microsoft YaHei" w:cs="Microsoft YaHei"/>
        </w:rPr>
        <w:t>信</w:t>
      </w:r>
      <w:r>
        <w:rPr>
          <w:rFonts w:ascii="MS Gothic" w:hAnsi="MS Gothic" w:eastAsia="MS Gothic" w:cs="MS Gothic"/>
        </w:rPr>
        <w:t>じていました</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立場</w:t>
      </w:r>
      <w:r>
        <w:rPr>
          <w:rFonts w:ascii="MS Gothic" w:hAnsi="MS Gothic" w:eastAsia="MS Gothic" w:cs="MS Gothic"/>
        </w:rPr>
        <w:t>は</w:t>
      </w:r>
      <w:r>
        <w:rPr>
          <w:rFonts w:ascii="Microsoft YaHei" w:hAnsi="Microsoft YaHei" w:eastAsia="Microsoft YaHei" w:cs="Microsoft YaHei"/>
        </w:rPr>
        <w:t>、私</w:t>
      </w:r>
      <w:r>
        <w:rPr>
          <w:rFonts w:ascii="MS Gothic" w:hAnsi="MS Gothic" w:eastAsia="MS Gothic" w:cs="MS Gothic"/>
        </w:rPr>
        <w:t>に</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幻</w:t>
      </w:r>
      <w:r>
        <w:rPr>
          <w:rFonts w:ascii="MS Gothic" w:hAnsi="MS Gothic" w:eastAsia="MS Gothic" w:cs="MS Gothic"/>
        </w:rPr>
        <w:t>が</w:t>
      </w:r>
      <w:r>
        <w:rPr>
          <w:rFonts w:ascii="Microsoft YaHei" w:hAnsi="Microsoft YaHei" w:eastAsia="Microsoft YaHei" w:cs="Microsoft YaHei"/>
        </w:rPr>
        <w:t>与</w:t>
      </w:r>
      <w:r>
        <w:rPr>
          <w:rFonts w:ascii="MS Gothic" w:hAnsi="MS Gothic" w:eastAsia="MS Gothic" w:cs="MS Gothic"/>
        </w:rPr>
        <w:t>えられる</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取</w:t>
      </w:r>
      <w:r>
        <w:rPr>
          <w:rFonts w:ascii="MS Gothic" w:hAnsi="MS Gothic" w:eastAsia="MS Gothic" w:cs="MS Gothic"/>
        </w:rPr>
        <w:t>られたものでした</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たちの</w:t>
      </w:r>
      <w:r>
        <w:rPr>
          <w:rFonts w:ascii="Microsoft YaHei" w:hAnsi="Microsoft YaHei" w:eastAsia="Microsoft YaHei" w:cs="Microsoft YaHei"/>
        </w:rPr>
        <w:t>誤</w:t>
      </w:r>
      <w:r>
        <w:rPr>
          <w:rFonts w:ascii="MS Gothic" w:hAnsi="MS Gothic" w:eastAsia="MS Gothic" w:cs="MS Gothic"/>
        </w:rPr>
        <w:t>りを</w:t>
      </w:r>
      <w:r>
        <w:rPr>
          <w:rFonts w:ascii="Microsoft YaHei" w:hAnsi="Microsoft YaHei" w:eastAsia="Microsoft YaHei" w:cs="Microsoft YaHei"/>
        </w:rPr>
        <w:t>正</w:t>
      </w:r>
      <w:r>
        <w:rPr>
          <w:rFonts w:ascii="MS Gothic" w:hAnsi="MS Gothic" w:eastAsia="MS Gothic" w:cs="MS Gothic"/>
        </w:rPr>
        <w:t>し</w:t>
      </w:r>
      <w:r>
        <w:rPr>
          <w:rFonts w:ascii="Microsoft YaHei" w:hAnsi="Microsoft YaHei" w:eastAsia="Microsoft YaHei" w:cs="Microsoft YaHei"/>
        </w:rPr>
        <w:t>、真</w:t>
      </w:r>
      <w:r>
        <w:rPr>
          <w:rFonts w:ascii="MS Gothic" w:hAnsi="MS Gothic" w:eastAsia="MS Gothic" w:cs="MS Gothic"/>
        </w:rPr>
        <w:t>の</w:t>
      </w:r>
      <w:r>
        <w:rPr>
          <w:rFonts w:ascii="Microsoft YaHei" w:hAnsi="Microsoft YaHei" w:eastAsia="Microsoft YaHei" w:cs="Microsoft YaHei"/>
        </w:rPr>
        <w:t>立場</w:t>
      </w:r>
      <w:r>
        <w:rPr>
          <w:rFonts w:ascii="MS Gothic" w:hAnsi="MS Gothic" w:eastAsia="MS Gothic" w:cs="MS Gothic"/>
        </w:rPr>
        <w:t>を</w:t>
      </w:r>
      <w:r>
        <w:rPr>
          <w:rFonts w:ascii="Microsoft YaHei" w:hAnsi="Microsoft YaHei" w:eastAsia="Microsoft YaHei" w:cs="Microsoft YaHei"/>
        </w:rPr>
        <w:t>理解</w:t>
      </w:r>
      <w:r>
        <w:rPr>
          <w:rFonts w:ascii="MS Gothic" w:hAnsi="MS Gothic" w:eastAsia="MS Gothic" w:cs="MS Gothic"/>
        </w:rPr>
        <w:t>させてくださったのは</w:t>
      </w:r>
      <w:r>
        <w:rPr>
          <w:rFonts w:ascii="Microsoft YaHei" w:hAnsi="Microsoft YaHei" w:eastAsia="Microsoft YaHei" w:cs="Microsoft YaHei"/>
        </w:rPr>
        <w:t>、神</w:t>
      </w:r>
      <w:r>
        <w:rPr>
          <w:rFonts w:ascii="MS Gothic" w:hAnsi="MS Gothic" w:eastAsia="MS Gothic" w:cs="MS Gothic"/>
        </w:rPr>
        <w:t>から</w:t>
      </w:r>
      <w:r>
        <w:rPr>
          <w:rFonts w:ascii="Microsoft YaHei" w:hAnsi="Microsoft YaHei" w:eastAsia="Microsoft YaHei" w:cs="Microsoft YaHei"/>
        </w:rPr>
        <w:t>私</w:t>
      </w:r>
      <w:r>
        <w:rPr>
          <w:rFonts w:ascii="MS Gothic" w:hAnsi="MS Gothic" w:eastAsia="MS Gothic" w:cs="MS Gothic"/>
        </w:rPr>
        <w:t>に</w:t>
      </w:r>
      <w:r>
        <w:rPr>
          <w:rFonts w:ascii="Microsoft YaHei" w:hAnsi="Microsoft YaHei" w:eastAsia="Microsoft YaHei" w:cs="Microsoft YaHei"/>
        </w:rPr>
        <w:t>与</w:t>
      </w:r>
      <w:r>
        <w:rPr>
          <w:rFonts w:ascii="MS Gothic" w:hAnsi="MS Gothic" w:eastAsia="MS Gothic" w:cs="MS Gothic"/>
        </w:rPr>
        <w:t>えられた</w:t>
      </w:r>
      <w:r>
        <w:rPr>
          <w:rFonts w:ascii="Microsoft YaHei" w:hAnsi="Microsoft YaHei" w:eastAsia="Microsoft YaHei" w:cs="Microsoft YaHei"/>
        </w:rPr>
        <w:t>光</w:t>
      </w:r>
      <w:r>
        <w:rPr>
          <w:rFonts w:ascii="MS Gothic" w:hAnsi="MS Gothic" w:eastAsia="MS Gothic" w:cs="MS Gothic"/>
        </w:rPr>
        <w:t>でした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“Ninabaki bado ni muumini wa nadharia ya mlango uliofungwa, lakini si katika maana ambayo sisi hapo mwanzo tulitumia istilahi hiyo, wala katika maana ambayo wapinzani wangu wanautumia.”</w:t>
      </w:r>
    </w:p>
    <w:p>
      <w:pPr>
        <w:pStyle w:val="ArticleScripture"/>
        <w:jc w:val="left"/>
      </w:pPr>
      <w:r>
        <w:rPr>
          <w:rFonts w:ascii="Times New Roman" w:hAnsi="Times New Roman" w:eastAsia="Times New Roman" w:cs="Times New Roman"/>
        </w:rPr>
        <w:t>„</w:t>
      </w:r>
      <w:r>
        <w:rPr>
          <w:rFonts w:ascii="Nirmala UI" w:hAnsi="Nirmala UI" w:eastAsia="Nirmala UI" w:cs="Nirmala UI"/>
        </w:rPr>
        <w:t>नोहाच्या</w:t>
      </w:r>
      <w:r>
        <w:rPr>
          <w:rFonts w:ascii="Times New Roman" w:hAnsi="Times New Roman" w:eastAsia="Times New Roman" w:cs="Times New Roman"/>
        </w:rPr>
        <w:t xml:space="preserve"> </w:t>
      </w:r>
      <w:r>
        <w:rPr>
          <w:rFonts w:ascii="Nirmala UI" w:hAnsi="Nirmala UI" w:eastAsia="Nirmala UI" w:cs="Nirmala UI"/>
        </w:rPr>
        <w:t>दिवसांत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दरवाजा</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प्रलयाच्या</w:t>
      </w:r>
      <w:r>
        <w:rPr>
          <w:rFonts w:ascii="Times New Roman" w:hAnsi="Times New Roman" w:eastAsia="Times New Roman" w:cs="Times New Roman"/>
        </w:rPr>
        <w:t xml:space="preserve"> </w:t>
      </w:r>
      <w:r>
        <w:rPr>
          <w:rFonts w:ascii="Nirmala UI" w:hAnsi="Nirmala UI" w:eastAsia="Nirmala UI" w:cs="Nirmala UI"/>
        </w:rPr>
        <w:t>पाण्यात</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झालेल्या</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वंशापासून</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आत्म्याची</w:t>
      </w:r>
      <w:r>
        <w:rPr>
          <w:rFonts w:ascii="Times New Roman" w:hAnsi="Times New Roman" w:eastAsia="Times New Roman" w:cs="Times New Roman"/>
        </w:rPr>
        <w:t xml:space="preserve"> </w:t>
      </w:r>
      <w:r>
        <w:rPr>
          <w:rFonts w:ascii="Nirmala UI" w:hAnsi="Nirmala UI" w:eastAsia="Nirmala UI" w:cs="Nirmala UI"/>
        </w:rPr>
        <w:t>माघार</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देवाने</w:t>
      </w:r>
      <w:r>
        <w:rPr>
          <w:rFonts w:ascii="Times New Roman" w:hAnsi="Times New Roman" w:eastAsia="Times New Roman" w:cs="Times New Roman"/>
        </w:rPr>
        <w:t xml:space="preserve"> </w:t>
      </w:r>
      <w:r>
        <w:rPr>
          <w:rFonts w:ascii="Nirmala UI" w:hAnsi="Nirmala UI" w:eastAsia="Nirmala UI" w:cs="Nirmala UI"/>
        </w:rPr>
        <w:t>स्वतः</w:t>
      </w:r>
      <w:r>
        <w:rPr>
          <w:rFonts w:ascii="Times New Roman" w:hAnsi="Times New Roman" w:eastAsia="Times New Roman" w:cs="Times New Roman"/>
        </w:rPr>
        <w:t xml:space="preserve"> </w:t>
      </w:r>
      <w:r>
        <w:rPr>
          <w:rFonts w:ascii="Nirmala UI" w:hAnsi="Nirmala UI" w:eastAsia="Nirmala UI" w:cs="Nirmala UI"/>
        </w:rPr>
        <w:t>नोहाला</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w:t>
      </w:r>
      <w:r>
        <w:rPr>
          <w:rFonts w:ascii="Nirmala UI" w:hAnsi="Nirmala UI" w:eastAsia="Nirmala UI" w:cs="Nirmala UI"/>
        </w:rPr>
        <w:t>दरवाज्याचा</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मनुष्याशी</w:t>
      </w:r>
      <w:r>
        <w:rPr>
          <w:rFonts w:ascii="Times New Roman" w:hAnsi="Times New Roman" w:eastAsia="Times New Roman" w:cs="Times New Roman"/>
        </w:rPr>
        <w:t xml:space="preserve"> </w:t>
      </w:r>
      <w:r>
        <w:rPr>
          <w:rFonts w:ascii="Nirmala UI" w:hAnsi="Nirmala UI" w:eastAsia="Nirmala UI" w:cs="Nirmala UI"/>
        </w:rPr>
        <w:t>सदासर्वकाळ</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राहणार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तोही</w:t>
      </w:r>
      <w:r>
        <w:rPr>
          <w:rFonts w:ascii="Times New Roman" w:hAnsi="Times New Roman" w:eastAsia="Times New Roman" w:cs="Times New Roman"/>
        </w:rPr>
        <w:t xml:space="preserve"> </w:t>
      </w:r>
      <w:r>
        <w:rPr>
          <w:rFonts w:ascii="Nirmala UI" w:hAnsi="Nirmala UI" w:eastAsia="Nirmala UI" w:cs="Nirmala UI"/>
        </w:rPr>
        <w:t>देहस्वरूप</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दिवस</w:t>
      </w:r>
      <w:r>
        <w:rPr>
          <w:rFonts w:ascii="Times New Roman" w:hAnsi="Times New Roman" w:eastAsia="Times New Roman" w:cs="Times New Roman"/>
        </w:rPr>
        <w:t xml:space="preserve"> </w:t>
      </w:r>
      <w:r>
        <w:rPr>
          <w:rFonts w:ascii="Nirmala UI" w:hAnsi="Nirmala UI" w:eastAsia="Nirmala UI" w:cs="Nirmala UI"/>
        </w:rPr>
        <w:t>एकशे</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वर्षांचे</w:t>
      </w:r>
      <w:r>
        <w:rPr>
          <w:rFonts w:ascii="Times New Roman" w:hAnsi="Times New Roman" w:eastAsia="Times New Roman" w:cs="Times New Roman"/>
        </w:rPr>
        <w:t xml:space="preserve"> </w:t>
      </w:r>
      <w:r>
        <w:rPr>
          <w:rFonts w:ascii="Nirmala UI" w:hAnsi="Nirmala UI" w:eastAsia="Nirmala UI" w:cs="Nirmala UI"/>
        </w:rPr>
        <w:t>असतील</w:t>
      </w:r>
      <w:r>
        <w:rPr>
          <w:rFonts w:ascii="Times New Roman" w:hAnsi="Times New Roman" w:eastAsia="Times New Roman" w:cs="Times New Roman"/>
        </w:rPr>
        <w:t>’ (</w:t>
      </w:r>
      <w:r>
        <w:rPr>
          <w:rFonts w:ascii="Nirmala UI" w:hAnsi="Nirmala UI" w:eastAsia="Nirmala UI" w:cs="Nirmala UI"/>
        </w:rPr>
        <w:t>उत्पत्ति</w:t>
      </w:r>
      <w:r>
        <w:rPr>
          <w:rFonts w:ascii="Times New Roman" w:hAnsi="Times New Roman" w:eastAsia="Times New Roman" w:cs="Times New Roman"/>
        </w:rPr>
        <w:t xml:space="preserve"> 6:3).“</w:t>
      </w:r>
    </w:p>
    <w:p>
      <w:pPr>
        <w:pStyle w:val="ArticleScripture"/>
        <w:jc w:val="left"/>
      </w:pPr>
      <w:r>
        <w:rPr>
          <w:rFonts w:ascii="Times New Roman" w:hAnsi="Times New Roman" w:eastAsia="Times New Roman" w:cs="Times New Roman"/>
        </w:rPr>
        <w:t>“Trong những ngày của Áp-ra-ham, đã có một cánh cửa đóng lại. Lòng thương xót không còn nài xin cùng các cư dân thành Sô-đôm nữa, và hết thảy, ngoại trừ Lót, vợ ông và hai con gái ông, đều bị thiêu diệt bởi lửa từ trời giáng xuống.</w:t>
      </w:r>
    </w:p>
    <w:p>
      <w:pPr>
        <w:pStyle w:val="ArticleScripture"/>
        <w:jc w:val="left"/>
      </w:pPr>
      <w:r>
        <w:rPr>
          <w:rFonts w:ascii="Times New Roman" w:hAnsi="Times New Roman" w:eastAsia="Times New Roman" w:cs="Times New Roman"/>
        </w:rPr>
        <w:t>“Krista dögum var ein dyr stongd. Sonur Guds segði við vantrúgvu jødarnar í tí ættarliðnum: ‘Hús tykkara verður latið tykkum eftir oyði’ (Matteus 23:38).”</w:t>
      </w:r>
    </w:p>
    <w:p>
      <w:pPr>
        <w:pStyle w:val="ArticleScripture"/>
        <w:jc w:val="left"/>
      </w:pPr>
      <w:r>
        <w:rPr>
          <w:rFonts w:ascii="Times New Roman" w:hAnsi="Times New Roman" w:eastAsia="Times New Roman" w:cs="Times New Roman"/>
        </w:rPr>
        <w:t>“En regardant le cours du temps jusqu’aux derniers jours, la même puissance infinie proclama par Jean : ‘Voici ce que dit le Saint, le Véritable, celui qui a la clef de David, celui qui ouvre, et personne ne fermera ; qui ferme, et personne n’ouvrira’ (Apocalypse 3:7).”</w:t>
      </w:r>
    </w:p>
    <w:p>
      <w:pPr>
        <w:pStyle w:val="ArticleScripture"/>
        <w:jc w:val="left"/>
      </w:pPr>
      <w:r>
        <w:rPr>
          <w:rFonts w:ascii="Times New Roman" w:hAnsi="Times New Roman" w:eastAsia="Times New Roman" w:cs="Times New Roman"/>
        </w:rPr>
        <w:t>“Tôi đã được cho thấy trong khải tượng, và tôi vẫn tin, rằng đã có một cánh cửa đóng lại vào năm 1844. Tất cả những ai đã thấy ánh sáng của sứ điệp thiên sứ thứ nhất và thứ hai mà khước từ ánh sáng ấy, thì bị bỏ lại trong sự tối tăm. Còn những người đã chấp nhận ánh sáng ấy và nhận lãnh Đức Thánh Linh, Đấng đã đồng hành với việc rao truyền sứ điệp từ trời, nhưng về sau lại từ bỏ đức tin mình và tuyên bố rằng kinh nghiệm của mình chỉ là một sự mê lầm, thì bởi đó đã khước từ Thánh Linh của Đức Chúa Trời, và Ngài không còn khẩn nài họ nữa.</w:t>
      </w:r>
    </w:p>
    <w:p>
      <w:pPr>
        <w:pStyle w:val="ArticleScripture"/>
        <w:jc w:val="left"/>
      </w:pPr>
      <w:r>
        <w:rPr>
          <w:rFonts w:ascii="Microsoft YaHei" w:hAnsi="Microsoft YaHei" w:eastAsia="Microsoft YaHei" w:cs="Microsoft YaHei"/>
        </w:rPr>
        <w:t>「那些未曾看见亮光的人</w:t>
      </w:r>
      <w:r>
        <w:rPr>
          <w:rFonts w:ascii="Times New Roman" w:hAnsi="Times New Roman" w:eastAsia="Times New Roman" w:cs="Times New Roman"/>
        </w:rPr>
        <w:t>,</w:t>
      </w:r>
      <w:r>
        <w:rPr>
          <w:rFonts w:ascii="Microsoft YaHei" w:hAnsi="Microsoft YaHei" w:eastAsia="Microsoft YaHei" w:cs="Microsoft YaHei"/>
        </w:rPr>
        <w:t>并没有拒绝那亮光的罪责</w:t>
      </w:r>
      <w:r>
        <w:rPr>
          <w:rFonts w:ascii="Times New Roman" w:hAnsi="Times New Roman" w:eastAsia="Times New Roman" w:cs="Times New Roman"/>
        </w:rPr>
        <w:t>.</w:t>
      </w:r>
      <w:r>
        <w:rPr>
          <w:rFonts w:ascii="Microsoft YaHei" w:hAnsi="Microsoft YaHei" w:eastAsia="Microsoft YaHei" w:cs="Microsoft YaHei"/>
        </w:rPr>
        <w:t>惟有那一等藐视从天而来之亮光的人</w:t>
      </w:r>
      <w:r>
        <w:rPr>
          <w:rFonts w:ascii="Times New Roman" w:hAnsi="Times New Roman" w:eastAsia="Times New Roman" w:cs="Times New Roman"/>
        </w:rPr>
        <w:t>,</w:t>
      </w:r>
      <w:r>
        <w:rPr>
          <w:rFonts w:ascii="Microsoft YaHei" w:hAnsi="Microsoft YaHei" w:eastAsia="Microsoft YaHei" w:cs="Microsoft YaHei"/>
        </w:rPr>
        <w:t>是上帝的灵所不能达到的</w:t>
      </w:r>
      <w:r>
        <w:rPr>
          <w:rFonts w:ascii="Times New Roman" w:hAnsi="Times New Roman" w:eastAsia="Times New Roman" w:cs="Times New Roman"/>
        </w:rPr>
        <w:t>.</w:t>
      </w:r>
      <w:r>
        <w:rPr>
          <w:rFonts w:ascii="Microsoft YaHei" w:hAnsi="Microsoft YaHei" w:eastAsia="Microsoft YaHei" w:cs="Microsoft YaHei"/>
        </w:rPr>
        <w:t>而这一等人</w:t>
      </w:r>
      <w:r>
        <w:rPr>
          <w:rFonts w:ascii="Times New Roman" w:hAnsi="Times New Roman" w:eastAsia="Times New Roman" w:cs="Times New Roman"/>
        </w:rPr>
        <w:t>,</w:t>
      </w:r>
      <w:r>
        <w:rPr>
          <w:rFonts w:ascii="Microsoft YaHei" w:hAnsi="Microsoft YaHei" w:eastAsia="Microsoft YaHei" w:cs="Microsoft YaHei"/>
        </w:rPr>
        <w:t>正如我所说</w:t>
      </w:r>
      <w:r>
        <w:rPr>
          <w:rFonts w:ascii="Times New Roman" w:hAnsi="Times New Roman" w:eastAsia="Times New Roman" w:cs="Times New Roman"/>
        </w:rPr>
        <w:t>,</w:t>
      </w:r>
      <w:r>
        <w:rPr>
          <w:rFonts w:ascii="Microsoft YaHei" w:hAnsi="Microsoft YaHei" w:eastAsia="Microsoft YaHei" w:cs="Microsoft YaHei"/>
        </w:rPr>
        <w:t>包括两类：一类是在信息传给他们时拒绝接受的人</w:t>
      </w:r>
      <w:r>
        <w:rPr>
          <w:rFonts w:ascii="Times New Roman" w:hAnsi="Times New Roman" w:eastAsia="Times New Roman" w:cs="Times New Roman"/>
        </w:rPr>
        <w:t>;</w:t>
      </w:r>
      <w:r>
        <w:rPr>
          <w:rFonts w:ascii="Microsoft YaHei" w:hAnsi="Microsoft YaHei" w:eastAsia="Microsoft YaHei" w:cs="Microsoft YaHei"/>
        </w:rPr>
        <w:t>另一类是已经接受了信息</w:t>
      </w:r>
      <w:r>
        <w:rPr>
          <w:rFonts w:ascii="Times New Roman" w:hAnsi="Times New Roman" w:eastAsia="Times New Roman" w:cs="Times New Roman"/>
        </w:rPr>
        <w:t>,</w:t>
      </w:r>
      <w:r>
        <w:rPr>
          <w:rFonts w:ascii="Microsoft YaHei" w:hAnsi="Microsoft YaHei" w:eastAsia="Microsoft YaHei" w:cs="Microsoft YaHei"/>
        </w:rPr>
        <w:t>后来却又背弃其信仰的人</w:t>
      </w:r>
      <w:r>
        <w:rPr>
          <w:rFonts w:ascii="Times New Roman" w:hAnsi="Times New Roman" w:eastAsia="Times New Roman" w:cs="Times New Roman"/>
        </w:rPr>
        <w:t>.</w:t>
      </w:r>
      <w:r>
        <w:rPr>
          <w:rFonts w:ascii="Microsoft YaHei" w:hAnsi="Microsoft YaHei" w:eastAsia="Microsoft YaHei" w:cs="Microsoft YaHei"/>
        </w:rPr>
        <w:t>这些人也许有敬虔的外貌</w:t>
      </w:r>
      <w:r>
        <w:rPr>
          <w:rFonts w:ascii="Times New Roman" w:hAnsi="Times New Roman" w:eastAsia="Times New Roman" w:cs="Times New Roman"/>
        </w:rPr>
        <w:t>,</w:t>
      </w:r>
      <w:r>
        <w:rPr>
          <w:rFonts w:ascii="Microsoft YaHei" w:hAnsi="Microsoft YaHei" w:eastAsia="Microsoft YaHei" w:cs="Microsoft YaHei"/>
        </w:rPr>
        <w:t>自称为基督的跟从者</w:t>
      </w:r>
      <w:r>
        <w:rPr>
          <w:rFonts w:ascii="Times New Roman" w:hAnsi="Times New Roman" w:eastAsia="Times New Roman" w:cs="Times New Roman"/>
        </w:rPr>
        <w:t>;</w:t>
      </w:r>
      <w:r>
        <w:rPr>
          <w:rFonts w:ascii="Microsoft YaHei" w:hAnsi="Microsoft YaHei" w:eastAsia="Microsoft YaHei" w:cs="Microsoft YaHei"/>
        </w:rPr>
        <w:t>但因与上帝没有活泼的联络</w:t>
      </w:r>
      <w:r>
        <w:rPr>
          <w:rFonts w:ascii="Times New Roman" w:hAnsi="Times New Roman" w:eastAsia="Times New Roman" w:cs="Times New Roman"/>
        </w:rPr>
        <w:t>,</w:t>
      </w:r>
      <w:r>
        <w:rPr>
          <w:rFonts w:ascii="Microsoft YaHei" w:hAnsi="Microsoft YaHei" w:eastAsia="Microsoft YaHei" w:cs="Microsoft YaHei"/>
        </w:rPr>
        <w:t>便必被撒但的迷惑掳去</w:t>
      </w:r>
      <w:r>
        <w:rPr>
          <w:rFonts w:ascii="Times New Roman" w:hAnsi="Times New Roman" w:eastAsia="Times New Roman" w:cs="Times New Roman"/>
        </w:rPr>
        <w:t>.</w:t>
      </w:r>
      <w:r>
        <w:rPr>
          <w:rFonts w:ascii="Microsoft YaHei" w:hAnsi="Microsoft YaHei" w:eastAsia="Microsoft YaHei" w:cs="Microsoft YaHei"/>
        </w:rPr>
        <w:t>异象中所显明的</w:t>
      </w:r>
      <w:r>
        <w:rPr>
          <w:rFonts w:ascii="Times New Roman" w:hAnsi="Times New Roman" w:eastAsia="Times New Roman" w:cs="Times New Roman"/>
        </w:rPr>
        <w:t>,</w:t>
      </w:r>
      <w:r>
        <w:rPr>
          <w:rFonts w:ascii="Microsoft YaHei" w:hAnsi="Microsoft YaHei" w:eastAsia="Microsoft YaHei" w:cs="Microsoft YaHei"/>
        </w:rPr>
        <w:t>正是这两等人</w:t>
      </w:r>
      <w:r>
        <w:rPr>
          <w:rFonts w:ascii="Times New Roman" w:hAnsi="Times New Roman" w:eastAsia="Times New Roman" w:cs="Times New Roman"/>
        </w:rPr>
        <w:t>——</w:t>
      </w:r>
      <w:r>
        <w:rPr>
          <w:rFonts w:ascii="Microsoft YaHei" w:hAnsi="Microsoft YaHei" w:eastAsia="Microsoft YaHei" w:cs="Microsoft YaHei"/>
        </w:rPr>
        <w:t>那些宣称自己所曾跟随的亮光乃是迷惑的人</w:t>
      </w:r>
      <w:r>
        <w:rPr>
          <w:rFonts w:ascii="Times New Roman" w:hAnsi="Times New Roman" w:eastAsia="Times New Roman" w:cs="Times New Roman"/>
        </w:rPr>
        <w:t>,</w:t>
      </w:r>
      <w:r>
        <w:rPr>
          <w:rFonts w:ascii="Microsoft YaHei" w:hAnsi="Microsoft YaHei" w:eastAsia="Microsoft YaHei" w:cs="Microsoft YaHei"/>
        </w:rPr>
        <w:t>以及世上的恶人</w:t>
      </w:r>
      <w:r>
        <w:rPr>
          <w:rFonts w:ascii="Times New Roman" w:hAnsi="Times New Roman" w:eastAsia="Times New Roman" w:cs="Times New Roman"/>
        </w:rPr>
        <w:t>;</w:t>
      </w:r>
      <w:r>
        <w:rPr>
          <w:rFonts w:ascii="Microsoft YaHei" w:hAnsi="Microsoft YaHei" w:eastAsia="Microsoft YaHei" w:cs="Microsoft YaHei"/>
        </w:rPr>
        <w:t>他们既拒绝了亮光</w:t>
      </w:r>
      <w:r>
        <w:rPr>
          <w:rFonts w:ascii="Times New Roman" w:hAnsi="Times New Roman" w:eastAsia="Times New Roman" w:cs="Times New Roman"/>
        </w:rPr>
        <w:t>,</w:t>
      </w:r>
      <w:r>
        <w:rPr>
          <w:rFonts w:ascii="Microsoft YaHei" w:hAnsi="Microsoft YaHei" w:eastAsia="Microsoft YaHei" w:cs="Microsoft YaHei"/>
        </w:rPr>
        <w:t>也就被上帝所弃绝</w:t>
      </w:r>
      <w:r>
        <w:rPr>
          <w:rFonts w:ascii="Times New Roman" w:hAnsi="Times New Roman" w:eastAsia="Times New Roman" w:cs="Times New Roman"/>
        </w:rPr>
        <w:t>.</w:t>
      </w:r>
      <w:r>
        <w:rPr>
          <w:rFonts w:ascii="Microsoft YaHei" w:hAnsi="Microsoft YaHei" w:eastAsia="Microsoft YaHei" w:cs="Microsoft YaHei"/>
        </w:rPr>
        <w:t>这里并未提到那些未曾见过亮光</w:t>
      </w:r>
      <w:r>
        <w:rPr>
          <w:rFonts w:ascii="Times New Roman" w:hAnsi="Times New Roman" w:eastAsia="Times New Roman" w:cs="Times New Roman"/>
        </w:rPr>
        <w:t>,</w:t>
      </w:r>
      <w:r>
        <w:rPr>
          <w:rFonts w:ascii="Microsoft YaHei" w:hAnsi="Microsoft YaHei" w:eastAsia="Microsoft YaHei" w:cs="Microsoft YaHei"/>
        </w:rPr>
        <w:t>因此不负拒绝亮光之罪的人</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信息选粹</w:t>
      </w:r>
      <w:r>
        <w:rPr>
          <w:rFonts w:ascii="Times New Roman" w:hAnsi="Times New Roman" w:eastAsia="Times New Roman" w:cs="Times New Roman"/>
        </w:rPr>
        <w:t>»</w:t>
      </w:r>
      <w:r>
        <w:rPr>
          <w:rFonts w:ascii="Microsoft YaHei" w:hAnsi="Microsoft YaHei" w:eastAsia="Microsoft YaHei" w:cs="Microsoft YaHei"/>
        </w:rPr>
        <w:t>卷一</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62</w:t>
      </w:r>
      <w:r>
        <w:rPr>
          <w:rFonts w:ascii="Microsoft YaHei" w:hAnsi="Microsoft YaHei" w:eastAsia="Microsoft YaHei" w:cs="Microsoft YaHei"/>
        </w:rPr>
        <w:t>、</w:t>
      </w:r>
      <w:r>
        <w:rPr>
          <w:rFonts w:ascii="Times New Roman" w:hAnsi="Times New Roman" w:eastAsia="Times New Roman" w:cs="Times New Roman"/>
        </w:rPr>
        <w:t>63</w:t>
      </w:r>
      <w:r>
        <w:rPr>
          <w:rFonts w:ascii="Microsoft YaHei" w:hAnsi="Microsoft YaHei" w:eastAsia="Microsoft YaHei" w:cs="Microsoft YaHei"/>
        </w:rPr>
        <w:t>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บรรดาผู้ที่ติดตามพระเยซูด้วยความเชื่อในพระราชกิจอันยิ่งใหญ่แห่งการลบล้างบาปเท่านั้น</w:t>
      </w:r>
      <w:r>
        <w:rPr>
          <w:rFonts w:ascii="Times New Roman" w:hAnsi="Times New Roman" w:eastAsia="Times New Roman" w:cs="Times New Roman"/>
        </w:rPr>
        <w:t xml:space="preserve"> </w:t>
      </w:r>
      <w:r>
        <w:rPr>
          <w:rFonts w:ascii="Leelawadee UI" w:hAnsi="Leelawadee UI" w:eastAsia="Leelawadee UI" w:cs="Leelawadee UI"/>
        </w:rPr>
        <w:t>ที่ได้รับประโยชน์จากการทรงเป็นคนกลางแทนพวกเขา</w:t>
      </w:r>
      <w:r>
        <w:rPr>
          <w:rFonts w:ascii="Times New Roman" w:hAnsi="Times New Roman" w:eastAsia="Times New Roman" w:cs="Times New Roman"/>
        </w:rPr>
        <w:t xml:space="preserve"> </w:t>
      </w:r>
      <w:r>
        <w:rPr>
          <w:rFonts w:ascii="Leelawadee UI" w:hAnsi="Leelawadee UI" w:eastAsia="Leelawadee UI" w:cs="Leelawadee UI"/>
        </w:rPr>
        <w:t>ส่วนผู้ที่ปฏิเสธความสว่างซึ่งทำให้งานแห่งการปฏิบัติพันธกิจนี้ปรากฏชัด</w:t>
      </w:r>
      <w:r>
        <w:rPr>
          <w:rFonts w:ascii="Times New Roman" w:hAnsi="Times New Roman" w:eastAsia="Times New Roman" w:cs="Times New Roman"/>
        </w:rPr>
        <w:t xml:space="preserve"> </w:t>
      </w:r>
      <w:r>
        <w:rPr>
          <w:rFonts w:ascii="Leelawadee UI" w:hAnsi="Leelawadee UI" w:eastAsia="Leelawadee UI" w:cs="Leelawadee UI"/>
        </w:rPr>
        <w:t>ก็ย่อมไม่ได้รับประโยชน์จากสิ่งนั้นเลย</w:t>
      </w:r>
      <w:r>
        <w:rPr>
          <w:rFonts w:ascii="Times New Roman" w:hAnsi="Times New Roman" w:eastAsia="Times New Roman" w:cs="Times New Roman"/>
        </w:rPr>
        <w:t xml:space="preserve"> </w:t>
      </w:r>
      <w:r>
        <w:rPr>
          <w:rFonts w:ascii="Leelawadee UI" w:hAnsi="Leelawadee UI" w:eastAsia="Leelawadee UI" w:cs="Leelawadee UI"/>
        </w:rPr>
        <w:t>ชาวยิวที่ปฏิเสธความสว่างซึ่งประทานให้ในการเสด็จมาครั้งแรกของพระคริสต์</w:t>
      </w:r>
      <w:r>
        <w:rPr>
          <w:rFonts w:ascii="Times New Roman" w:hAnsi="Times New Roman" w:eastAsia="Times New Roman" w:cs="Times New Roman"/>
        </w:rPr>
        <w:t xml:space="preserve"> </w:t>
      </w:r>
      <w:r>
        <w:rPr>
          <w:rFonts w:ascii="Leelawadee UI" w:hAnsi="Leelawadee UI" w:eastAsia="Leelawadee UI" w:cs="Leelawadee UI"/>
        </w:rPr>
        <w:t>และไม่ยอมเชื่อในพระองค์ว่าเป็นพระผู้ช่วยให้รอดของโลก</w:t>
      </w:r>
      <w:r>
        <w:rPr>
          <w:rFonts w:ascii="Times New Roman" w:hAnsi="Times New Roman" w:eastAsia="Times New Roman" w:cs="Times New Roman"/>
        </w:rPr>
        <w:t xml:space="preserve"> </w:t>
      </w:r>
      <w:r>
        <w:rPr>
          <w:rFonts w:ascii="Leelawadee UI" w:hAnsi="Leelawadee UI" w:eastAsia="Leelawadee UI" w:cs="Leelawadee UI"/>
        </w:rPr>
        <w:t>ย่อมไม่อาจได้รับการอภัยผ่านทางพระองค์ได้</w:t>
      </w:r>
      <w:r>
        <w:rPr>
          <w:rFonts w:ascii="Times New Roman" w:hAnsi="Times New Roman" w:eastAsia="Times New Roman" w:cs="Times New Roman"/>
        </w:rPr>
        <w:t xml:space="preserve"> </w:t>
      </w:r>
      <w:r>
        <w:rPr>
          <w:rFonts w:ascii="Leelawadee UI" w:hAnsi="Leelawadee UI" w:eastAsia="Leelawadee UI" w:cs="Leelawadee UI"/>
        </w:rPr>
        <w:t>เมื่อพระเยซูในการเสด็จขึ้นสู่สวรรค์ของพระองค์</w:t>
      </w:r>
      <w:r>
        <w:rPr>
          <w:rFonts w:ascii="Times New Roman" w:hAnsi="Times New Roman" w:eastAsia="Times New Roman" w:cs="Times New Roman"/>
        </w:rPr>
        <w:t xml:space="preserve"> </w:t>
      </w:r>
      <w:r>
        <w:rPr>
          <w:rFonts w:ascii="Leelawadee UI" w:hAnsi="Leelawadee UI" w:eastAsia="Leelawadee UI" w:cs="Leelawadee UI"/>
        </w:rPr>
        <w:t>ได้ทรงเข้าสู่สถานนมัสการฝ่ายสวรรค์ด้วยพระโลหิตของพระองค์เอง</w:t>
      </w:r>
      <w:r>
        <w:rPr>
          <w:rFonts w:ascii="Times New Roman" w:hAnsi="Times New Roman" w:eastAsia="Times New Roman" w:cs="Times New Roman"/>
        </w:rPr>
        <w:t xml:space="preserve"> </w:t>
      </w:r>
      <w:r>
        <w:rPr>
          <w:rFonts w:ascii="Leelawadee UI" w:hAnsi="Leelawadee UI" w:eastAsia="Leelawadee UI" w:cs="Leelawadee UI"/>
        </w:rPr>
        <w:t>เพื่อหลั่งพระพรแห่งการทรงเป็นคนกลางของพระองค์เหนือเหล่าสาวกของพระองค์นั้น</w:t>
      </w:r>
      <w:r>
        <w:rPr>
          <w:rFonts w:ascii="Times New Roman" w:hAnsi="Times New Roman" w:eastAsia="Times New Roman" w:cs="Times New Roman"/>
        </w:rPr>
        <w:t xml:space="preserve"> </w:t>
      </w:r>
      <w:r>
        <w:rPr>
          <w:rFonts w:ascii="Leelawadee UI" w:hAnsi="Leelawadee UI" w:eastAsia="Leelawadee UI" w:cs="Leelawadee UI"/>
        </w:rPr>
        <w:t>ชาวยิวก็ถูกปล่อยไว้ในความมืดมิดอย่างสิ้นเชิง</w:t>
      </w:r>
      <w:r>
        <w:rPr>
          <w:rFonts w:ascii="Times New Roman" w:hAnsi="Times New Roman" w:eastAsia="Times New Roman" w:cs="Times New Roman"/>
        </w:rPr>
        <w:t xml:space="preserve"> </w:t>
      </w:r>
      <w:r>
        <w:rPr>
          <w:rFonts w:ascii="Leelawadee UI" w:hAnsi="Leelawadee UI" w:eastAsia="Leelawadee UI" w:cs="Leelawadee UI"/>
        </w:rPr>
        <w:t>ให้ดำเนินพิธีบูชาและเครื่องถวายอันไร้ประโยชน์ของตนต่อไป</w:t>
      </w:r>
      <w:r>
        <w:rPr>
          <w:rFonts w:ascii="Times New Roman" w:hAnsi="Times New Roman" w:eastAsia="Times New Roman" w:cs="Times New Roman"/>
        </w:rPr>
        <w:t xml:space="preserve"> </w:t>
      </w:r>
      <w:r>
        <w:rPr>
          <w:rFonts w:ascii="Leelawadee UI" w:hAnsi="Leelawadee UI" w:eastAsia="Leelawadee UI" w:cs="Leelawadee UI"/>
        </w:rPr>
        <w:t>พันธกิจแห่งแบบและเงาได้สิ้นสุดลงแล้ว</w:t>
      </w:r>
      <w:r>
        <w:rPr>
          <w:rFonts w:ascii="Times New Roman" w:hAnsi="Times New Roman" w:eastAsia="Times New Roman" w:cs="Times New Roman"/>
        </w:rPr>
        <w:t xml:space="preserve"> </w:t>
      </w:r>
      <w:r>
        <w:rPr>
          <w:rFonts w:ascii="Leelawadee UI" w:hAnsi="Leelawadee UI" w:eastAsia="Leelawadee UI" w:cs="Leelawadee UI"/>
        </w:rPr>
        <w:t>ประตูนั้นซึ่งแต่ก่อนมนุษย์เคยพบทางเข้าสู่พระเจ้า</w:t>
      </w:r>
      <w:r>
        <w:rPr>
          <w:rFonts w:ascii="Times New Roman" w:hAnsi="Times New Roman" w:eastAsia="Times New Roman" w:cs="Times New Roman"/>
        </w:rPr>
        <w:t xml:space="preserve"> </w:t>
      </w:r>
      <w:r>
        <w:rPr>
          <w:rFonts w:ascii="Leelawadee UI" w:hAnsi="Leelawadee UI" w:eastAsia="Leelawadee UI" w:cs="Leelawadee UI"/>
        </w:rPr>
        <w:t>ก็ไม่เปิดอีกต่อไป</w:t>
      </w:r>
      <w:r>
        <w:rPr>
          <w:rFonts w:ascii="Times New Roman" w:hAnsi="Times New Roman" w:eastAsia="Times New Roman" w:cs="Times New Roman"/>
        </w:rPr>
        <w:t xml:space="preserve"> </w:t>
      </w:r>
      <w:r>
        <w:rPr>
          <w:rFonts w:ascii="Leelawadee UI" w:hAnsi="Leelawadee UI" w:eastAsia="Leelawadee UI" w:cs="Leelawadee UI"/>
        </w:rPr>
        <w:t>ชาวยิวได้ปฏิเสธที่จะเสาะหาพระองค์ในหนทางเดียวที่ขณะนั้นจะพบพระองค์ได้</w:t>
      </w:r>
      <w:r>
        <w:rPr>
          <w:rFonts w:ascii="Times New Roman" w:hAnsi="Times New Roman" w:eastAsia="Times New Roman" w:cs="Times New Roman"/>
        </w:rPr>
        <w:t xml:space="preserve"> </w:t>
      </w:r>
      <w:r>
        <w:rPr>
          <w:rFonts w:ascii="Leelawadee UI" w:hAnsi="Leelawadee UI" w:eastAsia="Leelawadee UI" w:cs="Leelawadee UI"/>
        </w:rPr>
        <w:t>คือโดยทางพันธกิจในสถานนมัสการในสวรรค์</w:t>
      </w:r>
      <w:r>
        <w:rPr>
          <w:rFonts w:ascii="Times New Roman" w:hAnsi="Times New Roman" w:eastAsia="Times New Roman" w:cs="Times New Roman"/>
        </w:rPr>
        <w:t xml:space="preserve"> </w:t>
      </w:r>
      <w:r>
        <w:rPr>
          <w:rFonts w:ascii="Leelawadee UI" w:hAnsi="Leelawadee UI" w:eastAsia="Leelawadee UI" w:cs="Leelawadee UI"/>
        </w:rPr>
        <w:t>ฉะนั้นพวกเขาจึงไม่พบความสัมพันธ์ร่วมกับพระเจ้า</w:t>
      </w:r>
      <w:r>
        <w:rPr>
          <w:rFonts w:ascii="Times New Roman" w:hAnsi="Times New Roman" w:eastAsia="Times New Roman" w:cs="Times New Roman"/>
        </w:rPr>
        <w:t xml:space="preserve"> </w:t>
      </w:r>
      <w:r>
        <w:rPr>
          <w:rFonts w:ascii="Leelawadee UI" w:hAnsi="Leelawadee UI" w:eastAsia="Leelawadee UI" w:cs="Leelawadee UI"/>
        </w:rPr>
        <w:t>สำหรับพวกเขาแล้ว</w:t>
      </w:r>
      <w:r>
        <w:rPr>
          <w:rFonts w:ascii="Times New Roman" w:hAnsi="Times New Roman" w:eastAsia="Times New Roman" w:cs="Times New Roman"/>
        </w:rPr>
        <w:t xml:space="preserve"> </w:t>
      </w:r>
      <w:r>
        <w:rPr>
          <w:rFonts w:ascii="Leelawadee UI" w:hAnsi="Leelawadee UI" w:eastAsia="Leelawadee UI" w:cs="Leelawadee UI"/>
        </w:rPr>
        <w:t>ประตูนั้นปิดอยู่</w:t>
      </w:r>
      <w:r>
        <w:rPr>
          <w:rFonts w:ascii="Times New Roman" w:hAnsi="Times New Roman" w:eastAsia="Times New Roman" w:cs="Times New Roman"/>
        </w:rPr>
        <w:t xml:space="preserve"> </w:t>
      </w:r>
      <w:r>
        <w:rPr>
          <w:rFonts w:ascii="Leelawadee UI" w:hAnsi="Leelawadee UI" w:eastAsia="Leelawadee UI" w:cs="Leelawadee UI"/>
        </w:rPr>
        <w:t>พวกเขาไม่มีความรู้เรื่องพระคริสต์ว่าเป็นเครื่องบูชาที่แท้จริงและเป็นคนกลางเพียงผู้เดียวเฉพาะพระพักตร์พระเจ้า</w:t>
      </w:r>
      <w:r>
        <w:rPr>
          <w:rFonts w:ascii="Times New Roman" w:hAnsi="Times New Roman" w:eastAsia="Times New Roman" w:cs="Times New Roman"/>
        </w:rPr>
        <w:t xml:space="preserve"> </w:t>
      </w:r>
      <w:r>
        <w:rPr>
          <w:rFonts w:ascii="Leelawadee UI" w:hAnsi="Leelawadee UI" w:eastAsia="Leelawadee UI" w:cs="Leelawadee UI"/>
        </w:rPr>
        <w:t>ฉะนั้นพวกเขาจึงไม่อาจได้รับประโยชน์จากการทรงเป็นคนกลางของพระองค์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De toestand van de ongelovige Joden is een illustratie van de toestand van de zorgelozen en ongelovigen onder de belijdende christenen, die willens en wetens onkundig zijn van het werk van onze barmhartige Hogepriester. In de zinnebeeldige dienst, wanneer de hogepriester het allerheiligste binnenging, werd van geheel Israël verlangd dat het zich rondom het heiligdom verzamelde en op de plechtigste wijze zijn ziel voor God verootmoedigde, opdat het vergeving van zijn zonden zou ontvangen en niet uit de gemeente zou worden afgesneden. Hoeveel noodzakelijker is het dan op deze tegenbeeldige Grote Verzoendag dat wij het werk van onze Hogepriester verstaan en weten welke plichten van ons worden vereist.</w:t>
      </w:r>
    </w:p>
    <w:p>
      <w:pPr>
        <w:pStyle w:val="ArticleScripture"/>
        <w:jc w:val="left"/>
      </w:pPr>
      <w:r>
        <w:rPr>
          <w:rFonts w:ascii="Times New Roman" w:hAnsi="Times New Roman" w:eastAsia="Times New Roman" w:cs="Times New Roman"/>
        </w:rPr>
        <w:t>„Արդար մարդիկ չեն կարող անպատիժ մերժել այն նախազգուշացումը, որ Աստված Իր ողորմությամբ ուղարկում է նրանց։ Նոյի օրերում երկնքից մի պատգամ ուղարկվեց աշխարհին, և նրանց փրկությունը կախված էր այն բանից, թե ինչպես էին նրանք վերաբերվում այդ պատգամին։ Քանի որ նրանք մերժեցին նախազգուշացումը, Աստծո Հոգին ետ վերցվեց մեղավոր ազգից, և նրանք կործանվեցին Ջրհեղեղի ջրերում։ Աբրահամի ժամանակ ողորմությունն այլևս չշարունակեց աղաչել Սոդոմի մեղավոր բնակիչներին, և Ղովտից, նրա կնոջից ու երկու դուստրերից բացի, բոլորը սպառվեցին երկնքից իջած կրակից։ Այդպես էլ Քրիստոսի օրերում։ Աստծո Որդին այդ սերնդի անհավատ հրեաներին հայտարարեց. «Ահա ձեր տունը ամայի է թողնվում ձեզ»։ Matthew 23:38։ Նայելով վերջին օրերին՝ նույն Անսահման Զորությունը հայտարարում է նրանց մասին, ովքեր «ճշմարտության սերը չընդունեցին, որպեսզի փրկվեն». «Եվ դրա համար Աստված նրանց վրա կուղարկի մոլորության զորություն, որպեսզի նրանք հավատան ստին, որպեսզի դատապարտվեն բոլոր նրանք, որ չհավատացին ճշմարտությանը, այլ հաճույք գտան անիրավության մեջ»։ 2 Thessalonians 2:10–12։ Երբ նրանք մերժում են Նրա խոսքի ուսմունքները, Աստված ետ է վերցնում Իր Հոգին և նրանց թողնում է այն խաբեություններին, որոնք նրանք սիրում են»։ The Great Controversy,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Joël et l’Église adventiste du septième jour de Laodicée - Numéro vingt-six</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