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Ntụziaka amaghị nke ọma: “ff” adịghị akọwa asụsụ ebumnuche. Biko kpọọ asụsụ ị chọrọ ka m sụgharịa 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Leelawadee UI" w:hAnsi="Leelawadee UI" w:eastAsia="Leelawadee UI" w:cs="Leelawadee UI"/>
        </w:rPr>
        <w:t>លេខសាមសិបមួយ</w:t>
      </w:r>
    </w:p>
    <w:p>
      <w:pPr>
        <w:pStyle w:val="ArticleBody"/>
        <w:jc w:val="left"/>
      </w:pPr>
      <w:r>
        <w:rPr>
          <w:rFonts w:ascii="Times New Roman" w:hAnsi="Times New Roman" w:eastAsia="Times New Roman" w:cs="Times New Roman"/>
        </w:rPr>
        <w:t>Les trois derniers accomplissements messianiques situés dans le livre de Matthieu identifient trois éléments du repère prophétique de la loi du dimanche : la dispersion du peuple de Dieu à la loi du dimanche, telle qu’elle est préfigurée par la dispersion du petit troupeau le 22 octobre 1844 et par la dispersion des disciples à la croix. Ces deux dispersions s’alignent sur la loi du dimanche. En rapport avec la Galilée, qui est le symbole d’un tournant prophétique, le peuple qui a été dans les ténèbres jusqu’à la loi du dimanche va être appelé hors des ténèbres. Ces personnes constituent l’autre troupeau de Dieu, les ouvriers de la onzième heure qui sont réveillés à la question de la controverse sur le sabbat lorsqu’ils sont appelés à sortir de Babylone. Leur appel à sortir de Babylone est la seconde phase du jugement, qui commence à la maison de Dieu, puis, à la loi du dimanche, affronte ceux qui sont en dehors de Jérusalem.</w:t>
      </w:r>
    </w:p>
    <w:p>
      <w:pPr>
        <w:pStyle w:val="ArticleHeading"/>
        <w:jc w:val="left"/>
      </w:pPr>
      <w:r>
        <w:rPr>
          <w:rFonts w:ascii="Arial" w:hAnsi="Arial" w:eastAsia="Arial" w:cs="Arial"/>
        </w:rPr>
        <w:t>Lekineli la Bumesiya la Kumi ni Kutawanyika kwa sheria ya Jumapili</w:t>
      </w:r>
    </w:p>
    <w:p>
      <w:pPr>
        <w:pStyle w:val="ArticleScripture"/>
        <w:jc w:val="left"/>
      </w:pPr>
      <w:r>
        <w:rPr>
          <w:rFonts w:ascii="Times New Roman" w:hAnsi="Times New Roman" w:eastAsia="Times New Roman" w:cs="Times New Roman"/>
        </w:rPr>
        <w:t>Mais tout cela arriva afin que les Écritures des prophètes fussent accomplies. Alors tous les disciples l’abandonnèrent et prirent la fuite. Matthieu 26:56.</w:t>
      </w:r>
    </w:p>
    <w:p>
      <w:pPr>
        <w:pStyle w:val="ArticleHeading"/>
        <w:jc w:val="left"/>
      </w:pPr>
      <w:r>
        <w:rPr>
          <w:rFonts w:ascii="Leelawadee UI" w:hAnsi="Leelawadee UI" w:eastAsia="Leelawadee UI" w:cs="Leelawadee UI"/>
        </w:rPr>
        <w:t>ការព្យាករណ៍</w:t>
      </w:r>
    </w:p>
    <w:p>
      <w:pPr>
        <w:pStyle w:val="ArticleScripture"/>
        <w:jc w:val="left"/>
      </w:pPr>
      <w:r>
        <w:rPr>
          <w:rFonts w:ascii="Times New Roman" w:hAnsi="Times New Roman" w:eastAsia="Times New Roman" w:cs="Times New Roman"/>
        </w:rPr>
        <w:t>Éveille-toi, ô épée, contre mon berger, et contre l’homme qui est mon compagnon, dit l’Éternel des armées : frappe le berger, et les brebis seront dispersées ; et je tournerai ma main vers les petits. Zacharie 13:7.</w:t>
      </w:r>
    </w:p>
    <w:p>
      <w:pPr>
        <w:pStyle w:val="ArticleScripture"/>
        <w:jc w:val="left"/>
      </w:pPr>
      <w:r>
        <w:rPr>
          <w:rFonts w:ascii="Times New Roman" w:hAnsi="Times New Roman" w:eastAsia="Times New Roman" w:cs="Times New Roman"/>
        </w:rPr>
        <w:t>« Nous allons bientôt être largement dispersés, et ce que nous avons à faire doit être fait promptement. » Fundamentals of Christian Education, 535.</w:t>
      </w:r>
    </w:p>
    <w:p>
      <w:pPr>
        <w:pStyle w:val="ArticleScripture"/>
        <w:jc w:val="left"/>
      </w:pPr>
      <w:r>
        <w:rPr>
          <w:rFonts w:ascii="Times New Roman" w:hAnsi="Times New Roman" w:eastAsia="Times New Roman" w:cs="Times New Roman"/>
        </w:rPr>
        <w:t>„Kweli wakati unakuja ambapo tutatengwa na kutawanyika, na kila mmoja wetu atalazimika kusimama bila fadhila ya ushirika na wale wenye imani ile ile ya thamani; na mtawezaje kusimama isipokuwa Mungu awe upande wenu, na mjue kwamba yeye anawaongoza na kuwaelekeza?” Review and Herald, March 25, 1890.</w:t>
      </w:r>
    </w:p>
    <w:p>
      <w:pPr>
        <w:pStyle w:val="ArticleHeading"/>
        <w:jc w:val="left"/>
      </w:pPr>
      <w:r>
        <w:rPr>
          <w:rFonts w:ascii="Arial" w:hAnsi="Arial" w:eastAsia="Arial" w:cs="Arial"/>
        </w:rPr>
        <w:t>Marqueur messianique onzième : l’appel des nations</w:t>
      </w:r>
    </w:p>
    <w:p>
      <w:pPr>
        <w:pStyle w:val="ArticleScripture"/>
        <w:jc w:val="left"/>
      </w:pPr>
      <w:r>
        <w:rPr>
          <w:rFonts w:ascii="Times New Roman" w:hAnsi="Times New Roman" w:eastAsia="Times New Roman" w:cs="Times New Roman"/>
        </w:rPr>
        <w:t>Afin que s’accomplît ce qui avait été annoncé par Ésaïe le prophète, disant : Le pays de Zabulon et le pays de Nephthali, du côté de la mer, au-delà du Jourdain, la Galilée des Gentils ; le peuple qui était assis dans les ténèbres a vu une grande lumière ; et sur ceux qui étaient assis dans la région et l’ombre de la mort, la lumière s’est levée. Matthieu 4:14–16.</w:t>
      </w:r>
    </w:p>
    <w:p>
      <w:pPr>
        <w:pStyle w:val="ArticleHeading"/>
        <w:jc w:val="left"/>
      </w:pPr>
      <w:r>
        <w:rPr>
          <w:rFonts w:ascii="Arial" w:hAnsi="Arial" w:eastAsia="Arial" w:cs="Arial"/>
        </w:rPr>
        <w:t>Пайғамбарлық</w:t>
      </w:r>
    </w:p>
    <w:p>
      <w:pPr>
        <w:pStyle w:val="ArticleScripture"/>
        <w:jc w:val="left"/>
      </w:pPr>
      <w:r>
        <w:rPr>
          <w:rFonts w:ascii="Times New Roman" w:hAnsi="Times New Roman" w:eastAsia="Times New Roman" w:cs="Times New Roman"/>
        </w:rPr>
        <w:t>Cependant, les ténèbres ne seront pas telles qu’elles furent au temps de sa détresse, lorsqu’au commencement il frappa légèrement le pays de Zabulon et le pays de Nephthali, et que plus tard il l’affligea plus gravement du côté de la mer, au-delà du Jourdain, dans la Galilée des nations. Le peuple qui marchait dans les ténèbres a vu une grande lumière; sur ceux qui habitaient le pays de l’ombre de la mort, la lumière a resplendi. Ésaïe 9:1, 2.</w:t>
      </w:r>
    </w:p>
    <w:p>
      <w:pPr>
        <w:pStyle w:val="ArticleBody"/>
        <w:jc w:val="left"/>
      </w:pPr>
      <w:r>
        <w:rPr>
          <w:rFonts w:ascii="Times New Roman" w:hAnsi="Times New Roman" w:eastAsia="Times New Roman" w:cs="Times New Roman"/>
        </w:rPr>
        <w:t>À la loi dominicale, la pluie de l’arrière-saison sera répandue sans mesure, et les Gentils verront une grande lumière. La persécution dispersera les fidèles et propagera le message.</w:t>
      </w:r>
    </w:p>
    <w:p>
      <w:pPr>
        <w:pStyle w:val="ArticleScripture"/>
        <w:jc w:val="left"/>
      </w:pPr>
      <w:r>
        <w:rPr>
          <w:rFonts w:ascii="Times New Roman" w:hAnsi="Times New Roman" w:eastAsia="Times New Roman" w:cs="Times New Roman"/>
        </w:rPr>
        <w:t>“‘Mkawabetolama na mabaraza, … naam, na mbele ya maliwali na wafalme mtapelekwa kwa ajili Yangu, kuwa ushuhuda kwao na kwa Mataifa.’ Mathayo 10:17, 18, R. V. Mateso yataeneza nuru. Watumishi wa Kristo watapelekwa mbele ya wakuu wa ulimwengu, ambao, lau si kwa njia hii, huenda wasingeisikia kamwe injili. Kweli imewakilishwa vibaya kwa watu hawa. Wamesikiliza mashtaka ya uongo kuhusu imani ya wanafunzi wa Kristo. Mara nyingi njia yao pekee ya kujua tabia yake halisi ni ushuhuda wa wale wanaofikishwa hukumuni kwa ajili ya imani yao. Wanapochunguzwa, hawa hutakiwa kujibu, na waamuzi wao kusikiliza ushuhuda utolewao. Neema ya Mungu itatolewa kwa watumishi Wake ili kutosheleza hitaji la wakati huo wa dharura. ‘Mtapewa,’ asema Yesu, ‘saa ile ile mtakayoyanena. Kwa maana si ninyi msemao, bali ni Roho wa Baba yenu asemaye ndani yenu.’ Roho wa Mungu anapoangaza akili za watumishi Wake, kweli itawasilishwa katika uwezo wake wa kimungu na thamani yake ya kupendeza. Wale waikataao kweli watasimama kuwashtaki na kuwaonea wanafunzi. Lakini katikati ya hasara na mateso, hata kufikia mauti, watoto wa Bwana wanapaswa kudhihirisha upole wa Kielelezo chao cha kimungu. Hivyo itaonekana tofauti kati ya mawakala wa Shetani na wawakilishi wa Kristo. Mwokozi atainuliwa mbele ya watawala na watu.”</w:t>
      </w:r>
    </w:p>
    <w:p>
      <w:pPr>
        <w:pStyle w:val="ArticleScripture"/>
        <w:jc w:val="left"/>
      </w:pPr>
      <w:r>
        <w:rPr>
          <w:rFonts w:ascii="Nirmala UI" w:hAnsi="Nirmala UI" w:eastAsia="Nirmala UI" w:cs="Nirmala UI"/>
        </w:rPr>
        <w:t>শহীদদের</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অবিচলতা</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ত্রাণকর্তার</w:t>
      </w:r>
      <w:r>
        <w:rPr>
          <w:rFonts w:ascii="Times New Roman" w:hAnsi="Times New Roman" w:eastAsia="Times New Roman" w:cs="Times New Roman"/>
        </w:rPr>
        <w:t xml:space="preserve"> </w:t>
      </w:r>
      <w:r>
        <w:rPr>
          <w:rFonts w:ascii="Nirmala UI" w:hAnsi="Nirmala UI" w:eastAsia="Nirmala UI" w:cs="Nirmala UI"/>
        </w:rPr>
        <w:t>প্রতিজ্ঞা</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মহাসভার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আশ্চর্য্য</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বুঝিল</w:t>
      </w:r>
      <w:r>
        <w:rPr>
          <w:rFonts w:ascii="Times New Roman" w:hAnsi="Times New Roman" w:eastAsia="Times New Roman" w:cs="Times New Roman"/>
        </w:rPr>
        <w:t xml:space="preserve">, </w:t>
      </w:r>
      <w:r>
        <w:rPr>
          <w:rFonts w:ascii="Nirmala UI" w:hAnsi="Nirmala UI" w:eastAsia="Nirmala UI" w:cs="Nirmala UI"/>
        </w:rPr>
        <w:t>ইহারা</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সহচর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Acts 4:13. </w:t>
      </w:r>
      <w:r>
        <w:rPr>
          <w:rFonts w:ascii="Nirmala UI" w:hAnsi="Nirmala UI" w:eastAsia="Nirmala UI" w:cs="Nirmala UI"/>
        </w:rPr>
        <w:t>স্তিফনের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সভায়</w:t>
      </w:r>
      <w:r>
        <w:rPr>
          <w:rFonts w:ascii="Times New Roman" w:hAnsi="Times New Roman" w:eastAsia="Times New Roman" w:cs="Times New Roman"/>
        </w:rPr>
        <w:t xml:space="preserve"> </w:t>
      </w:r>
      <w:r>
        <w:rPr>
          <w:rFonts w:ascii="Nirmala UI" w:hAnsi="Nirmala UI" w:eastAsia="Nirmala UI" w:cs="Nirmala UI"/>
        </w:rPr>
        <w:t>বসিয়াছিল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স্থিরদৃষ্টিতে</w:t>
      </w:r>
      <w:r>
        <w:rPr>
          <w:rFonts w:ascii="Times New Roman" w:hAnsi="Times New Roman" w:eastAsia="Times New Roman" w:cs="Times New Roman"/>
        </w:rPr>
        <w:t xml:space="preserve"> </w:t>
      </w:r>
      <w:r>
        <w:rPr>
          <w:rFonts w:ascii="Nirmala UI" w:hAnsi="Nirmala UI" w:eastAsia="Nirmala UI" w:cs="Nirmala UI"/>
        </w:rPr>
        <w:t>চাহিয়া</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দেবদূতের</w:t>
      </w:r>
      <w:r>
        <w:rPr>
          <w:rFonts w:ascii="Times New Roman" w:hAnsi="Times New Roman" w:eastAsia="Times New Roman" w:cs="Times New Roman"/>
        </w:rPr>
        <w:t xml:space="preserve"> </w:t>
      </w:r>
      <w:r>
        <w:rPr>
          <w:rFonts w:ascii="Nirmala UI" w:hAnsi="Nirmala UI" w:eastAsia="Nirmala UI" w:cs="Nirmala UI"/>
        </w:rPr>
        <w:t>মুখের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কহিতেন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Acts 6:15, 10.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কৈসারদের</w:t>
      </w:r>
      <w:r>
        <w:rPr>
          <w:rFonts w:ascii="Times New Roman" w:hAnsi="Times New Roman" w:eastAsia="Times New Roman" w:cs="Times New Roman"/>
        </w:rPr>
        <w:t xml:space="preserve"> </w:t>
      </w:r>
      <w:r>
        <w:rPr>
          <w:rFonts w:ascii="Nirmala UI" w:hAnsi="Nirmala UI" w:eastAsia="Nirmala UI" w:cs="Nirmala UI"/>
        </w:rPr>
        <w:t>আদালতে</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উত্তরকালে</w:t>
      </w:r>
      <w:r>
        <w:rPr>
          <w:rFonts w:ascii="Times New Roman" w:hAnsi="Times New Roman" w:eastAsia="Times New Roman" w:cs="Times New Roman"/>
        </w:rPr>
        <w:t xml:space="preserve"> </w:t>
      </w:r>
      <w:r>
        <w:rPr>
          <w:rFonts w:ascii="Nirmala UI" w:hAnsi="Nirmala UI" w:eastAsia="Nirmala UI" w:cs="Nirmala UI"/>
        </w:rPr>
        <w:t>কেহই</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দাঁড়াইল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পরিত্যাগ</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দাঁড়াইলেন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প্রচারিত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অইহুদীরা</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সিংহের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উদ্ধার</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হইলাম।</w:t>
      </w:r>
      <w:r>
        <w:rPr>
          <w:rFonts w:ascii="Times New Roman" w:hAnsi="Times New Roman" w:eastAsia="Times New Roman" w:cs="Times New Roman"/>
        </w:rPr>
        <w:t>” 2 Timothy 4:16, 17, R. V.</w:t>
      </w:r>
    </w:p>
    <w:p>
      <w:pPr>
        <w:pStyle w:val="ArticleScripture"/>
        <w:jc w:val="left"/>
      </w:pPr>
      <w:r>
        <w:rPr>
          <w:rFonts w:ascii="Times New Roman" w:hAnsi="Times New Roman" w:eastAsia="Times New Roman" w:cs="Times New Roman"/>
        </w:rPr>
        <w:t>«Прислужителите на Христос не трябваше да подготвят никаква предварително съставена реч, която да представят, когато бъдат изправени на съд. Тяхната подготовка трябваше да се извършва ден след ден чрез съхраняване в сърцето на скъпоценните истини на Божието слово и чрез молитва, като укрепват своята вяра. Когато бъдат поставени на изпитание, Светият Дух щеше да им припомни именно онези истини, които щяха да бъдат необходими.» Копнежът на вековете, 354, 355.</w:t>
      </w:r>
    </w:p>
    <w:p>
      <w:pPr>
        <w:pStyle w:val="ArticleBody"/>
        <w:jc w:val="left"/>
      </w:pPr>
      <w:r>
        <w:rPr>
          <w:rFonts w:ascii="Times New Roman" w:hAnsi="Times New Roman" w:eastAsia="Times New Roman" w:cs="Times New Roman"/>
        </w:rPr>
        <w:t>Das Gericht beginnt beim Hause Gottes am 11. September und endet beim Sonntagsgesetz; dann geht das Gericht auf Gottes andere Herde außerhalb des Hauses Gottes über.</w:t>
      </w:r>
    </w:p>
    <w:p>
      <w:pPr>
        <w:pStyle w:val="ArticleHeading"/>
        <w:jc w:val="left"/>
      </w:pPr>
      <w:r>
        <w:rPr>
          <w:rFonts w:ascii="Arial" w:hAnsi="Arial" w:eastAsia="Arial" w:cs="Arial"/>
        </w:rPr>
        <w:t>Anohin sa Fito nga Mesyanikong Waymark amo an Paghukom ngadto ha mga Hentil</w:t>
      </w:r>
    </w:p>
    <w:p>
      <w:pPr>
        <w:pStyle w:val="ArticleScripture"/>
        <w:jc w:val="left"/>
      </w:pPr>
      <w:r>
        <w:rPr>
          <w:rFonts w:ascii="Times New Roman" w:hAnsi="Times New Roman" w:eastAsia="Times New Roman" w:cs="Times New Roman"/>
        </w:rPr>
        <w:t>Afin que fût accompli ce qui avait été annoncé par Ésaïe le prophète, disant : Voici mon serviteur, que j’ai choisi ; mon bien-aimé, en qui mon âme prend plaisir : je mettrai mon Esprit sur lui, et il annoncera le jugement aux nations. Il ne contestera point, et ne criera point ; et personne n’entendra sa voix dans les rues. Il ne brisera point le roseau froissé, et il n’éteindra point le lumignon qui fume encore, jusqu’à ce qu’il ait fait triompher le jugement. Et les nations espéreront en son nom. Matthieu 12:17–21.</w:t>
      </w:r>
    </w:p>
    <w:p>
      <w:pPr>
        <w:pStyle w:val="ArticleHeading"/>
        <w:jc w:val="left"/>
      </w:pPr>
      <w:r>
        <w:rPr>
          <w:rFonts w:ascii="Arial" w:hAnsi="Arial" w:eastAsia="Arial" w:cs="Arial"/>
        </w:rPr>
        <w:t>Prédiction</w:t>
      </w:r>
    </w:p>
    <w:p>
      <w:pPr>
        <w:pStyle w:val="ArticleScripture"/>
        <w:jc w:val="left"/>
      </w:pPr>
      <w:r>
        <w:rPr>
          <w:rFonts w:ascii="Times New Roman" w:hAnsi="Times New Roman" w:eastAsia="Times New Roman" w:cs="Times New Roman"/>
        </w:rPr>
        <w:t>Voici mon serviteur, que je soutiens; mon élu, en qui mon âme prend plaisir; j’ai mis mon Esprit sur lui: il fera paraître le jugement parmi les nations. Il ne criera point, il n’élèvera point la voix, et ne la fera point entendre dans les rues. Il ne brisera point le roseau froissé, et n’éteindra point le lumignon qui fume encore: il fera paraître le jugement selon la vérité. Il ne faiblira point et ne se découragera point, jusqu’à ce qu’il ait établi le jugement sur la terre; et les îles attendront sa loi. Ésaïe 42:1–4.</w:t>
      </w:r>
    </w:p>
    <w:p>
      <w:pPr>
        <w:pStyle w:val="ArticleBody"/>
        <w:jc w:val="left"/>
      </w:pPr>
      <w:r>
        <w:rPr>
          <w:rFonts w:ascii="Times New Roman" w:hAnsi="Times New Roman" w:eastAsia="Times New Roman" w:cs="Times New Roman"/>
        </w:rPr>
        <w:t>Mutsirizvo wekutongwa kweimba yaMwari wakatanga muna Chikunguru 2023, apo inzwi rakanzwika mumigwagwa umo Mozisi naEria vakanga varere vakafa mumupata wamapfupa akaoma akafa. Inzwi parakanzwika, kutongwa kwakatanga kusvika kumagumo kweimba yaMwari, ndokuzoenderera mberi kuchienda kukutongwa kweVemamwe Marudzi. Mubhuku raMateo mune kuzadzikiswa gumi nembiri kwechiMesia kunoratidza zviratidzo zvikuru zvenzira mukufamba kwechimurenga chekuvandudza chevane zana nemakumi mana nezvina ezviuru. Zviratidzo gumi nembiri izvozvo zvinofananidzirwa neMesia. 1989; 1996; 9/11, 2001; Chikunguru 18, 2020; Chikunguru 2023; 2024; Kuchema kwePakati peUsiku, kuparadzaniswa kwevapristi, uye murayiro weSvondo zvose zvinoratidzwa, nepo 9/11 riine chapupu chemukati nechekunze, uye murayiro weSvondo une chapupu chemukati chekuparadzirwa, uyezve zvapupu zviviri zvenguva yekutongwa kwevashandi veawa regumi nerimwe. Zviratidzo zvipfumbamwe zvenzira mukufamba kwechimurenga chekuvandudza chevane zana nemakumi mana nezvina ezviuru zvinonyatsozivikanwa zvakananga mubhuku raMateo.</w:t>
      </w:r>
    </w:p>
    <w:p>
      <w:pPr>
        <w:pStyle w:val="ArticleBody"/>
        <w:jc w:val="left"/>
      </w:pPr>
      <w:r>
        <w:rPr>
          <w:rFonts w:ascii="Times New Roman" w:hAnsi="Times New Roman" w:eastAsia="Times New Roman" w:cs="Times New Roman"/>
        </w:rPr>
        <w:t>Matthieu est l’alpha du Nouveau Testament, et l’Apocalypse en est l’oméga. Matthieu est un chef-d’œuvre prophétique dont l’importance fut scellée jusqu’aux derniers jours. Il contient les douze chapitres de l’oméga, qui correspondent à l’alpha de la Genèse, chapitres onze à vingt-deux. En tant qu’alpha de l’Apocalypse, il est en parallèle avec le rapport inspiré entre Daniel et l’Apocalypse. Ce qui est révélé dans les livres de Daniel et de l’Apocalypse concernant leur relation prophétique serait également vrai de la relation entre Matthieu et l’Apocalypse. Ce qui nous a été communiqué dans ce sens équivaudrait à ceci :</w:t>
      </w:r>
    </w:p>
    <w:p>
      <w:pPr>
        <w:pStyle w:val="ArticleBody"/>
        <w:jc w:val="left"/>
      </w:pPr>
      <w:r>
        <w:rPr>
          <w:rFonts w:ascii="Times New Roman" w:hAnsi="Times New Roman" w:eastAsia="Times New Roman" w:cs="Times New Roman"/>
        </w:rPr>
        <w:t>dans le livre de Matthieu, la même ligne de prophétie est reprise que dans le livre de l’Apocalypse.</w:t>
      </w:r>
    </w:p>
    <w:p>
      <w:pPr>
        <w:pStyle w:val="ArticleScripture"/>
        <w:jc w:val="left"/>
      </w:pPr>
      <w:r>
        <w:rPr>
          <w:rFonts w:ascii="Times New Roman" w:hAnsi="Times New Roman" w:eastAsia="Times New Roman" w:cs="Times New Roman"/>
        </w:rPr>
        <w:t>«L’Apocalypse est un livre scellé, mais c’est aussi un livre ouvert. Elle rapporte de merveilleux événements qui doivent se produire dans les derniers jours de l’histoire de cette terre. Les enseignements de ce livre sont précis, non mystiques ni inintelligibles. On y reprend la même ligne de prophétie que dans Daniel. Certaines prophéties, Dieu les a répétées, montrant ainsi qu’il faut leur accorder de l’importance. Le Seigneur ne répète pas des choses qui ne sont pas de grande conséquence.» Manuscript Releases, volume 9, 8.</w:t>
      </w:r>
    </w:p>
    <w:p>
      <w:pPr>
        <w:pStyle w:val="ArticleBody"/>
        <w:jc w:val="left"/>
      </w:pPr>
      <w:r>
        <w:rPr>
          <w:rFonts w:ascii="Times New Roman" w:hAnsi="Times New Roman" w:eastAsia="Times New Roman" w:cs="Times New Roman"/>
        </w:rPr>
        <w:t>Le livre de Matthieu reprend la « même ligne de prophétie » que l’Apocalypse et Daniel, et celle-ci est portée à sa perfection dans le livre de l’Apocalypse, car le mot « complément » signifie perfection.</w:t>
      </w:r>
    </w:p>
    <w:p>
      <w:pPr>
        <w:pStyle w:val="ArticleScripture"/>
        <w:jc w:val="left"/>
      </w:pPr>
      <w:r>
        <w:rPr>
          <w:rFonts w:ascii="Times New Roman" w:hAnsi="Times New Roman" w:eastAsia="Times New Roman" w:cs="Times New Roman"/>
        </w:rPr>
        <w:t>«Dans l’Apocalypse, tous les livres de la Bible se rencontrent et s’achèvent. Voici le complément du livre de Daniel. L’un est une prophétie ; l’autre, une révélation. Le livre qui fut scellé n’est pas l’Apocalypse, mais cette partie de la prophétie de Daniel qui se rapporte aux derniers jours. L’ange donna cet ordre : “Mais toi, Daniel, tiens secrètes ces paroles, et scelle le livre jusqu’au temps de la fin.” Daniel 12:4.» Acts of the Apostles, 585.</w:t>
      </w:r>
    </w:p>
    <w:p>
      <w:pPr>
        <w:pStyle w:val="ArticleBody"/>
        <w:jc w:val="left"/>
      </w:pPr>
      <w:r>
        <w:rPr>
          <w:rFonts w:ascii="Times New Roman" w:hAnsi="Times New Roman" w:eastAsia="Times New Roman" w:cs="Times New Roman"/>
        </w:rPr>
        <w:t>Matthieu, Daniel et l’Apocalypse sont un seul et même livre.</w:t>
      </w:r>
    </w:p>
    <w:p>
      <w:pPr>
        <w:pStyle w:val="ArticleScripture"/>
        <w:jc w:val="left"/>
      </w:pPr>
      <w:r>
        <w:rPr>
          <w:rFonts w:ascii="Times New Roman" w:hAnsi="Times New Roman" w:eastAsia="Times New Roman" w:cs="Times New Roman"/>
        </w:rPr>
        <w:t>«بەڕاستی کتێبەکانی دانیال و ئاشکراکردن یەکن. یەکێکیان پێشبینییە، ئەوی دیکە ئاشکراکردنە؛ یەکێکیان کتێبێکی مۆرکراوە، ئەوی دیکە کتێبێکی کراوەیە. یۆحەنا ئەو نهێنییانەی بیست کە گڕومەکان دەریانبڕی، بەڵام فەرمانی پێدرا نەینووسێت.» The Seventh-day Adventist Bible Commentary, volume 7, 971.</w:t>
      </w:r>
    </w:p>
    <w:p>
      <w:pPr>
        <w:pStyle w:val="ArticleBody"/>
        <w:jc w:val="left"/>
      </w:pPr>
      <w:r>
        <w:rPr>
          <w:rFonts w:ascii="Times New Roman" w:hAnsi="Times New Roman" w:eastAsia="Times New Roman" w:cs="Times New Roman"/>
        </w:rPr>
        <w:t>Il m’a paru important de prendre le temps de replacer le livre de Matthieu dans son contexte, ce qui pourrait mettre en évidence la portée prophétique de la présence de Pierre à Césarée de Philippe, avant de ramener l’étude au livre de Joël. Je m’efforcerai de résumer mes observations sur le livre de Matthieu, afin d’illustrer l’immense signification prophétique de Pierre à Césarée de Philippe, qui est Panium de Daniel 11:13-15.</w:t>
      </w:r>
    </w:p>
    <w:p>
      <w:pPr>
        <w:pStyle w:val="ArticleBody"/>
        <w:jc w:val="left"/>
      </w:pPr>
      <w:r>
        <w:rPr>
          <w:rFonts w:ascii="Times New Roman" w:hAnsi="Times New Roman" w:eastAsia="Times New Roman" w:cs="Times New Roman"/>
        </w:rPr>
        <w:t>Kitabu cha Mathayo kimeundwa juu ya mistari mitatu tofauti ya kinabii. Mstari wa kwanza ni sura kumi za kwanza; mstari wa pili ni sura kumi na mbili zinazofuata, ambazo zinafuatwa na mstari wa tatu unaojumuisha sura sita. Sura kumi za kwanza zinamwakilisha malaika wa kwanza wa Ufunuo kumi na nne, sura kumi na mbili zinazofuata zinamwakilisha malaika wa pili wa Ufunuo kumi na nne, na sura sita za mwisho zinamwakilisha malaika wa tatu wa Ufunuo kumi na nne. Bado sijathibitisha kwa uwazi uchunguzi huu, lakini hilo linaweza kufanywa kwa urahisi. Kabla hatujafanya hivyo, nataka kuendelea kuchora baadhi ya mistari mipana zaidi juu ya turubai ambayo ni kitabu cha Mathayo.</w:t>
      </w:r>
    </w:p>
    <w:p>
      <w:pPr>
        <w:pStyle w:val="ArticleBody"/>
        <w:jc w:val="left"/>
      </w:pPr>
      <w:r>
        <w:rPr>
          <w:rFonts w:ascii="Myanmar Text" w:hAnsi="Myanmar Text" w:eastAsia="Myanmar Text" w:cs="Myanmar Text"/>
        </w:rPr>
        <w:t>ဖျာ့ဘာသာဆိုတာ</w:t>
      </w:r>
      <w:r>
        <w:rPr>
          <w:rFonts w:ascii="Times New Roman" w:hAnsi="Times New Roman" w:eastAsia="Times New Roman" w:cs="Times New Roman"/>
        </w:rPr>
        <w:t xml:space="preserve"> </w:t>
      </w:r>
      <w:r>
        <w:rPr>
          <w:rFonts w:ascii="Myanmar Text" w:hAnsi="Myanmar Text" w:eastAsia="Myanmar Text" w:cs="Myanmar Text"/>
        </w:rPr>
        <w:t>ဘာဘာသာကို</w:t>
      </w:r>
      <w:r>
        <w:rPr>
          <w:rFonts w:ascii="Times New Roman" w:hAnsi="Times New Roman" w:eastAsia="Times New Roman" w:cs="Times New Roman"/>
        </w:rPr>
        <w:t xml:space="preserve"> </w:t>
      </w:r>
      <w:r>
        <w:rPr>
          <w:rFonts w:ascii="Myanmar Text" w:hAnsi="Myanmar Text" w:eastAsia="Myanmar Text" w:cs="Myanmar Text"/>
        </w:rPr>
        <w:t>ဆိုလိုသည်ကို</w:t>
      </w:r>
      <w:r>
        <w:rPr>
          <w:rFonts w:ascii="Times New Roman" w:hAnsi="Times New Roman" w:eastAsia="Times New Roman" w:cs="Times New Roman"/>
        </w:rPr>
        <w:t xml:space="preserve"> </w:t>
      </w:r>
      <w:r>
        <w:rPr>
          <w:rFonts w:ascii="Myanmar Text" w:hAnsi="Myanmar Text" w:eastAsia="Myanmar Text" w:cs="Myanmar Text"/>
        </w:rPr>
        <w:t>ရှင်းလင်းပေးပါ။</w:t>
      </w:r>
    </w:p>
    <w:p>
      <w:pPr>
        <w:pStyle w:val="ArticleScripture"/>
        <w:jc w:val="left"/>
      </w:pPr>
      <w:r>
        <w:rPr>
          <w:rFonts w:ascii="Times New Roman" w:hAnsi="Times New Roman" w:eastAsia="Times New Roman" w:cs="Times New Roman"/>
        </w:rPr>
        <w:t>Ve ayrıca sana derim ki, sen Petrus’sun; ve kilisemi bu kayanın üzerine kuracağım; ve cehennemin kapıları ona karşı galip gelemeyecektir. Matta 16:18.</w:t>
      </w:r>
    </w:p>
    <w:p>
      <w:pPr>
        <w:pStyle w:val="ArticleBody"/>
        <w:jc w:val="left"/>
      </w:pPr>
      <w:r>
        <w:rPr>
          <w:rFonts w:ascii="Times New Roman" w:hAnsi="Times New Roman" w:eastAsia="Times New Roman" w:cs="Times New Roman"/>
        </w:rPr>
        <w:t>Le nom de Pierre représente les cent quarante-quatre mille, et il représente la classe de ceux qui fondent leur foi sur le fait d’entendre le message du Christ. Non pas simplement le message au sujet de Jésus, mais le message que Jésus a identifié comme ayant été donné à Pierre par le Seigneur Lui-même.</w:t>
      </w:r>
    </w:p>
    <w:p>
      <w:pPr>
        <w:pStyle w:val="ArticleScripture"/>
        <w:jc w:val="left"/>
      </w:pP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அவர்களிடத்தில்</w:t>
      </w:r>
      <w:r>
        <w:rPr>
          <w:rFonts w:ascii="Times New Roman" w:hAnsi="Times New Roman" w:eastAsia="Times New Roman" w:cs="Times New Roman"/>
        </w:rPr>
        <w:t>,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யார்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சொல்லுகிறீர்கள்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கேட்டார்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Simon Pedro respondió y dijo: Tú eres el Cristo, el Hijo del Dios viviente. Entonces le respondió Jesús y dijo:</w:t>
      </w:r>
    </w:p>
    <w:p>
      <w:pPr>
        <w:pStyle w:val="ArticleScripture"/>
        <w:jc w:val="left"/>
      </w:pPr>
      <w:r>
        <w:rPr>
          <w:rFonts w:ascii="Times New Roman" w:hAnsi="Times New Roman" w:eastAsia="Times New Roman" w:cs="Times New Roman"/>
        </w:rPr>
        <w:t>Heureux es-tu, Simon Barjona; car ce ne sont pas la chair et le sang qui t’ont révélé cela, mais mon Père qui est dans les cieux. Matthieu 16:15–17.</w:t>
      </w:r>
    </w:p>
    <w:p>
      <w:pPr>
        <w:pStyle w:val="ArticleBody"/>
        <w:jc w:val="left"/>
      </w:pPr>
      <w:r>
        <w:rPr>
          <w:rFonts w:ascii="Times New Roman" w:hAnsi="Times New Roman" w:eastAsia="Times New Roman" w:cs="Times New Roman"/>
        </w:rPr>
        <w:t>Iman Petrus didasarkan pada Yesus yang menjadi Kristus—Mesias. Nama Petrus diubah, sebagaimana nama Abram diubah untuk menandai suatu hubungan perjanjian, dan nilainya setara dengan 144.000; dan dalam ayat itu juga, pertentangan besar dikenali sebagai suatu Batu Karang yang adalah dasar sebuah gereja, yang akan menang terhadap gereja-gereja neraka. Seratus empat puluh empat ribu adalah perwujudan terakhir dari suatu umat perjanjian yang terpilih, dan Petrus melambangkan kelompok itu.</w:t>
      </w:r>
    </w:p>
    <w:p>
      <w:pPr>
        <w:pStyle w:val="ArticleBody"/>
        <w:jc w:val="left"/>
      </w:pPr>
      <w:r>
        <w:rPr>
          <w:rFonts w:ascii="Times New Roman" w:hAnsi="Times New Roman" w:eastAsia="Times New Roman" w:cs="Times New Roman"/>
        </w:rPr>
        <w:t>پیتر هم‌زمان نمایندۀ نخستین کلیسای مسیحی، یعنی کلیسای شاگردان، نیز هست؛ زیرا این همان تاریخی است که در آن مسیح بنیاد کلیسای خود را نهاد. مسیح بنیاد است و او همچنین سنگِ سرِ زاویه است، و پیتر نمادی از نخستین عروس مسیحی و آخرین عروس مسیحی است. ازاین‌رو، پیتر در یک آیه، هم نماد آلفا است و هم نماد اُمگا.</w:t>
      </w:r>
    </w:p>
    <w:p>
      <w:pPr>
        <w:pStyle w:val="ArticleBody"/>
        <w:jc w:val="left"/>
      </w:pPr>
      <w:r>
        <w:rPr>
          <w:rFonts w:ascii="Times New Roman" w:hAnsi="Times New Roman" w:eastAsia="Times New Roman" w:cs="Times New Roman"/>
        </w:rPr>
        <w:t>Ce seul verset est le verset central de douze chapitres qui représentent le message du deuxième ange, et Pierre « fait double emploi » en tant que première épouse et dernière épouse. La dernière épouse sera en guerre avec la synagogue de Satan, et la dernière épouse sera composée de deux groupes. Un groupe, les cent quarante-quatre mille ; l’autre groupe, la grande multitude. La grande multitude est représentée par Smyrne et les cent quarante-quatre mille par Philadelphie.</w:t>
      </w:r>
    </w:p>
    <w:p>
      <w:pPr>
        <w:pStyle w:val="ArticleBody"/>
        <w:jc w:val="left"/>
      </w:pPr>
      <w:r>
        <w:rPr>
          <w:rFonts w:ascii="Times New Roman" w:hAnsi="Times New Roman" w:eastAsia="Times New Roman" w:cs="Times New Roman"/>
        </w:rPr>
        <w:t>Les cent quarante-quatre mille sont des Philadelphiens, et le changement de nom de Pierre, au verset dix-huit, représente le scellement des cent quarante-quatre mille. Il est le symbole de ceux qui sont scellés, et, dans ce verset, le verset central même des douze chapitres de l’alliance, il s’aligne avec le verset central même des douze chapitres de la Genèse, où la circoncision est identifiée comme le signe. Les chapitres onze à vingt-deux de l’Apocalypse fournissent la troisième ligne des douze chapitres du témoignage de l’alliance, et le verset central de ces douze chapitres identifie le mariage de la prostituée d’Apocalypse dix-sept avec les rois de la terre.</w:t>
      </w:r>
    </w:p>
    <w:p>
      <w:pPr>
        <w:pStyle w:val="ArticleScripture"/>
        <w:jc w:val="left"/>
      </w:pPr>
      <w:r>
        <w:rPr>
          <w:rFonts w:ascii="Times New Roman" w:hAnsi="Times New Roman" w:eastAsia="Times New Roman" w:cs="Times New Roman"/>
        </w:rPr>
        <w:t>والوحشُ الذي كان وليس الآن، فهو الثامن، وهو من السبعة، ويمضي إلى الهلاك. رؤيا 17:11.</w:t>
      </w:r>
    </w:p>
    <w:p>
      <w:pPr>
        <w:pStyle w:val="ArticleBody"/>
        <w:jc w:val="left"/>
      </w:pPr>
      <w:r>
        <w:rPr>
          <w:rFonts w:ascii="Times New Roman" w:hAnsi="Times New Roman" w:eastAsia="Times New Roman" w:cs="Times New Roman"/>
        </w:rPr>
        <w:t>Iyi nge yii yimanyiita fua Babylɔn kɛse no hwehwehwɛ a etwa to, na Babel ahwe ase a edi kan no wɔ Genesis nhoma no apam kwan a ɛwɔ ti du-mmienu mu no ti a edi kan mu. Petro gyina hɔ ma ɔha aduanan anan mpem no wɔ mfua a ɛwɔ mfinimfini no mu, a ɛne Genesis mfinimfini mfua no hyia. Wɔ Adiyisɛm mfinimfini mfua no mu no, Babylɔn kɛse no ahwe ase no de Nimrod, Babel ɔbɔmmɔfo kɛse no, abakɔsɛm no ba awiei.</w:t>
      </w:r>
    </w:p>
    <w:p>
      <w:pPr>
        <w:pStyle w:val="ArticleBody"/>
        <w:jc w:val="left"/>
      </w:pPr>
      <w:r>
        <w:rPr>
          <w:rFonts w:ascii="Times New Roman" w:hAnsi="Times New Roman" w:eastAsia="Times New Roman" w:cs="Times New Roman"/>
        </w:rPr>
        <w:t>Les versets centraux de chacune de ces trois lignes prophétiques désignent soit le sceau de Dieu, soit la marque de la bête. L’alliance babylonienne de mort, à son commencement dans la Genèse, atteint sa fin dans l’Apocalypse. Ce faisant, elle place un commencement et une fin sur ces trois lignes, lorsqu’elles sont réunies, ligne sur ligne. Là où Pierre est employé comme symbole du grand conflit entre le Rocher et les portes de l’enfer, c’est le message du deuxième ange, car le message du deuxième ange est : Babylone est tombée (Nimrod), elle est tombée (la prostituée de Rome). La deuxième ligne des trois lignes de Matthieu est le message du deuxième ange, car elle identifie deux chutes de Babylone. Elle présente un mariage contrefait précisément là où le vrai mariage est consommé, à la loi du dimanche. Elle représente le nombre « 8 » comme une contrefaçon du peuple de Dieu, qui constitue les véritables huit. La papauté est aussi décrite comme contrefaisant Dieu, car elle était, et pourtant elle est, et elle montera. Elle monte précisément là où l’étendard s’élève — à la loi du dimanche.</w:t>
      </w:r>
    </w:p>
    <w:p>
      <w:pPr>
        <w:pStyle w:val="ArticleBody"/>
        <w:jc w:val="left"/>
      </w:pPr>
      <w:r>
        <w:rPr>
          <w:rFonts w:ascii="Times New Roman" w:hAnsi="Times New Roman" w:eastAsia="Times New Roman" w:cs="Times New Roman"/>
        </w:rPr>
        <w:t>Në Mateun gjenden dymbëdhjetë përmbushje mesianike, dhe në Besëlidhjen e Vjetër ka nga treqind deri në pesëqind profeci mbi Mesinë. Mateu përmban dymbëdhjetë përmbushje të përcaktuara drejtpërdrejt, shumë më tepër se cilido prej tre ungjijve të tjerë. Këto dymbëdhjetë përmbushje përputhen me nëntë shenja dalluese të veçanta në lëvizjen reformatore të njëqind e dyzet e katër mijëve. Nënta simbolizon plotësinë, sepse nuk ka numër përtej “nëntës”, pasi çdo sasi tjetër pas “nëntës” përdor vetëm nëntë shifrat nga njëshi deri te nënta, dhe zeron. Nënta është plotësi. Nga ato nëntë shenja dalluese, dy kanë më shumë se një nga përmbushjet e Mateut. 9/11 ka dy, dhe ligji i së dielës ka tre.</w:t>
      </w:r>
    </w:p>
    <w:p>
      <w:pPr>
        <w:pStyle w:val="ArticleBody"/>
        <w:jc w:val="left"/>
      </w:pP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औपचारिकीकरण</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9/11,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पुकारनेवाली</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परिपूर्णता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9/11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En faisant ainsi, elle identifie deux témoins au 11 septembre, et trois témoins au moment de la loi du dimanche. Les deux témoins au 11 septembre sont le message du deuxième ange, et les trois témoins à la loi du dimanche sont le message du troisième ange. Par conséquent, la ligne produite à partir des accomplissements, dans Matthieu, des prophéties messianiques isole et magnifie le temps du scellement, tout en identifiant le deuxième ange comme l’alpha de l’histoire du temps du scellement, et le troisième ange comme l’oméga. Cela signifie que le temps du scellement est encadré entre le nombre deux et le nombre trois, plaçant ainsi le vingt-trois, symbole de l’expiation, sur l’ensemble de l’histoire du scellement.</w:t>
      </w:r>
    </w:p>
    <w:p>
      <w:pPr>
        <w:pStyle w:val="ArticleBody"/>
        <w:jc w:val="left"/>
      </w:pPr>
      <w:r>
        <w:rPr>
          <w:rFonts w:ascii="Nirmala UI" w:hAnsi="Nirmala UI" w:eastAsia="Nirmala UI" w:cs="Nirmala UI"/>
        </w:rPr>
        <w:t>ꯃꯦꯊ꯭ꯌꯨꯒꯤ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ꯑꯦꯟꯖꯦꯜꯁꯤꯡꯗ</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ꯃꯦꯊ꯭ꯌꯨꯒꯤ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ꯂꯥꯏꯟꯗ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ꯇ꯭ꯋꯦꯜꯞꯁꯤꯡꯅ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ꯃꯑꯥꯂꯤ</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ꯀꯣꯕꯦꯅꯦꯟꯠꯀꯤ</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ꯖꯦꯅꯦꯁꯤꯁꯀꯤ</w:t>
      </w:r>
      <w:r>
        <w:rPr>
          <w:rFonts w:ascii="Times New Roman" w:hAnsi="Times New Roman" w:eastAsia="Times New Roman" w:cs="Times New Roman"/>
        </w:rPr>
        <w:t xml:space="preserve"> </w:t>
      </w:r>
      <w:r>
        <w:rPr>
          <w:rFonts w:ascii="Nirmala UI" w:hAnsi="Nirmala UI" w:eastAsia="Nirmala UI" w:cs="Nirmala UI"/>
        </w:rPr>
        <w:t>ꯑꯂꯐꯥ</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ꯑꯕ꯭ꯔꯝꯒ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ꯑꯣꯏꯅꯥꯅꯤ।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ꯈ꯭ꯔꯤꯁꯆꯦꯟ</w:t>
      </w:r>
      <w:r>
        <w:rPr>
          <w:rFonts w:ascii="Times New Roman" w:hAnsi="Times New Roman" w:eastAsia="Times New Roman" w:cs="Times New Roman"/>
        </w:rPr>
        <w:t xml:space="preserve"> </w:t>
      </w:r>
      <w:r>
        <w:rPr>
          <w:rFonts w:ascii="Nirmala UI" w:hAnsi="Nirmala UI" w:eastAsia="Nirmala UI" w:cs="Nirmala UI"/>
        </w:rPr>
        <w:t>ꯕ꯭ꯔꯥꯏꯗ</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ꯎꯠꯂꯕꯗ</w:t>
      </w:r>
      <w:r>
        <w:rPr>
          <w:rFonts w:ascii="Times New Roman" w:hAnsi="Times New Roman" w:eastAsia="Times New Roman" w:cs="Times New Roman"/>
        </w:rPr>
        <w:t xml:space="preserve">, </w:t>
      </w:r>
      <w:r>
        <w:rPr>
          <w:rFonts w:ascii="Nirmala UI" w:hAnsi="Nirmala UI" w:eastAsia="Nirmala UI" w:cs="Nirmala UI"/>
        </w:rPr>
        <w:t>ꯄꯤꯇꯔꯒꯤ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ꯑꯣꯏꯕꯅ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ꯁꯦꯝꯒꯠꯂꯤ।</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ꯁꯥꯛꯁꯤꯒꯤ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ꯅꯝꯕꯔ</w:t>
      </w:r>
      <w:r>
        <w:rPr>
          <w:rFonts w:ascii="Times New Roman" w:hAnsi="Times New Roman" w:eastAsia="Times New Roman" w:cs="Times New Roman"/>
        </w:rPr>
        <w:t xml:space="preserve"> </w:t>
      </w:r>
      <w:r>
        <w:rPr>
          <w:rFonts w:ascii="Nirmala UI" w:hAnsi="Nirmala UI" w:eastAsia="Nirmala UI" w:cs="Nirmala UI"/>
        </w:rPr>
        <w:t>ꯇ꯭ꯋꯦꯜꯞ</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ꯇ꯭ꯋꯦꯜꯞ</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ꯄꯨꯟꯁꯤꯟꯅꯕ</w:t>
      </w:r>
      <w:r>
        <w:rPr>
          <w:rFonts w:ascii="Times New Roman" w:hAnsi="Times New Roman" w:eastAsia="Times New Roman" w:cs="Times New Roman"/>
        </w:rPr>
        <w:t xml:space="preserve"> </w:t>
      </w:r>
      <w:r>
        <w:rPr>
          <w:rFonts w:ascii="Nirmala UI" w:hAnsi="Nirmala UI" w:eastAsia="Nirmala UI" w:cs="Nirmala UI"/>
        </w:rPr>
        <w:t>ꯔꯣꯞ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ꯃꯦꯊ꯭ꯌꯨꯒꯤ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ꯅꯝꯕꯔ</w:t>
      </w:r>
      <w:r>
        <w:rPr>
          <w:rFonts w:ascii="Times New Roman" w:hAnsi="Times New Roman" w:eastAsia="Times New Roman" w:cs="Times New Roman"/>
        </w:rPr>
        <w:t xml:space="preserve"> </w:t>
      </w:r>
      <w:r>
        <w:rPr>
          <w:rFonts w:ascii="Nirmala UI" w:hAnsi="Nirmala UI" w:eastAsia="Nirmala UI" w:cs="Nirmala UI"/>
        </w:rPr>
        <w:t>ꯇ꯭ꯋꯦꯜꯞꯀꯤ</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ꯃꯦꯊ꯭ꯌꯨꯒꯤ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ꯇ꯭ꯋꯦꯜꯞ</w:t>
      </w:r>
      <w:r>
        <w:rPr>
          <w:rFonts w:ascii="Times New Roman" w:hAnsi="Times New Roman" w:eastAsia="Times New Roman" w:cs="Times New Roman"/>
        </w:rPr>
        <w:t xml:space="preserve"> </w:t>
      </w:r>
      <w:r>
        <w:rPr>
          <w:rFonts w:ascii="Nirmala UI" w:hAnsi="Nirmala UI" w:eastAsia="Nirmala UI" w:cs="Nirmala UI"/>
        </w:rPr>
        <w:t>ꯑꯇꯣꯞꯄꯁꯤꯡ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ꯆꯥꯟꯅꯔꯛꯄ</w:t>
      </w:r>
      <w:r>
        <w:rPr>
          <w:rFonts w:ascii="Times New Roman" w:hAnsi="Times New Roman" w:eastAsia="Times New Roman" w:cs="Times New Roman"/>
        </w:rPr>
        <w:t xml:space="preserve"> </w:t>
      </w:r>
      <w:r>
        <w:rPr>
          <w:rFonts w:ascii="Nirmala UI" w:hAnsi="Nirmala UI" w:eastAsia="Nirmala UI" w:cs="Nirmala UI"/>
        </w:rPr>
        <w:t>ꯑꯣꯏꯒꯗꯕꯅꯤ।</w:t>
      </w:r>
    </w:p>
    <w:p>
      <w:pPr>
        <w:pStyle w:val="ArticleBody"/>
        <w:jc w:val="left"/>
      </w:pPr>
      <w:r>
        <w:rPr>
          <w:rFonts w:ascii="Nirmala UI" w:hAnsi="Nirmala UI" w:eastAsia="Nirmala UI" w:cs="Nirmala UI"/>
        </w:rPr>
        <w:t>दाउद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समुच्चय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दुगुनाई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दुगुनाई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144,000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दुगुना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दुगुनाइयाँ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दुगुनाई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Les chapitres onze à vingt-deux représentent le deuxième ange d’Apocalypse quatorze. Dix est symbolique d’une épreuve, et la première de trois épreuves est constituée par les dix premiers chapitres de Matthieu. « Dix » symbolise une épreuve. Parce que Matthieu est l’alpha de l’oméga de l’Apocalypse, le chapitre un de l’un comme de l’autre livre commence par une révélation de Jésus-Christ. Au chapitre un, Joseph est mis à l’épreuve quant à savoir s’il croira ou non l’ange. Son pendant était Zacharie, le père de Jean-Baptiste, qui ne crut pas et échoua à la même épreuve. L’un accepta une naissance providentielle, l’autre en douta.</w:t>
      </w:r>
    </w:p>
    <w:p>
      <w:pPr>
        <w:pStyle w:val="ArticleBody"/>
        <w:jc w:val="left"/>
      </w:pPr>
      <w:r>
        <w:rPr>
          <w:rFonts w:ascii="Times New Roman" w:hAnsi="Times New Roman" w:eastAsia="Times New Roman" w:cs="Times New Roman"/>
        </w:rPr>
        <w:t>Dans le chapitre deux, Hérode craignit la naissance d’un nouveau roi, et Joseph et Marie s’enfuirent en Égypte. Jean-Baptiste apporta la première épreuve au chapitre trois, une première épreuve que Sœur White identifie comme une épreuve de vie ou de mort, car elle écrivit que « ceux qui rejetèrent le message de Jean ne pouvaient être rendus participants des bienfaits de Jésus ». Le premier ange est un message d’épreuve qui appelle les hommes, comme Jean le fit, à craindre Dieu, car l’heure du jugement de Dieu vient. Cela est représenté par Jean lorsqu’il demanda : « qui vous a avertis de fuir la colère à venir ? »</w:t>
      </w:r>
    </w:p>
    <w:p>
      <w:pPr>
        <w:pStyle w:val="ArticleBody"/>
        <w:jc w:val="left"/>
      </w:pPr>
      <w:r>
        <w:rPr>
          <w:rFonts w:ascii="Times New Roman" w:hAnsi="Times New Roman" w:eastAsia="Times New Roman" w:cs="Times New Roman"/>
        </w:rPr>
        <w:t>Afei i stap long japta foa, Jisas i stap pas long foti dei we i pinis wetem tri difren tes, from tri tes ya oltaem oli representem long mesej blong fas enjel. Afta Jisas i stat blong bildimap ol fandesen taem Hem i jusum ol disaepol blong Hem, from wetem Esra mo Nehemaea, oli bin putum ol fandesen blong tempol long histri blong fas dikri, mo wetem ol Milerait, oli putum ol fandesen long histri blong fas enjel. Ol fandesen ya hem i ol Bietitud, mo afta i kam ol merikel blong Hem we oli lid i go long taem we Hem i sanem i go aot ol twelef disaepol kasem en blong japta ten. Naoia ol twelef disaepol oli stap finis long ples blong olgeta, mo inspirasen i talem se ol disaepol oli hemia fandesen blong Kristin jos. Long japta ileven, ol fandesen oli finis.</w:t>
      </w:r>
    </w:p>
    <w:p>
      <w:pPr>
        <w:pStyle w:val="ArticleBody"/>
        <w:jc w:val="left"/>
      </w:pPr>
      <w:r>
        <w:rPr>
          <w:rFonts w:ascii="Nirmala UI" w:hAnsi="Nirmala UI" w:eastAsia="Nirmala UI" w:cs="Nirmala UI"/>
        </w:rPr>
        <w:t>අධ್ಯಾಯ</w:t>
      </w:r>
      <w:r>
        <w:rPr>
          <w:rFonts w:ascii="Times New Roman" w:hAnsi="Times New Roman" w:eastAsia="Times New Roman" w:cs="Times New Roman"/>
        </w:rPr>
        <w:t xml:space="preserve"> </w:t>
      </w:r>
      <w:r>
        <w:rPr>
          <w:rFonts w:ascii="Nirmala UI" w:hAnsi="Nirmala UI" w:eastAsia="Nirmala UI" w:cs="Nirmala UI"/>
        </w:rPr>
        <w:t>එකොළහේදී</w:t>
      </w:r>
      <w:r>
        <w:rPr>
          <w:rFonts w:ascii="Times New Roman" w:hAnsi="Times New Roman" w:eastAsia="Times New Roman" w:cs="Times New Roman"/>
        </w:rPr>
        <w:t xml:space="preserve"> </w:t>
      </w:r>
      <w:r>
        <w:rPr>
          <w:rFonts w:ascii="Nirmala UI" w:hAnsi="Nirmala UI" w:eastAsia="Nirmala UI" w:cs="Nirmala UI"/>
        </w:rPr>
        <w:t>ශ්</w:t>
      </w:r>
      <w:r>
        <w:rPr>
          <w:rFonts w:ascii="Times New Roman" w:hAnsi="Times New Roman" w:eastAsia="Times New Roman" w:cs="Times New Roman"/>
        </w:rPr>
        <w:t>‍</w:t>
      </w:r>
      <w:r>
        <w:rPr>
          <w:rFonts w:ascii="Nirmala UI" w:hAnsi="Nirmala UI" w:eastAsia="Nirmala UI" w:cs="Nirmala UI"/>
        </w:rPr>
        <w:t>රාවකයෝ</w:t>
      </w:r>
      <w:r>
        <w:rPr>
          <w:rFonts w:ascii="Times New Roman" w:hAnsi="Times New Roman" w:eastAsia="Times New Roman" w:cs="Times New Roman"/>
        </w:rPr>
        <w:t xml:space="preserve"> </w:t>
      </w:r>
      <w:r>
        <w:rPr>
          <w:rFonts w:ascii="Nirmala UI" w:hAnsi="Nirmala UI" w:eastAsia="Nirmala UI" w:cs="Nirmala UI"/>
        </w:rPr>
        <w:t>ස්වයංවම</w:t>
      </w:r>
      <w:r>
        <w:rPr>
          <w:rFonts w:ascii="Times New Roman" w:hAnsi="Times New Roman" w:eastAsia="Times New Roman" w:cs="Times New Roman"/>
        </w:rPr>
        <w:t xml:space="preserve"> </w:t>
      </w:r>
      <w:r>
        <w:rPr>
          <w:rFonts w:ascii="Nirmala UI" w:hAnsi="Nirmala UI" w:eastAsia="Nirmala UI" w:cs="Nirmala UI"/>
        </w:rPr>
        <w:t>සේවාවෙහි</w:t>
      </w:r>
      <w:r>
        <w:rPr>
          <w:rFonts w:ascii="Times New Roman" w:hAnsi="Times New Roman" w:eastAsia="Times New Roman" w:cs="Times New Roman"/>
        </w:rPr>
        <w:t xml:space="preserve"> </w:t>
      </w:r>
      <w:r>
        <w:rPr>
          <w:rFonts w:ascii="Nirmala UI" w:hAnsi="Nirmala UI" w:eastAsia="Nirmala UI" w:cs="Nirmala UI"/>
        </w:rPr>
        <w:t>නියැලෙති</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තනිව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එමඟින්</w:t>
      </w:r>
      <w:r>
        <w:rPr>
          <w:rFonts w:ascii="Times New Roman" w:hAnsi="Times New Roman" w:eastAsia="Times New Roman" w:cs="Times New Roman"/>
        </w:rPr>
        <w:t xml:space="preserve"> </w:t>
      </w:r>
      <w:r>
        <w:rPr>
          <w:rFonts w:ascii="Nirmala UI" w:hAnsi="Nirmala UI" w:eastAsia="Nirmala UI" w:cs="Nirmala UI"/>
        </w:rPr>
        <w:t>අධ್ಯಾಯ</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එකොළහ</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විච්ඡේදයක්</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අධ್ಯಾಯ</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පැමිණීමේදී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බෙදීමක්</w:t>
      </w:r>
      <w:r>
        <w:rPr>
          <w:rFonts w:ascii="Times New Roman" w:hAnsi="Times New Roman" w:eastAsia="Times New Roman" w:cs="Times New Roman"/>
        </w:rPr>
        <w:t xml:space="preserve">, </w:t>
      </w:r>
      <w:r>
        <w:rPr>
          <w:rFonts w:ascii="Nirmala UI" w:hAnsi="Nirmala UI" w:eastAsia="Nirmala UI" w:cs="Nirmala UI"/>
        </w:rPr>
        <w:t>වෙන්කිරීමක්</w:t>
      </w:r>
      <w:r>
        <w:rPr>
          <w:rFonts w:ascii="Times New Roman" w:hAnsi="Times New Roman" w:eastAsia="Times New Roman" w:cs="Times New Roman"/>
        </w:rPr>
        <w:t xml:space="preserve"> </w:t>
      </w:r>
      <w:r>
        <w:rPr>
          <w:rFonts w:ascii="Nirmala UI" w:hAnsi="Nirmala UI" w:eastAsia="Nirmala UI" w:cs="Nirmala UI"/>
        </w:rPr>
        <w:t>උපදවයි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මිලර්වරුන්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w:t>
      </w:r>
      <w:r>
        <w:rPr>
          <w:rFonts w:ascii="Times New Roman" w:hAnsi="Times New Roman" w:eastAsia="Times New Roman" w:cs="Times New Roman"/>
        </w:rPr>
        <w:t>‍</w:t>
      </w:r>
      <w:r>
        <w:rPr>
          <w:rFonts w:ascii="Nirmala UI" w:hAnsi="Nirmala UI" w:eastAsia="Nirmala UI" w:cs="Nirmala UI"/>
        </w:rPr>
        <w:t>රිකයන්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මෙන්ය</w:t>
      </w:r>
      <w:r>
        <w:rPr>
          <w:rFonts w:ascii="Times New Roman" w:hAnsi="Times New Roman" w:eastAsia="Times New Roman" w:cs="Times New Roman"/>
        </w:rPr>
        <w:t xml:space="preserve">. </w:t>
      </w:r>
      <w:r>
        <w:rPr>
          <w:rFonts w:ascii="Nirmala UI" w:hAnsi="Nirmala UI" w:eastAsia="Nirmala UI" w:cs="Nirmala UI"/>
        </w:rPr>
        <w:t>අධ್ಯಾಯ</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ශ්</w:t>
      </w:r>
      <w:r>
        <w:rPr>
          <w:rFonts w:ascii="Times New Roman" w:hAnsi="Times New Roman" w:eastAsia="Times New Roman" w:cs="Times New Roman"/>
        </w:rPr>
        <w:t>‍</w:t>
      </w:r>
      <w:r>
        <w:rPr>
          <w:rFonts w:ascii="Nirmala UI" w:hAnsi="Nirmala UI" w:eastAsia="Nirmala UI" w:cs="Nirmala UI"/>
        </w:rPr>
        <w:t>රාවකයන්ගෙන්</w:t>
      </w:r>
      <w:r>
        <w:rPr>
          <w:rFonts w:ascii="Times New Roman" w:hAnsi="Times New Roman" w:eastAsia="Times New Roman" w:cs="Times New Roman"/>
        </w:rPr>
        <w:t xml:space="preserve"> </w:t>
      </w:r>
      <w:r>
        <w:rPr>
          <w:rFonts w:ascii="Nirmala UI" w:hAnsi="Nirmala UI" w:eastAsia="Nirmala UI" w:cs="Nirmala UI"/>
        </w:rPr>
        <w:t>වෙන්වීමෙන්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අධ್ಯಾಯ</w:t>
      </w:r>
      <w:r>
        <w:rPr>
          <w:rFonts w:ascii="Times New Roman" w:hAnsi="Times New Roman" w:eastAsia="Times New Roman" w:cs="Times New Roman"/>
        </w:rPr>
        <w:t xml:space="preserve"> </w:t>
      </w:r>
      <w:r>
        <w:rPr>
          <w:rFonts w:ascii="Nirmala UI" w:hAnsi="Nirmala UI" w:eastAsia="Nirmala UI" w:cs="Nirmala UI"/>
        </w:rPr>
        <w:t>එකොළහේදී</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තනිව</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chapitres onze à vingt-deux représentent le deuxième ange, conduisant aux chapitres vingt-trois à vingt-huit comme la troisième ligne du troisième ange. Bien entendu, le troisième ange arrive à la loi du dimanche, ce que représente la Pâque des chapitres vingt-six à vingt-huit. « 23 » est le symbole de l’expiation, et le premier de ces six chapitres représente le message du premier ange, tandis que les trois derniers chapitres représentent le message du troisième ange. Les deux chapitres au milieu (24 &amp; 25) représentent le deuxième ange. Les trois derniers chapitres contiennent « 23 » jalons spécifiques, alignant le chapitre « 23 », comme le premier ange ou le commencement, et les chapitres vingt-six à vingt-huit comme le troisième, avec « 23 » jalons. Le chapitre 23 est le premier ange, les deux chapitres suivants sont le deuxième ange, et les trois derniers chapitres sont le troisième ange.</w:t>
      </w:r>
    </w:p>
    <w:p>
      <w:pPr>
        <w:pStyle w:val="ArticleBody"/>
        <w:jc w:val="left"/>
      </w:pPr>
      <w:r>
        <w:rPr>
          <w:rFonts w:ascii="Times New Roman" w:hAnsi="Times New Roman" w:eastAsia="Times New Roman" w:cs="Times New Roman"/>
        </w:rPr>
        <w:t>Matthäus</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선은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단계로</w:t>
      </w:r>
      <w:r>
        <w:rPr>
          <w:rFonts w:ascii="Times New Roman" w:hAnsi="Times New Roman" w:eastAsia="Times New Roman" w:cs="Times New Roman"/>
        </w:rPr>
        <w:t xml:space="preserve"> </w:t>
      </w:r>
      <w:r>
        <w:rPr>
          <w:rFonts w:ascii="Malgun Gothic" w:hAnsi="Malgun Gothic" w:eastAsia="Malgun Gothic" w:cs="Malgun Gothic"/>
        </w:rPr>
        <w:t>나뉜다</w:t>
      </w:r>
      <w:r>
        <w:rPr>
          <w:rFonts w:ascii="Times New Roman" w:hAnsi="Times New Roman" w:eastAsia="Times New Roman" w:cs="Times New Roman"/>
        </w:rPr>
        <w:t>. 23</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단계이며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천사이다</w:t>
      </w:r>
      <w:r>
        <w:rPr>
          <w:rFonts w:ascii="Times New Roman" w:hAnsi="Times New Roman" w:eastAsia="Times New Roman" w:cs="Times New Roman"/>
        </w:rPr>
        <w:t>. 24</w:t>
      </w:r>
      <w:r>
        <w:rPr>
          <w:rFonts w:ascii="Malgun Gothic" w:hAnsi="Malgun Gothic" w:eastAsia="Malgun Gothic" w:cs="Malgun Gothic"/>
        </w:rPr>
        <w:t>장과</w:t>
      </w:r>
      <w:r>
        <w:rPr>
          <w:rFonts w:ascii="Times New Roman" w:hAnsi="Times New Roman" w:eastAsia="Times New Roman" w:cs="Times New Roman"/>
        </w:rPr>
        <w:t xml:space="preserve"> 25</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단계이며</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천사이다</w:t>
      </w:r>
      <w:r>
        <w:rPr>
          <w:rFonts w:ascii="Times New Roman" w:hAnsi="Times New Roman" w:eastAsia="Times New Roman" w:cs="Times New Roman"/>
        </w:rPr>
        <w:t>. 26</w:t>
      </w:r>
      <w:r>
        <w:rPr>
          <w:rFonts w:ascii="Malgun Gothic" w:hAnsi="Malgun Gothic" w:eastAsia="Malgun Gothic" w:cs="Malgun Gothic"/>
        </w:rPr>
        <w:t>장</w:t>
      </w:r>
      <w:r>
        <w:rPr>
          <w:rFonts w:ascii="Times New Roman" w:hAnsi="Times New Roman" w:eastAsia="Times New Roman" w:cs="Times New Roman"/>
        </w:rPr>
        <w:t>, 27</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28</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단계이며</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천사이다</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천사에는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천사에는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천사에는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장이</w:t>
      </w:r>
      <w:r>
        <w:rPr>
          <w:rFonts w:ascii="Times New Roman" w:hAnsi="Times New Roman" w:eastAsia="Times New Roman" w:cs="Times New Roman"/>
        </w:rPr>
        <w:t xml:space="preserve"> </w:t>
      </w:r>
      <w:r>
        <w:rPr>
          <w:rFonts w:ascii="Malgun Gothic" w:hAnsi="Malgun Gothic" w:eastAsia="Malgun Gothic" w:cs="Malgun Gothic"/>
        </w:rPr>
        <w:t>해당한다</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유월절이며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십자가를</w:t>
      </w:r>
      <w:r>
        <w:rPr>
          <w:rFonts w:ascii="Times New Roman" w:hAnsi="Times New Roman" w:eastAsia="Times New Roman" w:cs="Times New Roman"/>
        </w:rPr>
        <w:t xml:space="preserve"> </w:t>
      </w:r>
      <w:r>
        <w:rPr>
          <w:rFonts w:ascii="Malgun Gothic" w:hAnsi="Malgun Gothic" w:eastAsia="Malgun Gothic" w:cs="Malgun Gothic"/>
        </w:rPr>
        <w:t>상징하고</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말해</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법과</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오순절로도</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Pentecôte est le nombre 50, et 50 est le symbole du Jubilé. Le Jubilé comprend une quarante-neuvième année, la fin du septième cycle de sept années. Le nombre 49 précède le nombre 50, mais lui est directement lié. La troisième ligne dans Matthieu commence au chapitre 23, puis elle est suivie de deux chapitres (24, 25) dont la somme est de 49, juste avant le troisième ange qui représente le nombre 50.</w:t>
      </w:r>
    </w:p>
    <w:p>
      <w:pPr>
        <w:pStyle w:val="ArticleBody"/>
        <w:jc w:val="left"/>
      </w:pPr>
      <w:r>
        <w:rPr>
          <w:rFonts w:ascii="Times New Roman" w:hAnsi="Times New Roman" w:eastAsia="Times New Roman" w:cs="Times New Roman"/>
        </w:rPr>
        <w:t>L’inin de la lingie de sîs chapitris al è “23” e la fin e je “23” marcs cronologjics, e la cifre che e risulte de la some dal capitul 26 cun il 27 e il 28 e fâs “81”, che al è un simbul dai predis inserît tai stes versets che a identificjin il spandiment dal sanc che il Somi Predi Celesti al varès doprât tal so ministeri som-prestidâl. Par cheste reson, il titul dal capitul “81” in The Desire of Ages si fonde su Matteu 28.</w:t>
      </w:r>
    </w:p>
    <w:p>
      <w:pPr>
        <w:pStyle w:val="ArticleScripture"/>
        <w:jc w:val="left"/>
      </w:pPr>
      <w:r>
        <w:rPr>
          <w:rFonts w:ascii="Times New Roman" w:hAnsi="Times New Roman" w:eastAsia="Times New Roman" w:cs="Times New Roman"/>
        </w:rPr>
        <w:t>«Chapitre 81 — “Le Seigneur est ressuscité”»</w:t>
      </w:r>
    </w:p>
    <w:p>
      <w:pPr>
        <w:pStyle w:val="ArticleScripture"/>
        <w:jc w:val="left"/>
      </w:pPr>
      <w:r>
        <w:rPr>
          <w:rFonts w:ascii="Times New Roman" w:hAnsi="Times New Roman" w:eastAsia="Times New Roman" w:cs="Times New Roman"/>
        </w:rPr>
        <w:t>« Ce chapitre est fondé sur Matthieu 28:2–4, 11–15. » Jésus-Christ, 780.</w:t>
      </w:r>
    </w:p>
    <w:p>
      <w:pPr>
        <w:pStyle w:val="ArticleBody"/>
        <w:jc w:val="left"/>
      </w:pPr>
      <w:r>
        <w:rPr>
          <w:rFonts w:ascii="Ebrima" w:hAnsi="Ebrima" w:eastAsia="Ebrima" w:cs="Ebrima"/>
        </w:rPr>
        <w:t>የ</w:t>
      </w:r>
      <w:r>
        <w:rPr>
          <w:rFonts w:ascii="Times New Roman" w:hAnsi="Times New Roman" w:eastAsia="Times New Roman" w:cs="Times New Roman"/>
        </w:rPr>
        <w:t xml:space="preserve">“81”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ክህነትን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በዘሌዋውያን</w:t>
      </w:r>
      <w:r>
        <w:rPr>
          <w:rFonts w:ascii="Times New Roman" w:hAnsi="Times New Roman" w:eastAsia="Times New Roman" w:cs="Times New Roman"/>
        </w:rPr>
        <w:t xml:space="preserve"> 8 </w:t>
      </w:r>
      <w:r>
        <w:rPr>
          <w:rFonts w:ascii="Ebrima" w:hAnsi="Ebrima" w:eastAsia="Ebrima" w:cs="Ebrima"/>
        </w:rPr>
        <w:t>ውስጥም</w:t>
      </w:r>
      <w:r>
        <w:rPr>
          <w:rFonts w:ascii="Times New Roman" w:hAnsi="Times New Roman" w:eastAsia="Times New Roman" w:cs="Times New Roman"/>
        </w:rPr>
        <w:t xml:space="preserve"> </w:t>
      </w:r>
      <w:r>
        <w:rPr>
          <w:rFonts w:ascii="Ebrima" w:hAnsi="Ebrima" w:eastAsia="Ebrima" w:cs="Ebrima"/>
        </w:rPr>
        <w:t>የካህናት</w:t>
      </w:r>
      <w:r>
        <w:rPr>
          <w:rFonts w:ascii="Times New Roman" w:hAnsi="Times New Roman" w:eastAsia="Times New Roman" w:cs="Times New Roman"/>
        </w:rPr>
        <w:t xml:space="preserve"> </w:t>
      </w:r>
      <w:r>
        <w:rPr>
          <w:rFonts w:ascii="Ebrima" w:hAnsi="Ebrima" w:eastAsia="Ebrima" w:cs="Ebrima"/>
        </w:rPr>
        <w:t>የሰባቱ</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መቀደስ</w:t>
      </w:r>
      <w:r>
        <w:rPr>
          <w:rFonts w:ascii="Times New Roman" w:hAnsi="Times New Roman" w:eastAsia="Times New Roman" w:cs="Times New Roman"/>
        </w:rPr>
        <w:t xml:space="preserve"> </w:t>
      </w:r>
      <w:r>
        <w:rPr>
          <w:rFonts w:ascii="Ebrima" w:hAnsi="Ebrima" w:eastAsia="Ebrima" w:cs="Ebrima"/>
        </w:rPr>
        <w:t>ተቀርቦአል።</w:t>
      </w:r>
      <w:r>
        <w:rPr>
          <w:rFonts w:ascii="Times New Roman" w:hAnsi="Times New Roman" w:eastAsia="Times New Roman" w:cs="Times New Roman"/>
        </w:rPr>
        <w:t xml:space="preserve"> </w:t>
      </w:r>
      <w:r>
        <w:rPr>
          <w:rFonts w:ascii="Ebrima" w:hAnsi="Ebrima" w:eastAsia="Ebrima" w:cs="Ebrima"/>
        </w:rPr>
        <w:t>በዘኍልቍ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8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የሌዋውያን</w:t>
      </w:r>
      <w:r>
        <w:rPr>
          <w:rFonts w:ascii="Times New Roman" w:hAnsi="Times New Roman" w:eastAsia="Times New Roman" w:cs="Times New Roman"/>
        </w:rPr>
        <w:t xml:space="preserve"> </w:t>
      </w:r>
      <w:r>
        <w:rPr>
          <w:rFonts w:ascii="Ebrima" w:hAnsi="Ebrima" w:eastAsia="Ebrima" w:cs="Ebrima"/>
        </w:rPr>
        <w:t>መንጻት</w:t>
      </w:r>
      <w:r>
        <w:rPr>
          <w:rFonts w:ascii="Times New Roman" w:hAnsi="Times New Roman" w:eastAsia="Times New Roman" w:cs="Times New Roman"/>
        </w:rPr>
        <w:t xml:space="preserve"> </w:t>
      </w:r>
      <w:r>
        <w:rPr>
          <w:rFonts w:ascii="Ebrima" w:hAnsi="Ebrima" w:eastAsia="Ebrima" w:cs="Ebrima"/>
        </w:rPr>
        <w:t>ተቀርቦአል።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መዋዕል፣</w:t>
      </w:r>
      <w:r>
        <w:rPr>
          <w:rFonts w:ascii="Times New Roman" w:hAnsi="Times New Roman" w:eastAsia="Times New Roman" w:cs="Times New Roman"/>
        </w:rPr>
        <w:t xml:space="preserve"> “81” </w:t>
      </w:r>
      <w:r>
        <w:rPr>
          <w:rFonts w:ascii="Ebrima" w:hAnsi="Ebrima" w:eastAsia="Ebrima" w:cs="Ebrima"/>
        </w:rPr>
        <w:t>ካህናት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ዖዝያንን</w:t>
      </w:r>
      <w:r>
        <w:rPr>
          <w:rFonts w:ascii="Times New Roman" w:hAnsi="Times New Roman" w:eastAsia="Times New Roman" w:cs="Times New Roman"/>
        </w:rPr>
        <w:t xml:space="preserve"> </w:t>
      </w:r>
      <w:r>
        <w:rPr>
          <w:rFonts w:ascii="Ebrima" w:hAnsi="Ebrima" w:eastAsia="Ebrima" w:cs="Ebrima"/>
        </w:rPr>
        <w:t>ይቃወማሉ፤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መልእክትን</w:t>
      </w:r>
      <w:r>
        <w:rPr>
          <w:rFonts w:ascii="Times New Roman" w:hAnsi="Times New Roman" w:eastAsia="Times New Roman" w:cs="Times New Roman"/>
        </w:rPr>
        <w:t xml:space="preserve"> </w:t>
      </w:r>
      <w:r>
        <w:rPr>
          <w:rFonts w:ascii="Ebrima" w:hAnsi="Ebrima" w:eastAsia="Ebrima" w:cs="Ebrima"/>
        </w:rPr>
        <w:t>ለማቋቋም</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ያበረክታል።</w:t>
      </w:r>
    </w:p>
    <w:p>
      <w:pPr>
        <w:pStyle w:val="ArticleScripture"/>
        <w:jc w:val="left"/>
      </w:pP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ਬਲਵਾਨ</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ਘਮੰਡ</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ਚੜ੍ਹ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ਅਪਰਾਧ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ਧੂਪ</w:t>
      </w:r>
      <w:r>
        <w:rPr>
          <w:rFonts w:ascii="Times New Roman" w:hAnsi="Times New Roman" w:eastAsia="Times New Roman" w:cs="Times New Roman"/>
        </w:rPr>
        <w:t xml:space="preserve"> </w:t>
      </w:r>
      <w:r>
        <w:rPr>
          <w:rFonts w:ascii="Nirmala UI" w:hAnsi="Nirmala UI" w:eastAsia="Nirmala UI" w:cs="Nirmala UI"/>
        </w:rPr>
        <w:t>ਸਾੜਨ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ਅਜ਼ਰਿਆਹ</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ਸ਼ੂਰਵੀਰ</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ਉਜ਼ਜ਼ਿਆਹ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ਡਟ</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ਉਜ਼ਜ਼ਿਆਹ</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ਧੂਪ</w:t>
      </w:r>
      <w:r>
        <w:rPr>
          <w:rFonts w:ascii="Times New Roman" w:hAnsi="Times New Roman" w:eastAsia="Times New Roman" w:cs="Times New Roman"/>
        </w:rPr>
        <w:t xml:space="preserve"> </w:t>
      </w:r>
      <w:r>
        <w:rPr>
          <w:rFonts w:ascii="Nirmala UI" w:hAnsi="Nirmala UI" w:eastAsia="Nirmala UI" w:cs="Nirmala UI"/>
        </w:rPr>
        <w:t>ਸਾੜਨਾ</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ਧੂਪ</w:t>
      </w:r>
      <w:r>
        <w:rPr>
          <w:rFonts w:ascii="Times New Roman" w:hAnsi="Times New Roman" w:eastAsia="Times New Roman" w:cs="Times New Roman"/>
        </w:rPr>
        <w:t xml:space="preserve"> </w:t>
      </w:r>
      <w:r>
        <w:rPr>
          <w:rFonts w:ascii="Nirmala UI" w:hAnsi="Nirmala UI" w:eastAsia="Nirmala UI" w:cs="Nirmala UI"/>
        </w:rPr>
        <w:t>ਸਾੜਨ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ਅਪਰਾਧ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ចំណែកអ៊ូស៊ីយ៉ាទ្រង់មានព្រះពិរោធ</w:t>
      </w:r>
      <w:r>
        <w:rPr>
          <w:rFonts w:ascii="Times New Roman" w:hAnsi="Times New Roman" w:eastAsia="Times New Roman" w:cs="Times New Roman"/>
        </w:rPr>
        <w:t xml:space="preserve"> </w:t>
      </w:r>
      <w:r>
        <w:rPr>
          <w:rFonts w:ascii="Leelawadee UI" w:hAnsi="Leelawadee UI" w:eastAsia="Leelawadee UI" w:cs="Leelawadee UI"/>
        </w:rPr>
        <w:t>ហើយកាន់កំអួតធូបនៅក្នុងព្រះហស្ត</w:t>
      </w:r>
      <w:r>
        <w:rPr>
          <w:rFonts w:ascii="Times New Roman" w:hAnsi="Times New Roman" w:eastAsia="Times New Roman" w:cs="Times New Roman"/>
        </w:rPr>
        <w:t xml:space="preserve"> </w:t>
      </w:r>
      <w:r>
        <w:rPr>
          <w:rFonts w:ascii="Leelawadee UI" w:hAnsi="Leelawadee UI" w:eastAsia="Leelawadee UI" w:cs="Leelawadee UI"/>
        </w:rPr>
        <w:t>ដើម្បីដុតធូប</w:t>
      </w:r>
      <w:r>
        <w:rPr>
          <w:rFonts w:ascii="Times New Roman" w:hAnsi="Times New Roman" w:eastAsia="Times New Roman" w:cs="Times New Roman"/>
        </w:rPr>
        <w:t xml:space="preserve">; </w:t>
      </w:r>
      <w:r>
        <w:rPr>
          <w:rFonts w:ascii="Leelawadee UI" w:hAnsi="Leelawadee UI" w:eastAsia="Leelawadee UI" w:cs="Leelawadee UI"/>
        </w:rPr>
        <w:t>ហើយខណៈដែលទ្រង់មានព្រះពិរោធនឹងពួកសង្ឃ</w:t>
      </w:r>
      <w:r>
        <w:rPr>
          <w:rFonts w:ascii="Times New Roman" w:hAnsi="Times New Roman" w:eastAsia="Times New Roman" w:cs="Times New Roman"/>
        </w:rPr>
        <w:t xml:space="preserve"> </w:t>
      </w:r>
      <w:r>
        <w:rPr>
          <w:rFonts w:ascii="Leelawadee UI" w:hAnsi="Leelawadee UI" w:eastAsia="Leelawadee UI" w:cs="Leelawadee UI"/>
        </w:rPr>
        <w:t>នោះជំងឺឃ្លង់ក៏ផុសឡើងនៅលើថ្ងាសរបស់ទ្រង់</w:t>
      </w:r>
      <w:r>
        <w:rPr>
          <w:rFonts w:ascii="Times New Roman" w:hAnsi="Times New Roman" w:eastAsia="Times New Roman" w:cs="Times New Roman"/>
        </w:rPr>
        <w:t xml:space="preserve"> </w:t>
      </w:r>
      <w:r>
        <w:rPr>
          <w:rFonts w:ascii="Leelawadee UI" w:hAnsi="Leelawadee UI" w:eastAsia="Leelawadee UI" w:cs="Leelawadee UI"/>
        </w:rPr>
        <w:t>នៅចំពោះមុខពួកសង្ឃ</w:t>
      </w:r>
      <w:r>
        <w:rPr>
          <w:rFonts w:ascii="Times New Roman" w:hAnsi="Times New Roman" w:eastAsia="Times New Roman" w:cs="Times New Roman"/>
        </w:rPr>
        <w:t xml:space="preserve"> </w:t>
      </w:r>
      <w:r>
        <w:rPr>
          <w:rFonts w:ascii="Leelawadee UI" w:hAnsi="Leelawadee UI" w:eastAsia="Leelawadee UI" w:cs="Leelawadee UI"/>
        </w:rPr>
        <w:t>ក្នុងព្រះវិហារនៃព្រះយេហូវ៉ា</w:t>
      </w:r>
      <w:r>
        <w:rPr>
          <w:rFonts w:ascii="Times New Roman" w:hAnsi="Times New Roman" w:eastAsia="Times New Roman" w:cs="Times New Roman"/>
        </w:rPr>
        <w:t xml:space="preserve"> </w:t>
      </w:r>
      <w:r>
        <w:rPr>
          <w:rFonts w:ascii="Leelawadee UI" w:hAnsi="Leelawadee UI" w:eastAsia="Leelawadee UI" w:cs="Leelawadee UI"/>
        </w:rPr>
        <w:t>ពីក្បែរអាសនៈដុតធូប។</w:t>
      </w:r>
      <w:r>
        <w:rPr>
          <w:rFonts w:ascii="Times New Roman" w:hAnsi="Times New Roman" w:eastAsia="Times New Roman" w:cs="Times New Roman"/>
        </w:rPr>
        <w:t xml:space="preserve"> </w:t>
      </w:r>
      <w:r>
        <w:rPr>
          <w:rFonts w:ascii="Leelawadee UI" w:hAnsi="Leelawadee UI" w:eastAsia="Leelawadee UI" w:cs="Leelawadee UI"/>
        </w:rPr>
        <w:t>ហើយអាសារ្យា</w:t>
      </w:r>
      <w:r>
        <w:rPr>
          <w:rFonts w:ascii="Times New Roman" w:hAnsi="Times New Roman" w:eastAsia="Times New Roman" w:cs="Times New Roman"/>
        </w:rPr>
        <w:t xml:space="preserve"> </w:t>
      </w:r>
      <w:r>
        <w:rPr>
          <w:rFonts w:ascii="Leelawadee UI" w:hAnsi="Leelawadee UI" w:eastAsia="Leelawadee UI" w:cs="Leelawadee UI"/>
        </w:rPr>
        <w:t>ជាសម្ដេចសង្ឃ</w:t>
      </w:r>
      <w:r>
        <w:rPr>
          <w:rFonts w:ascii="Times New Roman" w:hAnsi="Times New Roman" w:eastAsia="Times New Roman" w:cs="Times New Roman"/>
        </w:rPr>
        <w:t xml:space="preserve"> </w:t>
      </w:r>
      <w:r>
        <w:rPr>
          <w:rFonts w:ascii="Leelawadee UI" w:hAnsi="Leelawadee UI" w:eastAsia="Leelawadee UI" w:cs="Leelawadee UI"/>
        </w:rPr>
        <w:t>និងពួកសង្ឃទាំងអស់</w:t>
      </w:r>
      <w:r>
        <w:rPr>
          <w:rFonts w:ascii="Times New Roman" w:hAnsi="Times New Roman" w:eastAsia="Times New Roman" w:cs="Times New Roman"/>
        </w:rPr>
        <w:t xml:space="preserve"> </w:t>
      </w:r>
      <w:r>
        <w:rPr>
          <w:rFonts w:ascii="Leelawadee UI" w:hAnsi="Leelawadee UI" w:eastAsia="Leelawadee UI" w:cs="Leelawadee UI"/>
        </w:rPr>
        <w:t>បានសម្លឹងមើលទ្រង់</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ទ្រង់មានជំងឺឃ្លង់នៅលើថ្ងាសរបស់ទ្រង់</w:t>
      </w:r>
      <w:r>
        <w:rPr>
          <w:rFonts w:ascii="Times New Roman" w:hAnsi="Times New Roman" w:eastAsia="Times New Roman" w:cs="Times New Roman"/>
        </w:rPr>
        <w:t xml:space="preserve">; </w:t>
      </w:r>
      <w:r>
        <w:rPr>
          <w:rFonts w:ascii="Leelawadee UI" w:hAnsi="Leelawadee UI" w:eastAsia="Leelawadee UI" w:cs="Leelawadee UI"/>
        </w:rPr>
        <w:t>នោះពួកគេក៏បណ្ដេញទ្រង់ចេញពីទីនោះយ៉ាងរហ័ស</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ទ្រង់ផ្ទាល់ក៏ប្រញាប់ចេញទៅដែរ</w:t>
      </w:r>
      <w:r>
        <w:rPr>
          <w:rFonts w:ascii="Times New Roman" w:hAnsi="Times New Roman" w:eastAsia="Times New Roman" w:cs="Times New Roman"/>
        </w:rPr>
        <w:t xml:space="preserve"> </w:t>
      </w:r>
      <w:r>
        <w:rPr>
          <w:rFonts w:ascii="Leelawadee UI" w:hAnsi="Leelawadee UI" w:eastAsia="Leelawadee UI" w:cs="Leelawadee UI"/>
        </w:rPr>
        <w:t>ពីព្រោះព្រះយេហូវ៉ាបានវាយប្រហារទ្រង់។</w:t>
      </w:r>
      <w:r>
        <w:rPr>
          <w:rFonts w:ascii="Times New Roman" w:hAnsi="Times New Roman" w:eastAsia="Times New Roman" w:cs="Times New Roman"/>
        </w:rPr>
        <w:t xml:space="preserve"> </w:t>
      </w:r>
      <w:r>
        <w:rPr>
          <w:rFonts w:ascii="Leelawadee UI" w:hAnsi="Leelawadee UI" w:eastAsia="Leelawadee UI" w:cs="Leelawadee UI"/>
        </w:rPr>
        <w:t>ហើយស្ដេចអ៊ូស៊ីយ៉ាទ្រង់មានជំងឺឃ្លង់រហូតដល់ថ្ងៃមរណភាពរបស់ទ្រង់</w:t>
      </w:r>
      <w:r>
        <w:rPr>
          <w:rFonts w:ascii="Times New Roman" w:hAnsi="Times New Roman" w:eastAsia="Times New Roman" w:cs="Times New Roman"/>
        </w:rPr>
        <w:t xml:space="preserve"> </w:t>
      </w:r>
      <w:r>
        <w:rPr>
          <w:rFonts w:ascii="Leelawadee UI" w:hAnsi="Leelawadee UI" w:eastAsia="Leelawadee UI" w:cs="Leelawadee UI"/>
        </w:rPr>
        <w:t>ហើយគង់នៅក្នុងផ្ទះដាច់ដោយឡែក</w:t>
      </w:r>
      <w:r>
        <w:rPr>
          <w:rFonts w:ascii="Times New Roman" w:hAnsi="Times New Roman" w:eastAsia="Times New Roman" w:cs="Times New Roman"/>
        </w:rPr>
        <w:t xml:space="preserve"> </w:t>
      </w:r>
      <w:r>
        <w:rPr>
          <w:rFonts w:ascii="Leelawadee UI" w:hAnsi="Leelawadee UI" w:eastAsia="Leelawadee UI" w:cs="Leelawadee UI"/>
        </w:rPr>
        <w:t>ដោយព្រោះទ្រង់ជាមនុស្សឃ្លង់</w:t>
      </w:r>
      <w:r>
        <w:rPr>
          <w:rFonts w:ascii="Times New Roman" w:hAnsi="Times New Roman" w:eastAsia="Times New Roman" w:cs="Times New Roman"/>
        </w:rPr>
        <w:t xml:space="preserve">; </w:t>
      </w:r>
      <w:r>
        <w:rPr>
          <w:rFonts w:ascii="Leelawadee UI" w:hAnsi="Leelawadee UI" w:eastAsia="Leelawadee UI" w:cs="Leelawadee UI"/>
        </w:rPr>
        <w:t>ពីព្រោះទ្រង់ត្រូវបានកាត់ផ្ដាច់ចេញពីព្រះវិហារនៃព្រះយេហូវ៉ា។</w:t>
      </w:r>
      <w:r>
        <w:rPr>
          <w:rFonts w:ascii="Times New Roman" w:hAnsi="Times New Roman" w:eastAsia="Times New Roman" w:cs="Times New Roman"/>
        </w:rPr>
        <w:t xml:space="preserve"> </w:t>
      </w:r>
      <w:r>
        <w:rPr>
          <w:rFonts w:ascii="Leelawadee UI" w:hAnsi="Leelawadee UI" w:eastAsia="Leelawadee UI" w:cs="Leelawadee UI"/>
        </w:rPr>
        <w:t>រីឯយ៉ូថាម</w:t>
      </w:r>
      <w:r>
        <w:rPr>
          <w:rFonts w:ascii="Times New Roman" w:hAnsi="Times New Roman" w:eastAsia="Times New Roman" w:cs="Times New Roman"/>
        </w:rPr>
        <w:t xml:space="preserve"> </w:t>
      </w:r>
      <w:r>
        <w:rPr>
          <w:rFonts w:ascii="Leelawadee UI" w:hAnsi="Leelawadee UI" w:eastAsia="Leelawadee UI" w:cs="Leelawadee UI"/>
        </w:rPr>
        <w:t>ជាបុត្រារបស់ទ្រង់</w:t>
      </w:r>
      <w:r>
        <w:rPr>
          <w:rFonts w:ascii="Times New Roman" w:hAnsi="Times New Roman" w:eastAsia="Times New Roman" w:cs="Times New Roman"/>
        </w:rPr>
        <w:t xml:space="preserve"> </w:t>
      </w:r>
      <w:r>
        <w:rPr>
          <w:rFonts w:ascii="Leelawadee UI" w:hAnsi="Leelawadee UI" w:eastAsia="Leelawadee UI" w:cs="Leelawadee UI"/>
        </w:rPr>
        <w:t>បានគ្រប់គ្រងលើវាំងរបស់ស្ដេច</w:t>
      </w:r>
      <w:r>
        <w:rPr>
          <w:rFonts w:ascii="Times New Roman" w:hAnsi="Times New Roman" w:eastAsia="Times New Roman" w:cs="Times New Roman"/>
        </w:rPr>
        <w:t xml:space="preserve"> </w:t>
      </w:r>
      <w:r>
        <w:rPr>
          <w:rFonts w:ascii="Leelawadee UI" w:hAnsi="Leelawadee UI" w:eastAsia="Leelawadee UI" w:cs="Leelawadee UI"/>
        </w:rPr>
        <w:t>ដោយជំនុំជម្រះប្រជាជននៃស្រុក។</w:t>
      </w:r>
      <w:r>
        <w:rPr>
          <w:rFonts w:ascii="Times New Roman" w:hAnsi="Times New Roman" w:eastAsia="Times New Roman" w:cs="Times New Roman"/>
        </w:rPr>
        <w:t xml:space="preserve"> 2 </w:t>
      </w:r>
      <w:r>
        <w:rPr>
          <w:rFonts w:ascii="Leelawadee UI" w:hAnsi="Leelawadee UI" w:eastAsia="Leelawadee UI" w:cs="Leelawadee UI"/>
        </w:rPr>
        <w:t>របាក្សត្រ</w:t>
      </w:r>
      <w:r>
        <w:rPr>
          <w:rFonts w:ascii="Times New Roman" w:hAnsi="Times New Roman" w:eastAsia="Times New Roman" w:cs="Times New Roman"/>
        </w:rPr>
        <w:t xml:space="preserve"> 26:16–21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Eighty-one comme symbole est associé aux prêtres qui s’opposèrent aux efforts d’Ozias pour offrir des sacrifices dans le sanctuaire. La structure prophétique du passage concernant Ozias s’aligne sur la structure prophétique de Daniel 11:11-12. Les deux passages désignent un roi du sud, dont le cœur s’élève à cause de victoires militaires, et en particulier de la récente victoire sur un roi du nord. Lorsque le verset 11 de Daniel 11 s’accomplit en la personne de Ptolémée à la bataille de Raphia, celui-ci, comme Ozias, chercha à offrir un sacrifice dans le sanctuaire à Jérusalem, mais il fut repoussé par les prêtres. Ligne sur ligne, les deux témoins identifient la guerre d’Ukraine qui est presque achevée.</w:t>
      </w:r>
    </w:p>
    <w:p>
      <w:pPr>
        <w:pStyle w:val="ArticleBody"/>
        <w:jc w:val="left"/>
      </w:pPr>
      <w:r>
        <w:rPr>
          <w:rFonts w:ascii="Times New Roman" w:hAnsi="Times New Roman" w:eastAsia="Times New Roman" w:cs="Times New Roman"/>
        </w:rPr>
        <w:t>Surah them baadnys jeh “The Desire of Ages,” t’eh bunnit er Matthew 28, as t’eh soilshaghey Creest goll seose dy chur toshiaght da’n obbyr echey myr Ard-saggyrt Niau.</w:t>
      </w:r>
    </w:p>
    <w:p>
      <w:pPr>
        <w:pStyle w:val="ArticleScripture"/>
        <w:jc w:val="left"/>
      </w:pPr>
      <w:r>
        <w:rPr>
          <w:rFonts w:ascii="Times New Roman" w:hAnsi="Times New Roman" w:eastAsia="Times New Roman" w:cs="Times New Roman"/>
        </w:rPr>
        <w:t>Казано накратко за онова, което изговорихме, ето главното: ние имаме такъв Първосвещеник, Който седна отдясно на престола на Величието в небесата. Евреи 8:1.</w:t>
      </w:r>
    </w:p>
    <w:p>
      <w:pPr>
        <w:pStyle w:val="ArticleBody"/>
        <w:jc w:val="left"/>
      </w:pPr>
      <w:r>
        <w:rPr>
          <w:rFonts w:ascii="Times New Roman" w:hAnsi="Times New Roman" w:eastAsia="Times New Roman" w:cs="Times New Roman"/>
        </w:rPr>
        <w:t>Le nombre « 81 » est un symbole des prêtres, et les chapitres 26, 27, 28 ; la troisième étape de la troisième ligne dans Matthieu totalise 81. La deuxième étape totalise 49 et la première étape est 23. Le nombre quatre-vingt-un représente 80 prêtres et un grand prêtre dans le témoignage d’Ozias. À ce niveau, les 80 prêtres sont humains, et le grand prêtre est Divin. 81 représente l’union de la Divinité avec l’humanité. Le chiffre un dans le nombre quatre-vingt-un représente la Divinité.</w:t>
      </w:r>
    </w:p>
    <w:p>
      <w:pPr>
        <w:pStyle w:val="ArticleBody"/>
        <w:jc w:val="left"/>
      </w:pPr>
      <w:r>
        <w:rPr>
          <w:rFonts w:ascii="Leelawadee UI" w:hAnsi="Leelawadee UI" w:eastAsia="Leelawadee UI" w:cs="Leelawadee UI"/>
        </w:rPr>
        <w:t>លេខមួយក្នុងលេខដប់មួយតំណាងឲ្យមនុស្សជាតិ</w:t>
      </w:r>
      <w:r>
        <w:rPr>
          <w:rFonts w:ascii="Times New Roman" w:hAnsi="Times New Roman" w:eastAsia="Times New Roman" w:cs="Times New Roman"/>
        </w:rPr>
        <w:t xml:space="preserve"> </w:t>
      </w:r>
      <w:r>
        <w:rPr>
          <w:rFonts w:ascii="Leelawadee UI" w:hAnsi="Leelawadee UI" w:eastAsia="Leelawadee UI" w:cs="Leelawadee UI"/>
        </w:rPr>
        <w:t>ហើយក៏តំណាងឲ្យព្រះភាពផងដែរ។</w:t>
      </w:r>
      <w:r>
        <w:rPr>
          <w:rFonts w:ascii="Times New Roman" w:hAnsi="Times New Roman" w:eastAsia="Times New Roman" w:cs="Times New Roman"/>
        </w:rPr>
        <w:t xml:space="preserve"> </w:t>
      </w:r>
      <w:r>
        <w:rPr>
          <w:rFonts w:ascii="Leelawadee UI" w:hAnsi="Leelawadee UI" w:eastAsia="Leelawadee UI" w:cs="Leelawadee UI"/>
        </w:rPr>
        <w:t>លេខមួយក្នុងលេខម្ភៃមួយតំណាងឲ្យព្រះភាព</w:t>
      </w:r>
      <w:r>
        <w:rPr>
          <w:rFonts w:ascii="Times New Roman" w:hAnsi="Times New Roman" w:eastAsia="Times New Roman" w:cs="Times New Roman"/>
        </w:rPr>
        <w:t xml:space="preserve"> </w:t>
      </w:r>
      <w:r>
        <w:rPr>
          <w:rFonts w:ascii="Leelawadee UI" w:hAnsi="Leelawadee UI" w:eastAsia="Leelawadee UI" w:cs="Leelawadee UI"/>
        </w:rPr>
        <w:t>ហើយលេខម្ភៃតំណាងឲ្យមនុស្សជាតិ។</w:t>
      </w:r>
      <w:r>
        <w:rPr>
          <w:rFonts w:ascii="Times New Roman" w:hAnsi="Times New Roman" w:eastAsia="Times New Roman" w:cs="Times New Roman"/>
        </w:rPr>
        <w:t xml:space="preserve"> </w:t>
      </w:r>
      <w:r>
        <w:rPr>
          <w:rFonts w:ascii="Leelawadee UI" w:hAnsi="Leelawadee UI" w:eastAsia="Leelawadee UI" w:cs="Leelawadee UI"/>
        </w:rPr>
        <w:t>ការរួមបញ្ចូលគ្នានៃលេខពីរ</w:t>
      </w:r>
      <w:r>
        <w:rPr>
          <w:rFonts w:ascii="Times New Roman" w:hAnsi="Times New Roman" w:eastAsia="Times New Roman" w:cs="Times New Roman"/>
        </w:rPr>
        <w:t xml:space="preserve"> </w:t>
      </w:r>
      <w:r>
        <w:rPr>
          <w:rFonts w:ascii="Leelawadee UI" w:hAnsi="Leelawadee UI" w:eastAsia="Leelawadee UI" w:cs="Leelawadee UI"/>
        </w:rPr>
        <w:t>និងលេខមួយអាចត្រូវបានឃើញនៅក្នុងពួកសិស្សលើផ្លូវទៅអេម៉ាស។</w:t>
      </w:r>
    </w:p>
    <w:p>
      <w:pPr>
        <w:pStyle w:val="ArticleBody"/>
        <w:jc w:val="left"/>
      </w:pPr>
      <w:r>
        <w:rPr>
          <w:rFonts w:ascii="Times New Roman" w:hAnsi="Times New Roman" w:eastAsia="Times New Roman" w:cs="Times New Roman"/>
        </w:rPr>
        <w:t>Cette combinaison de trois et d’un est l’humanité et la Divinité, telles qu’elles sont représentées par la fournaise ardente de Shadrac, Méshac et Abed-Nego.</w:t>
      </w:r>
    </w:p>
    <w:p>
      <w:pPr>
        <w:pStyle w:val="ArticleBody"/>
        <w:jc w:val="left"/>
      </w:pPr>
      <w:r>
        <w:rPr>
          <w:rFonts w:ascii="Times New Roman" w:hAnsi="Times New Roman" w:eastAsia="Times New Roman" w:cs="Times New Roman"/>
        </w:rPr>
        <w:t>A combinação de quatro e um identifica que a combinação da Divindade com a humanidade é realizada na quarta geração.</w:t>
      </w:r>
    </w:p>
    <w:p>
      <w:pPr>
        <w:pStyle w:val="ArticleBody"/>
        <w:jc w:val="left"/>
      </w:pPr>
      <w:r>
        <w:rPr>
          <w:rFonts w:ascii="Times New Roman" w:hAnsi="Times New Roman" w:eastAsia="Times New Roman" w:cs="Times New Roman"/>
        </w:rPr>
        <w:t>Ang pinagsamang lima at isa ay kumikilala sa limang dalagang naghihintay sa kasintahang lalaki.</w:t>
      </w:r>
    </w:p>
    <w:p>
      <w:pPr>
        <w:pStyle w:val="ArticleBody"/>
        <w:jc w:val="left"/>
      </w:pPr>
      <w:r>
        <w:rPr>
          <w:rFonts w:ascii="Times New Roman" w:hAnsi="Times New Roman" w:eastAsia="Times New Roman" w:cs="Times New Roman"/>
        </w:rPr>
        <w:t>La combinaison de six et un représente la relation de l’homme avec le sabbat du septième jour, dont la Divinité est le Seigneur. Le nombre « six » est un symbole de l’homme, et le un est le Christ.</w:t>
      </w:r>
    </w:p>
    <w:p>
      <w:pPr>
        <w:pStyle w:val="ArticleBody"/>
        <w:jc w:val="left"/>
      </w:pPr>
      <w:r>
        <w:rPr>
          <w:rFonts w:ascii="Times New Roman" w:hAnsi="Times New Roman" w:eastAsia="Times New Roman" w:cs="Times New Roman"/>
        </w:rPr>
        <w:t>La combinaison du sept et du un représente la transition de la septième Église de Laodicée vers l’expérience philadelphienne.</w:t>
      </w:r>
    </w:p>
    <w:p>
      <w:pPr>
        <w:pStyle w:val="ArticleBody"/>
        <w:jc w:val="left"/>
      </w:pPr>
      <w:r>
        <w:rPr>
          <w:rFonts w:ascii="Times New Roman" w:hAnsi="Times New Roman" w:eastAsia="Times New Roman" w:cs="Times New Roman"/>
        </w:rPr>
        <w:t xml:space="preserve">81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მღვდლებისა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დამოკიდებულების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მღვდელმთავრის</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w:t>
      </w:r>
    </w:p>
    <w:p>
      <w:pPr>
        <w:pStyle w:val="ArticleBody"/>
        <w:jc w:val="left"/>
      </w:pPr>
      <w:r>
        <w:rPr>
          <w:rFonts w:ascii="Nirmala UI" w:hAnsi="Nirmala UI" w:eastAsia="Nirmala UI" w:cs="Nirmala UI"/>
        </w:rPr>
        <w:t>रान्देक्</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जोथोनि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फोजोबनायखौ</w:t>
      </w:r>
      <w:r>
        <w:rPr>
          <w:rFonts w:ascii="Times New Roman" w:hAnsi="Times New Roman" w:eastAsia="Times New Roman" w:cs="Times New Roman"/>
        </w:rPr>
        <w:t xml:space="preserve"> </w:t>
      </w:r>
      <w:r>
        <w:rPr>
          <w:rFonts w:ascii="Nirmala UI" w:hAnsi="Nirmala UI" w:eastAsia="Nirmala UI" w:cs="Nirmala UI"/>
        </w:rPr>
        <w:t>चिन्हायो।</w:t>
      </w:r>
      <w:r>
        <w:rPr>
          <w:rFonts w:ascii="Times New Roman" w:hAnsi="Times New Roman" w:eastAsia="Times New Roman" w:cs="Times New Roman"/>
        </w:rPr>
        <w:t xml:space="preserve"> </w:t>
      </w:r>
      <w:r>
        <w:rPr>
          <w:rFonts w:ascii="Nirmala UI" w:hAnsi="Nirmala UI" w:eastAsia="Nirmala UI" w:cs="Nirmala UI"/>
        </w:rPr>
        <w:t>गर्भधारण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फुरुमगिरि</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बिदिनोनि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फुरुमगिरि</w:t>
      </w:r>
      <w:r>
        <w:rPr>
          <w:rFonts w:ascii="Times New Roman" w:hAnsi="Times New Roman" w:eastAsia="Times New Roman" w:cs="Times New Roman"/>
        </w:rPr>
        <w:t xml:space="preserve"> </w:t>
      </w:r>
      <w:r>
        <w:rPr>
          <w:rFonts w:ascii="Nirmala UI" w:hAnsi="Nirmala UI" w:eastAsia="Nirmala UI" w:cs="Nirmala UI"/>
        </w:rPr>
        <w:t>बायदिसे</w:t>
      </w:r>
      <w:r>
        <w:rPr>
          <w:rFonts w:ascii="Times New Roman" w:hAnsi="Times New Roman" w:eastAsia="Times New Roman" w:cs="Times New Roman"/>
        </w:rPr>
        <w:t xml:space="preserve"> </w:t>
      </w:r>
      <w:r>
        <w:rPr>
          <w:rFonts w:ascii="Nirmala UI" w:hAnsi="Nirmala UI" w:eastAsia="Nirmala UI" w:cs="Nirmala UI"/>
        </w:rPr>
        <w:t>नियमजों</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जिशुयै</w:t>
      </w:r>
      <w:r>
        <w:rPr>
          <w:rFonts w:ascii="Times New Roman" w:hAnsi="Times New Roman" w:eastAsia="Times New Roman" w:cs="Times New Roman"/>
        </w:rPr>
        <w:t xml:space="preserve"> </w:t>
      </w:r>
      <w:r>
        <w:rPr>
          <w:rFonts w:ascii="Nirmala UI" w:hAnsi="Nirmala UI" w:eastAsia="Nirmala UI" w:cs="Nirmala UI"/>
        </w:rPr>
        <w:t>नवम</w:t>
      </w:r>
      <w:r>
        <w:rPr>
          <w:rFonts w:ascii="Times New Roman" w:hAnsi="Times New Roman" w:eastAsia="Times New Roman" w:cs="Times New Roman"/>
        </w:rPr>
        <w:t xml:space="preserve"> </w:t>
      </w:r>
      <w:r>
        <w:rPr>
          <w:rFonts w:ascii="Nirmala UI" w:hAnsi="Nirmala UI" w:eastAsia="Nirmala UI" w:cs="Nirmala UI"/>
        </w:rPr>
        <w:t>घन्टायाव</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प्राणखौ</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खालामदों।</w:t>
      </w:r>
      <w:r>
        <w:rPr>
          <w:rFonts w:ascii="Times New Roman" w:hAnsi="Times New Roman" w:eastAsia="Times New Roman" w:cs="Times New Roman"/>
        </w:rPr>
        <w:t xml:space="preserve"> </w:t>
      </w:r>
      <w:r>
        <w:rPr>
          <w:rFonts w:ascii="Nirmala UI" w:hAnsi="Nirmala UI" w:eastAsia="Nirmala UI" w:cs="Nirmala UI"/>
        </w:rPr>
        <w:t>रान्देक्</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जोथोनि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बेयोनि</w:t>
      </w:r>
      <w:r>
        <w:rPr>
          <w:rFonts w:ascii="Times New Roman" w:hAnsi="Times New Roman" w:eastAsia="Times New Roman" w:cs="Times New Roman"/>
        </w:rPr>
        <w:t xml:space="preserve"> </w:t>
      </w:r>
      <w:r>
        <w:rPr>
          <w:rFonts w:ascii="Nirmala UI" w:hAnsi="Nirmala UI" w:eastAsia="Nirmala UI" w:cs="Nirmala UI"/>
        </w:rPr>
        <w:t>मानुखफोरखौ</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फोजोबनायनि</w:t>
      </w:r>
      <w:r>
        <w:rPr>
          <w:rFonts w:ascii="Times New Roman" w:hAnsi="Times New Roman" w:eastAsia="Times New Roman" w:cs="Times New Roman"/>
        </w:rPr>
        <w:t xml:space="preserve"> </w:t>
      </w:r>
      <w:r>
        <w:rPr>
          <w:rFonts w:ascii="Nirmala UI" w:hAnsi="Nirmala UI" w:eastAsia="Nirmala UI" w:cs="Nirmala UI"/>
        </w:rPr>
        <w:t>चिन्हाखौ</w:t>
      </w:r>
      <w:r>
        <w:rPr>
          <w:rFonts w:ascii="Times New Roman" w:hAnsi="Times New Roman" w:eastAsia="Times New Roman" w:cs="Times New Roman"/>
        </w:rPr>
        <w:t xml:space="preserve"> </w:t>
      </w:r>
      <w:r>
        <w:rPr>
          <w:rFonts w:ascii="Nirmala UI" w:hAnsi="Nirmala UI" w:eastAsia="Nirmala UI" w:cs="Nirmala UI"/>
        </w:rPr>
        <w:t>दिहुनायो।</w:t>
      </w:r>
    </w:p>
    <w:p>
      <w:pPr>
        <w:pStyle w:val="ArticleBody"/>
        <w:jc w:val="left"/>
      </w:pPr>
      <w:r>
        <w:rPr>
          <w:rFonts w:ascii="Times New Roman" w:hAnsi="Times New Roman" w:eastAsia="Times New Roman" w:cs="Times New Roman"/>
        </w:rPr>
        <w:t>Dans ce contexte, le nombre un est la combinaison de l’humanité et de la Divinité ; le nombre deux est le divin Enseignant, enseignant l’humanité. Le nombre trois est le message des trois anges, lequel est le message qui leur est enseigné au nombre deux. Le nombre quatre identifie la quatrième génération, identifiant ainsi l’histoire prophétique au moment où les cinq vierges sages sont manifestées et recréées, comme le représente le sixième jour de la création. Puis la septième étape identifie la transition vers Philadelphie et l’énigme du huit étant des sept. C’est alors que l’alliance est accomplie et que le sacerdoce de « 81 » est élevé pour achever l’œuvre représentée par le nombre neuf. À chaque étape, le nombre un est le Lion de la tribu de Juda, qui est aussi Palmoni, le Merveilleux Nombreur. 81 est un symbole des prêtres. Palmoni a créé tous les nombres.</w:t>
      </w:r>
    </w:p>
    <w:p>
      <w:pPr>
        <w:pStyle w:val="ArticleBody"/>
        <w:jc w:val="left"/>
      </w:pPr>
      <w:r>
        <w:rPr>
          <w:rFonts w:ascii="Times New Roman" w:hAnsi="Times New Roman" w:eastAsia="Times New Roman" w:cs="Times New Roman"/>
        </w:rPr>
        <w:t>Le nombre onze représente la moitié de vingt-deux, et tous deux représentent la combinaison de la Divinité avec l’humanité. Dans un article récent, j’ai inclus deux déclarations qui traitent du commencement et de la fin.</w:t>
      </w:r>
    </w:p>
    <w:p>
      <w:pPr>
        <w:pStyle w:val="ArticleBody"/>
        <w:jc w:val="left"/>
      </w:pPr>
      <w:r>
        <w:rPr>
          <w:rFonts w:ascii="Times New Roman" w:hAnsi="Times New Roman" w:eastAsia="Times New Roman" w:cs="Times New Roman"/>
        </w:rPr>
        <w:t>Fyrsta staðhæfingin benti á að þegar Ellen White fékk sínar fyrstu sýnir um helgidóminn, var henni sýnt að sabbatsboðið ljómaði skærar en hin boðorðin. Henni var einnig sýnt að á hinum síðustu dögum var „kenningin um holdtekjuna“ umlukin mjúkri birtu. Sabbatinn var ljós í upphafi sem var fyrirboði kenningarinnar um holdtekjuna í lokin. Sameining guðdóms og mannleiks er kenningin um holdtekjuna, því að hún er kenningin um að Kristur tók á sig mannlegt hold og setti þannig það fordæmi að guðdómur sameinaður mannleika syndgar ekki.</w:t>
      </w:r>
    </w:p>
    <w:p>
      <w:pPr>
        <w:pStyle w:val="ArticleBody"/>
        <w:jc w:val="left"/>
      </w:pPr>
      <w:r>
        <w:rPr>
          <w:rFonts w:ascii="Microsoft YaHei" w:hAnsi="Microsoft YaHei" w:eastAsia="Microsoft YaHei" w:cs="Microsoft YaHei"/>
        </w:rPr>
        <w:t>十一加十一等于二十二</w:t>
      </w:r>
      <w:r>
        <w:rPr>
          <w:rFonts w:ascii="Times New Roman" w:hAnsi="Times New Roman" w:eastAsia="Times New Roman" w:cs="Times New Roman"/>
        </w:rPr>
        <w:t>,</w:t>
      </w:r>
      <w:r>
        <w:rPr>
          <w:rFonts w:ascii="Microsoft YaHei" w:hAnsi="Microsoft YaHei" w:eastAsia="Microsoft YaHei" w:cs="Microsoft YaHei"/>
        </w:rPr>
        <w:t>而数字十一开启了十二章之约的每一条线</w:t>
      </w:r>
      <w:r>
        <w:rPr>
          <w:rFonts w:ascii="Times New Roman" w:hAnsi="Times New Roman" w:eastAsia="Times New Roman" w:cs="Times New Roman"/>
        </w:rPr>
        <w:t>,</w:t>
      </w:r>
      <w:r>
        <w:rPr>
          <w:rFonts w:ascii="Microsoft YaHei" w:hAnsi="Microsoft YaHei" w:eastAsia="Microsoft YaHei" w:cs="Microsoft YaHei"/>
        </w:rPr>
        <w:t>并且每一条线都以二十二结束</w:t>
      </w:r>
      <w:r>
        <w:rPr>
          <w:rFonts w:ascii="Times New Roman" w:hAnsi="Times New Roman" w:eastAsia="Times New Roman" w:cs="Times New Roman"/>
        </w:rPr>
        <w:t>.</w:t>
      </w:r>
      <w:r>
        <w:rPr>
          <w:rFonts w:ascii="Microsoft YaHei" w:hAnsi="Microsoft YaHei" w:eastAsia="Microsoft YaHei" w:cs="Microsoft YaHei"/>
        </w:rPr>
        <w:t>圣经中的第十一章与第十一节</w:t>
      </w:r>
      <w:r>
        <w:rPr>
          <w:rFonts w:ascii="Times New Roman" w:hAnsi="Times New Roman" w:eastAsia="Times New Roman" w:cs="Times New Roman"/>
        </w:rPr>
        <w:t>,</w:t>
      </w:r>
      <w:r>
        <w:rPr>
          <w:rFonts w:ascii="Microsoft YaHei" w:hAnsi="Microsoft YaHei" w:eastAsia="Microsoft YaHei" w:cs="Microsoft YaHei"/>
        </w:rPr>
        <w:t>代表十四万四千人的路标</w:t>
      </w:r>
      <w:r>
        <w:rPr>
          <w:rFonts w:ascii="Times New Roman" w:hAnsi="Times New Roman" w:eastAsia="Times New Roman" w:cs="Times New Roman"/>
        </w:rPr>
        <w:t>.</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Lufta ukrainase filloi në vitin 2014 dhe është vija e jashtme e kohës së vulosjes së njëqind e dyzet e katër mijëvet.</w:t>
      </w:r>
    </w:p>
    <w:p>
      <w:pPr>
        <w:pStyle w:val="ArticleScripture"/>
        <w:jc w:val="left"/>
      </w:pPr>
      <w:r>
        <w:rPr>
          <w:rFonts w:ascii="Times New Roman" w:hAnsi="Times New Roman" w:eastAsia="Times New Roman" w:cs="Times New Roman"/>
        </w:rPr>
        <w:t>Gẹgẹ bi Danieli 11:11 ti sọ: “Ati ọba guusu yio bínú gidigidi, yio si jade wá jagun pẹlu rẹ̀, ani pẹlu ọba ariwa: on o si ko ogun nla jọ; ṣugbọn a o fi ọ̀pọ̀ eniyan náà lé e lọ́wọ́.”</w:t>
      </w:r>
    </w:p>
    <w:p>
      <w:pPr>
        <w:pStyle w:val="ArticleHeading"/>
        <w:jc w:val="left"/>
      </w:pPr>
      <w:r>
        <w:rPr>
          <w:rFonts w:ascii="Arial" w:hAnsi="Arial" w:eastAsia="Arial" w:cs="Arial"/>
        </w:rPr>
        <w:t>18 de julio de 2020</w:t>
      </w:r>
    </w:p>
    <w:p>
      <w:pPr>
        <w:pStyle w:val="ArticleBody"/>
        <w:jc w:val="left"/>
      </w:pPr>
      <w:r>
        <w:rPr>
          <w:rFonts w:ascii="Times New Roman" w:hAnsi="Times New Roman" w:eastAsia="Times New Roman" w:cs="Times New Roman"/>
        </w:rPr>
        <w:t>Ласарын амилуулсан, хамгийн дээд гайхамшиг бөгөөд Бурханы тамга болсон үйл явдал руу Есүс саатсан нь анхны урам хугаралт байв. Есүс Ласарыг амилуулахаасаа өмнө дөрвөн өдөр хүлээсэн. Иоханы ном дахь энэ эшлэл нь Иоханы сайн мэдээнд шууд тодорхойлон тэмдэглэгдсэн долоон гайхамшгийн сүүлчийнхийг зааж байна. Эхнийх нь усыг дарс болгосон явдал байв. Иохан 11:11-т хүрч төгсдөг эдгээр долоон гайхамшгийг авч үзэхэд асар их гэрэл байдаг бөгөөд бүх теологичид Иоханд зөвхөн долоон гайхамшиг бий гэдэг дээр санал нийлдэг, учир нь тэдгээр гайхамшгууд шууд тодорхойлогдон тэмдэглэгдсэн байдаг. Иймээс тэд Христийн амилалтыг найм дахь тэмдэг гэж оруулдаггүй; гэвч энэ нь гайхамшиг мөн бөгөөд Түүний амилалт нь гэрээний тэмдэг билээ. Тиймээс Иоханы ном дахь амилалт нь долоогийнх нь найм дахь гайхамшиг мөн, учир нь өмнөх долоон гайхамшиг тус бүр Түүний амилалтын хүчээр үйлдэгдсэн билээ.</w:t>
      </w:r>
    </w:p>
    <w:p>
      <w:pPr>
        <w:pStyle w:val="ArticleScripture"/>
        <w:jc w:val="left"/>
      </w:pPr>
      <w:r>
        <w:rPr>
          <w:rFonts w:ascii="Microsoft YaHei" w:hAnsi="Microsoft YaHei" w:eastAsia="Microsoft YaHei" w:cs="Microsoft YaHei"/>
        </w:rPr>
        <w:t>他說了這話之後</w:t>
      </w:r>
      <w:r>
        <w:rPr>
          <w:rFonts w:ascii="Times New Roman" w:hAnsi="Times New Roman" w:eastAsia="Times New Roman" w:cs="Times New Roman"/>
        </w:rPr>
        <w:t>,</w:t>
      </w:r>
      <w:r>
        <w:rPr>
          <w:rFonts w:ascii="Microsoft YaHei" w:hAnsi="Microsoft YaHei" w:eastAsia="Microsoft YaHei" w:cs="Microsoft YaHei"/>
        </w:rPr>
        <w:t>又對他們說：我們的朋友拉撒路睡了</w:t>
      </w:r>
      <w:r>
        <w:rPr>
          <w:rFonts w:ascii="Times New Roman" w:hAnsi="Times New Roman" w:eastAsia="Times New Roman" w:cs="Times New Roman"/>
        </w:rPr>
        <w:t>;</w:t>
      </w:r>
      <w:r>
        <w:rPr>
          <w:rFonts w:ascii="Microsoft YaHei" w:hAnsi="Microsoft YaHei" w:eastAsia="Microsoft YaHei" w:cs="Microsoft YaHei"/>
        </w:rPr>
        <w:t>但我去</w:t>
      </w:r>
      <w:r>
        <w:rPr>
          <w:rFonts w:ascii="Times New Roman" w:hAnsi="Times New Roman" w:eastAsia="Times New Roman" w:cs="Times New Roman"/>
        </w:rPr>
        <w:t>,</w:t>
      </w:r>
      <w:r>
        <w:rPr>
          <w:rFonts w:ascii="Microsoft YaHei" w:hAnsi="Microsoft YaHei" w:eastAsia="Microsoft YaHei" w:cs="Microsoft YaHei"/>
        </w:rPr>
        <w:t>為要叫他從睡中醒過來</w:t>
      </w:r>
      <w:r>
        <w:rPr>
          <w:rFonts w:ascii="Times New Roman" w:hAnsi="Times New Roman" w:eastAsia="Times New Roman" w:cs="Times New Roman"/>
        </w:rPr>
        <w:t>.</w:t>
      </w:r>
      <w:r>
        <w:rPr>
          <w:rFonts w:ascii="Microsoft YaHei" w:hAnsi="Microsoft YaHei" w:eastAsia="Microsoft YaHei" w:cs="Microsoft YaHei"/>
        </w:rPr>
        <w:t>約翰福音</w:t>
      </w:r>
      <w:r>
        <w:rPr>
          <w:rFonts w:ascii="Times New Roman" w:hAnsi="Times New Roman" w:eastAsia="Times New Roman" w:cs="Times New Roman"/>
        </w:rPr>
        <w:t xml:space="preserve"> 11:11.</w:t>
      </w:r>
    </w:p>
    <w:p>
      <w:pPr>
        <w:pStyle w:val="ArticleHeading"/>
        <w:jc w:val="left"/>
      </w:pPr>
      <w:r>
        <w:rPr>
          <w:rFonts w:ascii="Arial" w:hAnsi="Arial" w:eastAsia="Arial" w:cs="Arial"/>
        </w:rPr>
        <w:t>Julie, 2023</w:t>
      </w:r>
    </w:p>
    <w:p>
      <w:pPr>
        <w:pStyle w:val="ArticleBody"/>
        <w:jc w:val="left"/>
      </w:pPr>
      <w:r>
        <w:rPr>
          <w:rFonts w:ascii="Times New Roman" w:hAnsi="Times New Roman" w:eastAsia="Times New Roman" w:cs="Times New Roman"/>
        </w:rPr>
        <w:t>En juillet 2023, la voix dans le désert commença à proclamer un message qui possède l’Esprit de vie.</w:t>
      </w:r>
    </w:p>
    <w:p>
      <w:pPr>
        <w:pStyle w:val="ArticleScripture"/>
        <w:jc w:val="left"/>
      </w:pPr>
      <w:r>
        <w:rPr>
          <w:rFonts w:ascii="Times New Roman" w:hAnsi="Times New Roman" w:eastAsia="Times New Roman" w:cs="Times New Roman"/>
        </w:rPr>
        <w:t>Na posle tří dnů a půl vstoupil do nich Duch života od Boha; i postavili se na nohy své, a veliká bázeň padla na ty, kteří je viděli. Zjevení 11,11.</w:t>
      </w:r>
    </w:p>
    <w:p>
      <w:pPr>
        <w:pStyle w:val="ArticleBody"/>
        <w:jc w:val="left"/>
      </w:pPr>
      <w:r>
        <w:rPr>
          <w:rFonts w:ascii="Times New Roman" w:hAnsi="Times New Roman" w:eastAsia="Times New Roman" w:cs="Times New Roman"/>
        </w:rPr>
        <w:t>Yuhanna an haife shi kwana takwas kafin dokar Lahadi, gama a dokar Lahadi ce mahaifinsa Zakariya ya yi magana. An canja sunan Yuhanna daga Zakariya zuwa Yuhanna a dokar Lahadi, sa’ad da canjin sunansa ya bayyana dangantakar alkawari. Haihuwar tana misalta tashin waɗanda aka kashe a kan tituna a ranar 18 ga Yuli, 2020.</w:t>
      </w:r>
    </w:p>
    <w:p>
      <w:pPr>
        <w:pStyle w:val="ArticleScripture"/>
        <w:jc w:val="left"/>
      </w:pPr>
      <w:r>
        <w:rPr>
          <w:rFonts w:ascii="Times New Roman" w:hAnsi="Times New Roman" w:eastAsia="Times New Roman" w:cs="Times New Roman"/>
        </w:rPr>
        <w:t>Amen, mwen di nou sa: pami tout moun fanm fè pitit, pa janm leve yon moun ki pi gran pase Jan Batis; men, moun ki pi piti nan wayòm syèl la pi gran pase li. Matye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Ésaïe identifie le second rassemblement qui s’est accompli en 1849. Le second rassemblement a commencé en juillet 2023 et s’achève lorsque le peuple de Dieu est scellé.</w:t>
      </w:r>
    </w:p>
    <w:p>
      <w:pPr>
        <w:pStyle w:val="ArticleScripture"/>
        <w:jc w:val="left"/>
      </w:pPr>
      <w:r>
        <w:rPr>
          <w:rFonts w:ascii="Times New Roman" w:hAnsi="Times New Roman" w:eastAsia="Times New Roman" w:cs="Times New Roman"/>
        </w:rPr>
        <w:t>Et il arrivera, en ce jour-là, que le Seigneur étendra de nouveau sa main, pour la seconde fois, afin de racheter le reste de son peuple qui sera demeuré, de l’Assyrie, de l’Égypte, de Pathros, de Cusch, d’Élam, de Schinear, de Hamath, et des îles de la mer. Ésaïe 11:11.</w:t>
      </w:r>
    </w:p>
    <w:p>
      <w:pPr>
        <w:pStyle w:val="ArticleHeading"/>
        <w:jc w:val="left"/>
      </w:pPr>
      <w:r>
        <w:rPr>
          <w:rFonts w:ascii="Arial" w:hAnsi="Arial" w:eastAsia="Arial" w:cs="Arial"/>
        </w:rPr>
        <w:t>Tad ka war al La Ley dominical</w:t>
      </w:r>
    </w:p>
    <w:p>
      <w:pPr>
        <w:pStyle w:val="ArticleBody"/>
        <w:jc w:val="left"/>
      </w:pPr>
      <w:r>
        <w:rPr>
          <w:rFonts w:ascii="Times New Roman" w:hAnsi="Times New Roman" w:eastAsia="Times New Roman" w:cs="Times New Roman"/>
        </w:rPr>
        <w:t>Yesu awɔwie Nkunimdi Mu Hyɛn no ara pɛ, na ɛno kyerɛ sɛ wɔafiri Mfinimfini Nteɛm no mu akɔ Ɔkronkron Da mmara no so; na ɔwɔ asuafo dumienu no ka ne ho, efisɛ wɔayi wɔn dedaw ansa na Ɔkronkron Da mmara no aba.</w:t>
      </w:r>
    </w:p>
    <w:p>
      <w:pPr>
        <w:pStyle w:val="ArticleScripture"/>
        <w:jc w:val="left"/>
      </w:pPr>
      <w:r>
        <w:rPr>
          <w:rFonts w:ascii="Times New Roman" w:hAnsi="Times New Roman" w:eastAsia="Times New Roman" w:cs="Times New Roman"/>
        </w:rPr>
        <w:t>Na Yesu akaingia Yerusalemu, na ndani ya hekalu; na alipokwisha kuangalia pande zote mambo yote, na wakati wa jioni ulikuwa umekwisha kufika, akaenda zake mpaka Bethania pamoja na wale Thenashara. Marko 11:11.</w:t>
      </w:r>
    </w:p>
    <w:p>
      <w:pPr>
        <w:pStyle w:val="ArticleBody"/>
        <w:jc w:val="left"/>
      </w:pPr>
      <w:r>
        <w:rPr>
          <w:rFonts w:ascii="Times New Roman" w:hAnsi="Times New Roman" w:eastAsia="Times New Roman" w:cs="Times New Roman"/>
        </w:rPr>
        <w:t>Lorsque le scellement est accompli sur les cent quarante-quatre mille, juste avant la loi dominicale, l’union de l’Époux de la Divinité avec l’épouse de l’humanité est achevée, et les deux sont éternellement un, car l’expiation est achevée.</w:t>
      </w:r>
    </w:p>
    <w:p>
      <w:pPr>
        <w:pStyle w:val="ArticleScripture"/>
        <w:jc w:val="left"/>
      </w:pPr>
      <w:r>
        <w:rPr>
          <w:rFonts w:ascii="Times New Roman" w:hAnsi="Times New Roman" w:eastAsia="Times New Roman" w:cs="Times New Roman"/>
        </w:rPr>
        <w:t>Toutefois, ni l’homme n’est sans la femme, ni la femme sans l’homme, dans le Seigneur. 1 Corinthiens 11:11.</w:t>
      </w:r>
    </w:p>
    <w:p>
      <w:pPr>
        <w:pStyle w:val="ArticleBody"/>
        <w:jc w:val="left"/>
      </w:pPr>
      <w:r>
        <w:rPr>
          <w:rFonts w:ascii="Times New Roman" w:hAnsi="Times New Roman" w:eastAsia="Times New Roman" w:cs="Times New Roman"/>
        </w:rPr>
        <w:t>La naissance miraculeuse de Sara, longtemps différée depuis la rébellion de 1863, s’accomplit lorsque la femme d’Apocalypse douze enfante des jumeaux. Le premier enfant paraît au Cri de Minuit, et le second enfant à la loi du dimanche. L’enfant qui sortit le second portait le fil écarlate qui représente le signe de Rahab à Jéricho.</w:t>
      </w:r>
    </w:p>
    <w:p>
      <w:pPr>
        <w:pStyle w:val="ArticleScripture"/>
        <w:jc w:val="left"/>
      </w:pPr>
      <w:r>
        <w:rPr>
          <w:rFonts w:ascii="Times New Roman" w:hAnsi="Times New Roman" w:eastAsia="Times New Roman" w:cs="Times New Roman"/>
        </w:rPr>
        <w:t>Par la foi, Sara elle-même reçut la force de concevoir une postérité et enfanta, malgré son âge avancé, parce qu’elle tint pour fidèle celui qui avait fait la promesse. Hébreux 11:11.</w:t>
      </w:r>
    </w:p>
    <w:p>
      <w:pPr>
        <w:pStyle w:val="ArticleHeading"/>
        <w:jc w:val="left"/>
      </w:pPr>
      <w:r>
        <w:rPr>
          <w:rFonts w:ascii="Arial" w:hAnsi="Arial" w:eastAsia="Arial" w:cs="Arial"/>
        </w:rPr>
        <w:t>Mun bi xam nekk ci bésu Dibéer ci Laodisee</w:t>
      </w:r>
    </w:p>
    <w:p>
      <w:pPr>
        <w:pStyle w:val="ArticleBody"/>
        <w:jc w:val="left"/>
      </w:pPr>
      <w:r>
        <w:rPr>
          <w:rFonts w:ascii="Times New Roman" w:hAnsi="Times New Roman" w:eastAsia="Times New Roman" w:cs="Times New Roman"/>
        </w:rPr>
        <w:t>Yeremia mengenal pasti penghakiman terhadap gereja Masehi Advent Hari Ketujuh Laodikia.</w:t>
      </w:r>
    </w:p>
    <w:p>
      <w:pPr>
        <w:pStyle w:val="ArticleScripture"/>
        <w:jc w:val="left"/>
      </w:pPr>
      <w:r>
        <w:rPr>
          <w:rFonts w:ascii="Times New Roman" w:hAnsi="Times New Roman" w:eastAsia="Times New Roman" w:cs="Times New Roman"/>
        </w:rPr>
        <w:t>Nokuti Yehova: Tsono ndidzawabweretsera tsoka limene sadzatha kulipulumuka; ndipo ngakhale adzandilirira, sindidzawamvera. Yeremiya 11:11.</w:t>
      </w:r>
    </w:p>
    <w:p>
      <w:pPr>
        <w:pStyle w:val="ArticleBody"/>
        <w:jc w:val="left"/>
      </w:pPr>
      <w:r>
        <w:rPr>
          <w:rFonts w:ascii="Times New Roman" w:hAnsi="Times New Roman" w:eastAsia="Times New Roman" w:cs="Times New Roman"/>
        </w:rPr>
        <w:t>Hezekieli anakubaliana na hukumu ya Yeremia juu ya Uadventista.</w:t>
      </w:r>
    </w:p>
    <w:p>
      <w:pPr>
        <w:pStyle w:val="ArticleScripture"/>
        <w:jc w:val="left"/>
      </w:pPr>
      <w:r>
        <w:rPr>
          <w:rFonts w:ascii="Myanmar Text" w:hAnsi="Myanmar Text" w:eastAsia="Myanmar Text" w:cs="Myanmar Text"/>
        </w:rPr>
        <w:t>ဤမြို့သည်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အိုးမဟုတ်၊</w:t>
      </w:r>
      <w:r>
        <w:rPr>
          <w:rFonts w:ascii="Times New Roman" w:hAnsi="Times New Roman" w:eastAsia="Times New Roman" w:cs="Times New Roman"/>
        </w:rPr>
        <w:t xml:space="preserve"> </w:t>
      </w:r>
      <w:r>
        <w:rPr>
          <w:rFonts w:ascii="Myanmar Text" w:hAnsi="Myanmar Text" w:eastAsia="Myanmar Text" w:cs="Myanmar Text"/>
        </w:rPr>
        <w:t>သင်တို့သည်လည်း</w:t>
      </w:r>
      <w:r>
        <w:rPr>
          <w:rFonts w:ascii="Times New Roman" w:hAnsi="Times New Roman" w:eastAsia="Times New Roman" w:cs="Times New Roman"/>
        </w:rPr>
        <w:t xml:space="preserve"> </w:t>
      </w:r>
      <w:r>
        <w:rPr>
          <w:rFonts w:ascii="Myanmar Text" w:hAnsi="Myanmar Text" w:eastAsia="Myanmar Text" w:cs="Myanmar Text"/>
        </w:rPr>
        <w:t>၎င်း၏အလယ်၌ရှိသော</w:t>
      </w:r>
      <w:r>
        <w:rPr>
          <w:rFonts w:ascii="Times New Roman" w:hAnsi="Times New Roman" w:eastAsia="Times New Roman" w:cs="Times New Roman"/>
        </w:rPr>
        <w:t xml:space="preserve"> </w:t>
      </w:r>
      <w:r>
        <w:rPr>
          <w:rFonts w:ascii="Myanmar Text" w:hAnsi="Myanmar Text" w:eastAsia="Myanmar Text" w:cs="Myanmar Text"/>
        </w:rPr>
        <w:t>အသားမဟုတ်ကြ။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ဣသရေလနယ်စပ်၌</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11:11</w:t>
      </w:r>
      <w:r>
        <w:rPr>
          <w:rFonts w:ascii="Myanmar Text" w:hAnsi="Myanmar Text" w:eastAsia="Myanmar Text" w:cs="Myanmar Text"/>
        </w:rPr>
        <w:t>။</w:t>
      </w:r>
    </w:p>
    <w:p>
      <w:pPr>
        <w:pStyle w:val="ArticleBody"/>
        <w:jc w:val="left"/>
      </w:pPr>
      <w:r>
        <w:rPr>
          <w:rFonts w:ascii="Times New Roman" w:hAnsi="Times New Roman" w:eastAsia="Times New Roman" w:cs="Times New Roman"/>
        </w:rPr>
        <w:t>Het voorbijgaan van het oude Israël als Gods verbondsvolk houdt in dat God het vroegere verbondsvolk tot jaloersheid verwekt over hetgeen het heeft weggeworpen. Dit herhaalt zich bij het adventisme ten tijde van de zondagswet.</w:t>
      </w:r>
    </w:p>
    <w:p>
      <w:pPr>
        <w:pStyle w:val="ArticleScripture"/>
        <w:jc w:val="left"/>
      </w:pPr>
      <w:r>
        <w:rPr>
          <w:rFonts w:ascii="Microsoft YaHei" w:hAnsi="Microsoft YaHei" w:eastAsia="Microsoft YaHei" w:cs="Microsoft YaHei"/>
        </w:rPr>
        <w:t>我且说</w:t>
      </w:r>
      <w:r>
        <w:rPr>
          <w:rFonts w:ascii="Times New Roman" w:hAnsi="Times New Roman" w:eastAsia="Times New Roman" w:cs="Times New Roman"/>
        </w:rPr>
        <w:t>,</w:t>
      </w:r>
      <w:r>
        <w:rPr>
          <w:rFonts w:ascii="Microsoft YaHei" w:hAnsi="Microsoft YaHei" w:eastAsia="Microsoft YaHei" w:cs="Microsoft YaHei"/>
        </w:rPr>
        <w:t>他们失脚是要他们跌倒吗？断乎不是</w:t>
      </w:r>
      <w:r>
        <w:rPr>
          <w:rFonts w:ascii="Times New Roman" w:hAnsi="Times New Roman" w:eastAsia="Times New Roman" w:cs="Times New Roman"/>
        </w:rPr>
        <w:t>;</w:t>
      </w:r>
      <w:r>
        <w:rPr>
          <w:rFonts w:ascii="Microsoft YaHei" w:hAnsi="Microsoft YaHei" w:eastAsia="Microsoft YaHei" w:cs="Microsoft YaHei"/>
        </w:rPr>
        <w:t>反倒因他们的过失</w:t>
      </w:r>
      <w:r>
        <w:rPr>
          <w:rFonts w:ascii="Times New Roman" w:hAnsi="Times New Roman" w:eastAsia="Times New Roman" w:cs="Times New Roman"/>
        </w:rPr>
        <w:t>,</w:t>
      </w:r>
      <w:r>
        <w:rPr>
          <w:rFonts w:ascii="Microsoft YaHei" w:hAnsi="Microsoft YaHei" w:eastAsia="Microsoft YaHei" w:cs="Microsoft YaHei"/>
        </w:rPr>
        <w:t>救恩便临到外邦人</w:t>
      </w:r>
      <w:r>
        <w:rPr>
          <w:rFonts w:ascii="Times New Roman" w:hAnsi="Times New Roman" w:eastAsia="Times New Roman" w:cs="Times New Roman"/>
        </w:rPr>
        <w:t>,</w:t>
      </w:r>
      <w:r>
        <w:rPr>
          <w:rFonts w:ascii="Microsoft YaHei" w:hAnsi="Microsoft YaHei" w:eastAsia="Microsoft YaHei" w:cs="Microsoft YaHei"/>
        </w:rPr>
        <w:t>为要激动他们发愤</w:t>
      </w:r>
      <w:r>
        <w:rPr>
          <w:rFonts w:ascii="Times New Roman" w:hAnsi="Times New Roman" w:eastAsia="Times New Roman" w:cs="Times New Roman"/>
        </w:rPr>
        <w:t>.</w:t>
      </w:r>
      <w:r>
        <w:rPr>
          <w:rFonts w:ascii="Microsoft YaHei" w:hAnsi="Microsoft YaHei" w:eastAsia="Microsoft YaHei" w:cs="Microsoft YaHei"/>
        </w:rPr>
        <w:t>罗马书</w:t>
      </w:r>
      <w:r>
        <w:rPr>
          <w:rFonts w:ascii="Times New Roman" w:hAnsi="Times New Roman" w:eastAsia="Times New Roman" w:cs="Times New Roman"/>
        </w:rPr>
        <w:t xml:space="preserve"> 11:11</w:t>
      </w:r>
    </w:p>
    <w:p>
      <w:pPr>
        <w:pStyle w:val="ArticleBody"/>
        <w:jc w:val="left"/>
      </w:pPr>
      <w:r>
        <w:rPr>
          <w:rFonts w:ascii="Times New Roman" w:hAnsi="Times New Roman" w:eastAsia="Times New Roman" w:cs="Times New Roman"/>
        </w:rPr>
        <w:t>ئەدڤەنتیزم، کە لەسەر بنەمای کاری وڵیام میلەر دامەزراوە، ئەوەی کە ئەوان ڕەتی دەکەنەوە، هێشتا ئەو بزووتنەوەیەیە کە پەرستگاکەی بنیات نا؛ بەڵام وەک سلێمان، کە هەروەها پەرستگاکەی بنیات نا، ئەوان پەیمانەکەیان شکاند و شانشینییان لێ وەردەگیرێت، و دەدرێت بە گەلێک کە ڕەزەمەی خودا بەو شێوەیە بەڕێوە دەبەن کە ئەو ڕێنمایی دەکات.</w:t>
      </w:r>
    </w:p>
    <w:p>
      <w:pPr>
        <w:pStyle w:val="ArticleScripture"/>
        <w:jc w:val="left"/>
      </w:pPr>
      <w:r>
        <w:rPr>
          <w:rFonts w:ascii="Times New Roman" w:hAnsi="Times New Roman" w:eastAsia="Times New Roman" w:cs="Times New Roman"/>
        </w:rPr>
        <w:t>C’est pourquoi l’Éternel dit à Salomon : Puisque tu as agi de la sorte, et que tu n’as point gardé mon alliance ni mes statuts, que je t’avais commandés, je déchirerai certainement le royaume d’avec toi, et je le donnerai à ton serviteur. 1 Rois 11:11.</w:t>
      </w:r>
    </w:p>
    <w:p>
      <w:pPr>
        <w:pStyle w:val="ArticleHeading"/>
        <w:jc w:val="left"/>
      </w:pPr>
      <w:r>
        <w:rPr>
          <w:rFonts w:ascii="Myanmar Text" w:hAnsi="Myanmar Text" w:eastAsia="Myanmar Text" w:cs="Myanmar Text"/>
        </w:rPr>
        <w:t>အင်္ဂါရပ်မသတ်မှတ်ထားသော</w:t>
      </w:r>
      <w:r>
        <w:rPr>
          <w:rFonts w:ascii="Arial" w:hAnsi="Arial" w:eastAsia="Arial" w:cs="Arial"/>
        </w:rPr>
        <w:t xml:space="preserve"> “ff” </w:t>
      </w:r>
      <w:r>
        <w:rPr>
          <w:rFonts w:ascii="Myanmar Text" w:hAnsi="Myanmar Text" w:eastAsia="Myanmar Text" w:cs="Myanmar Text"/>
        </w:rPr>
        <w:t>ဘာသာသို့</w:t>
      </w:r>
      <w:r>
        <w:rPr>
          <w:rFonts w:ascii="Arial" w:hAnsi="Arial" w:eastAsia="Arial" w:cs="Arial"/>
        </w:rPr>
        <w:t xml:space="preserve"> </w:t>
      </w:r>
      <w:r>
        <w:rPr>
          <w:rFonts w:ascii="Myanmar Text" w:hAnsi="Myanmar Text" w:eastAsia="Myanmar Text" w:cs="Myanmar Text"/>
        </w:rPr>
        <w:t>ဘာသာပြန်ရန်</w:t>
      </w:r>
      <w:r>
        <w:rPr>
          <w:rFonts w:ascii="Arial" w:hAnsi="Arial" w:eastAsia="Arial" w:cs="Arial"/>
        </w:rPr>
        <w:t xml:space="preserve"> </w:t>
      </w:r>
      <w:r>
        <w:rPr>
          <w:rFonts w:ascii="Myanmar Text" w:hAnsi="Myanmar Text" w:eastAsia="Myanmar Text" w:cs="Myanmar Text"/>
        </w:rPr>
        <w:t>အတိအကျ</w:t>
      </w:r>
      <w:r>
        <w:rPr>
          <w:rFonts w:ascii="Arial" w:hAnsi="Arial" w:eastAsia="Arial" w:cs="Arial"/>
        </w:rPr>
        <w:t xml:space="preserve"> </w:t>
      </w:r>
      <w:r>
        <w:rPr>
          <w:rFonts w:ascii="Myanmar Text" w:hAnsi="Myanmar Text" w:eastAsia="Myanmar Text" w:cs="Myanmar Text"/>
        </w:rPr>
        <w:t>မဖော်ပြထားသဖြင့်၊</w:t>
      </w:r>
      <w:r>
        <w:rPr>
          <w:rFonts w:ascii="Arial" w:hAnsi="Arial" w:eastAsia="Arial" w:cs="Arial"/>
        </w:rPr>
        <w:t xml:space="preserve"> “ff” </w:t>
      </w:r>
      <w:r>
        <w:rPr>
          <w:rFonts w:ascii="Myanmar Text" w:hAnsi="Myanmar Text" w:eastAsia="Myanmar Text" w:cs="Myanmar Text"/>
        </w:rPr>
        <w:t>သည်</w:t>
      </w:r>
      <w:r>
        <w:rPr>
          <w:rFonts w:ascii="Arial" w:hAnsi="Arial" w:eastAsia="Arial" w:cs="Arial"/>
        </w:rPr>
        <w:t xml:space="preserve"> </w:t>
      </w:r>
      <w:r>
        <w:rPr>
          <w:rFonts w:ascii="Myanmar Text" w:hAnsi="Myanmar Text" w:eastAsia="Myanmar Text" w:cs="Myanmar Text"/>
        </w:rPr>
        <w:t>မည်သည့်ဘာသာကို</w:t>
      </w:r>
      <w:r>
        <w:rPr>
          <w:rFonts w:ascii="Arial" w:hAnsi="Arial" w:eastAsia="Arial" w:cs="Arial"/>
        </w:rPr>
        <w:t xml:space="preserve"> </w:t>
      </w:r>
      <w:r>
        <w:rPr>
          <w:rFonts w:ascii="Myanmar Text" w:hAnsi="Myanmar Text" w:eastAsia="Myanmar Text" w:cs="Myanmar Text"/>
        </w:rPr>
        <w:t>ဆိုလိုသည်ကို</w:t>
      </w:r>
      <w:r>
        <w:rPr>
          <w:rFonts w:ascii="Arial" w:hAnsi="Arial" w:eastAsia="Arial" w:cs="Arial"/>
        </w:rPr>
        <w:t xml:space="preserve"> </w:t>
      </w:r>
      <w:r>
        <w:rPr>
          <w:rFonts w:ascii="Myanmar Text" w:hAnsi="Myanmar Text" w:eastAsia="Myanmar Text" w:cs="Myanmar Text"/>
        </w:rPr>
        <w:t>ကျေးဇူးပြု၍</w:t>
      </w:r>
      <w:r>
        <w:rPr>
          <w:rFonts w:ascii="Arial" w:hAnsi="Arial" w:eastAsia="Arial" w:cs="Arial"/>
        </w:rPr>
        <w:t xml:space="preserve"> </w:t>
      </w:r>
      <w:r>
        <w:rPr>
          <w:rFonts w:ascii="Myanmar Text" w:hAnsi="Myanmar Text" w:eastAsia="Myanmar Text" w:cs="Myanmar Text"/>
        </w:rPr>
        <w:t>သတ်မှတ်ပေးပါ။</w:t>
      </w:r>
    </w:p>
    <w:p>
      <w:pPr>
        <w:pStyle w:val="ArticleBody"/>
        <w:jc w:val="left"/>
      </w:pP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Lakini nchi mnayoingia kuimiliki ni nchi ya milima na mabonde, nayo hunywa maji ya mvua ya mbinguni. Kumbukumbu la Torati 11:11.</w:t>
      </w:r>
    </w:p>
    <w:p>
      <w:pPr>
        <w:pStyle w:val="ArticleBody"/>
        <w:jc w:val="left"/>
      </w:pPr>
      <w:r>
        <w:rPr>
          <w:rFonts w:ascii="Times New Roman" w:hAnsi="Times New Roman" w:eastAsia="Times New Roman" w:cs="Times New Roman"/>
        </w:rPr>
        <w:t>Une ville est un royaume, et l’Église triomphante représente le royaume de gloire du Christ. Ce royaume de l’Église triomphante commence à la loi du dimanche, lorsque son Église est élevée et exaltée au-dessus de toutes les montagnes et de toutes les collines.</w:t>
      </w:r>
    </w:p>
    <w:p>
      <w:pPr>
        <w:pStyle w:val="ArticleScripture"/>
        <w:jc w:val="left"/>
      </w:pPr>
      <w:r>
        <w:rPr>
          <w:rFonts w:ascii="Myanmar Text" w:hAnsi="Myanmar Text" w:eastAsia="Myanmar Text" w:cs="Myanmar Text"/>
        </w:rPr>
        <w:t>ဖောက်ပြန်ခြင်းမရှိသောသူတို့၏</w:t>
      </w:r>
      <w:r>
        <w:rPr>
          <w:rFonts w:ascii="Times New Roman" w:hAnsi="Times New Roman" w:eastAsia="Times New Roman" w:cs="Times New Roman"/>
        </w:rPr>
        <w:t xml:space="preserve"> </w:t>
      </w:r>
      <w:r>
        <w:rPr>
          <w:rFonts w:ascii="Myanmar Text" w:hAnsi="Myanmar Text" w:eastAsia="Myanmar Text" w:cs="Myanmar Text"/>
        </w:rPr>
        <w:t>ကောင်းကြီးမင်္ဂလာအားဖြင့်</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မြင့်မားချီးမြှောက်ခြင်းခံရ၏။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မတရားသောသူတို့၏</w:t>
      </w:r>
      <w:r>
        <w:rPr>
          <w:rFonts w:ascii="Times New Roman" w:hAnsi="Times New Roman" w:eastAsia="Times New Roman" w:cs="Times New Roman"/>
        </w:rPr>
        <w:t xml:space="preserve"> </w:t>
      </w:r>
      <w:r>
        <w:rPr>
          <w:rFonts w:ascii="Myanmar Text" w:hAnsi="Myanmar Text" w:eastAsia="Myanmar Text" w:cs="Myanmar Text"/>
        </w:rPr>
        <w:t>နှုတ်ကြောင့်</w:t>
      </w:r>
      <w:r>
        <w:rPr>
          <w:rFonts w:ascii="Times New Roman" w:hAnsi="Times New Roman" w:eastAsia="Times New Roman" w:cs="Times New Roman"/>
        </w:rPr>
        <w:t xml:space="preserve"> </w:t>
      </w:r>
      <w:r>
        <w:rPr>
          <w:rFonts w:ascii="Myanmar Text" w:hAnsi="Myanmar Text" w:eastAsia="Myanmar Text" w:cs="Myanmar Text"/>
        </w:rPr>
        <w:t>ထိုမြို့သည်</w:t>
      </w:r>
      <w:r>
        <w:rPr>
          <w:rFonts w:ascii="Times New Roman" w:hAnsi="Times New Roman" w:eastAsia="Times New Roman" w:cs="Times New Roman"/>
        </w:rPr>
        <w:t xml:space="preserve"> </w:t>
      </w:r>
      <w:r>
        <w:rPr>
          <w:rFonts w:ascii="Myanmar Text" w:hAnsi="Myanmar Text" w:eastAsia="Myanmar Text" w:cs="Myanmar Text"/>
        </w:rPr>
        <w:t>ဖျက်ဆီးခြင်းခံရ၏။</w:t>
      </w:r>
      <w:r>
        <w:rPr>
          <w:rFonts w:ascii="Times New Roman" w:hAnsi="Times New Roman" w:eastAsia="Times New Roman" w:cs="Times New Roman"/>
        </w:rPr>
        <w:t xml:space="preserve"> </w:t>
      </w:r>
      <w:r>
        <w:rPr>
          <w:rFonts w:ascii="Myanmar Text" w:hAnsi="Myanmar Text" w:eastAsia="Myanmar Text" w:cs="Myanmar Text"/>
        </w:rPr>
        <w:t>သုတ္တံကျမ်း</w:t>
      </w:r>
      <w:r>
        <w:rPr>
          <w:rFonts w:ascii="Times New Roman" w:hAnsi="Times New Roman" w:eastAsia="Times New Roman" w:cs="Times New Roman"/>
        </w:rPr>
        <w:t xml:space="preserve"> 11:11</w:t>
      </w:r>
      <w:r>
        <w:rPr>
          <w:rFonts w:ascii="Myanmar Text" w:hAnsi="Myanmar Text" w:eastAsia="Myanmar Text" w:cs="Myanmar Text"/>
        </w:rPr>
        <w:t>။</w:t>
      </w:r>
    </w:p>
    <w:p>
      <w:pPr>
        <w:pStyle w:val="ArticleBody"/>
        <w:jc w:val="left"/>
      </w:pP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ကိုနေလျုအား</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ခေါ်ယူစေဖို့</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ညွှန်ကြားလာသော</w:t>
      </w:r>
      <w:r>
        <w:rPr>
          <w:rFonts w:ascii="Times New Roman" w:hAnsi="Times New Roman" w:eastAsia="Times New Roman" w:cs="Times New Roman"/>
        </w:rPr>
        <w:t xml:space="preserve"> </w:t>
      </w:r>
      <w:r>
        <w:rPr>
          <w:rFonts w:ascii="Myanmar Text" w:hAnsi="Myanmar Text" w:eastAsia="Myanmar Text" w:cs="Myanmar Text"/>
        </w:rPr>
        <w:t>ကိုးနာရီအချိန်၌</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ထိုအားဖြင့်</w:t>
      </w:r>
      <w:r>
        <w:rPr>
          <w:rFonts w:ascii="Times New Roman" w:hAnsi="Times New Roman" w:eastAsia="Times New Roman" w:cs="Times New Roman"/>
        </w:rPr>
        <w:t xml:space="preserve"> </w:t>
      </w:r>
      <w:r>
        <w:rPr>
          <w:rFonts w:ascii="Myanmar Text" w:hAnsi="Myanmar Text" w:eastAsia="Myanmar Text" w:cs="Myanmar Text"/>
        </w:rPr>
        <w:t>တနင်္ဂနွေနေ့ဥပဒေကာလတွင်</w:t>
      </w:r>
      <w:r>
        <w:rPr>
          <w:rFonts w:ascii="Times New Roman" w:hAnsi="Times New Roman" w:eastAsia="Times New Roman" w:cs="Times New Roman"/>
        </w:rPr>
        <w:t xml:space="preserve"> </w:t>
      </w:r>
      <w:r>
        <w:rPr>
          <w:rFonts w:ascii="Myanmar Text" w:hAnsi="Myanmar Text" w:eastAsia="Myanmar Text" w:cs="Myanmar Text"/>
        </w:rPr>
        <w:t>ဧဝံဂေလိတရားသည်</w:t>
      </w:r>
      <w:r>
        <w:rPr>
          <w:rFonts w:ascii="Times New Roman" w:hAnsi="Times New Roman" w:eastAsia="Times New Roman" w:cs="Times New Roman"/>
        </w:rPr>
        <w:t xml:space="preserve"> </w:t>
      </w:r>
      <w:r>
        <w:rPr>
          <w:rFonts w:ascii="Myanmar Text" w:hAnsi="Myanmar Text" w:eastAsia="Myanmar Text" w:cs="Myanmar Text"/>
        </w:rPr>
        <w:t>တပါးအမျိုးသားတို့ထံသို့</w:t>
      </w:r>
      <w:r>
        <w:rPr>
          <w:rFonts w:ascii="Times New Roman" w:hAnsi="Times New Roman" w:eastAsia="Times New Roman" w:cs="Times New Roman"/>
        </w:rPr>
        <w:t xml:space="preserve"> </w:t>
      </w:r>
      <w:r>
        <w:rPr>
          <w:rFonts w:ascii="Myanmar Text" w:hAnsi="Myanmar Text" w:eastAsia="Myanmar Text" w:cs="Myanmar Text"/>
        </w:rPr>
        <w:t>သွားရောက်ကြောင်းကို</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ပေတရုအား</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သွားရန်</w:t>
      </w:r>
      <w:r>
        <w:rPr>
          <w:rFonts w:ascii="Times New Roman" w:hAnsi="Times New Roman" w:eastAsia="Times New Roman" w:cs="Times New Roman"/>
        </w:rPr>
        <w:t xml:space="preserve"> </w:t>
      </w:r>
      <w:r>
        <w:rPr>
          <w:rFonts w:ascii="Myanmar Text" w:hAnsi="Myanmar Text" w:eastAsia="Myanmar Text" w:cs="Myanmar Text"/>
        </w:rPr>
        <w:t>ညွှန်ကြားတော်မူသောအခါ၊</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တိရစ္ဆာန်များကို</w:t>
      </w:r>
      <w:r>
        <w:rPr>
          <w:rFonts w:ascii="Times New Roman" w:hAnsi="Times New Roman" w:eastAsia="Times New Roman" w:cs="Times New Roman"/>
        </w:rPr>
        <w:t xml:space="preserve"> </w:t>
      </w:r>
      <w:r>
        <w:rPr>
          <w:rFonts w:ascii="Myanmar Text" w:hAnsi="Myanmar Text" w:eastAsia="Myanmar Text" w:cs="Myanmar Text"/>
        </w:rPr>
        <w:t>စားသောက်ခြင်းနှင့်</w:t>
      </w:r>
      <w:r>
        <w:rPr>
          <w:rFonts w:ascii="Times New Roman" w:hAnsi="Times New Roman" w:eastAsia="Times New Roman" w:cs="Times New Roman"/>
        </w:rPr>
        <w:t xml:space="preserve"> </w:t>
      </w:r>
      <w:r>
        <w:rPr>
          <w:rFonts w:ascii="Myanmar Text" w:hAnsi="Myanmar Text" w:eastAsia="Myanmar Text" w:cs="Myanmar Text"/>
        </w:rPr>
        <w:t>ဆိုင်သော</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အခြေအနေအတွင်း၌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တနင်္ဂနွေနေ့ဥပဒေကာလ၌</w:t>
      </w:r>
      <w:r>
        <w:rPr>
          <w:rFonts w:ascii="Times New Roman" w:hAnsi="Times New Roman" w:eastAsia="Times New Roman" w:cs="Times New Roman"/>
        </w:rPr>
        <w:t xml:space="preserve"> </w:t>
      </w:r>
      <w:r>
        <w:rPr>
          <w:rFonts w:ascii="Myanmar Text" w:hAnsi="Myanmar Text" w:eastAsia="Myanmar Text" w:cs="Myanmar Text"/>
        </w:rPr>
        <w:t>ပြည့်စုံသည်။</w:t>
      </w:r>
      <w:r>
        <w:rPr>
          <w:rFonts w:ascii="Times New Roman" w:hAnsi="Times New Roman" w:eastAsia="Times New Roman" w:cs="Times New Roman"/>
        </w:rPr>
        <w:t xml:space="preserve"> </w:t>
      </w:r>
      <w:r>
        <w:rPr>
          <w:rFonts w:ascii="Myanmar Text" w:hAnsi="Myanmar Text" w:eastAsia="Myanmar Text" w:cs="Myanmar Text"/>
        </w:rPr>
        <w:t>ကိုးနာရီအချိန်သည်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ကွယ်လွန်တော်မူသော</w:t>
      </w:r>
      <w:r>
        <w:rPr>
          <w:rFonts w:ascii="Times New Roman" w:hAnsi="Times New Roman" w:eastAsia="Times New Roman" w:cs="Times New Roman"/>
        </w:rPr>
        <w:t xml:space="preserve"> </w:t>
      </w:r>
      <w:r>
        <w:rPr>
          <w:rFonts w:ascii="Myanmar Text" w:hAnsi="Myanmar Text" w:eastAsia="Myanmar Text" w:cs="Myanmar Text"/>
        </w:rPr>
        <w:t>ကိုးနာရီအချိန်နှင့်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ကိုးနာရီအချိန်သည်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လက်ဝါးကပ်တိုင်ပေါ်တွင်</w:t>
      </w:r>
      <w:r>
        <w:rPr>
          <w:rFonts w:ascii="Times New Roman" w:hAnsi="Times New Roman" w:eastAsia="Times New Roman" w:cs="Times New Roman"/>
        </w:rPr>
        <w:t xml:space="preserve"> </w:t>
      </w:r>
      <w:r>
        <w:rPr>
          <w:rFonts w:ascii="Myanmar Text" w:hAnsi="Myanmar Text" w:eastAsia="Myanmar Text" w:cs="Myanmar Text"/>
        </w:rPr>
        <w:t>တင်ခဲ့သော</w:t>
      </w:r>
      <w:r>
        <w:rPr>
          <w:rFonts w:ascii="Times New Roman" w:hAnsi="Times New Roman" w:eastAsia="Times New Roman" w:cs="Times New Roman"/>
        </w:rPr>
        <w:t xml:space="preserve"> </w:t>
      </w:r>
      <w:r>
        <w:rPr>
          <w:rFonts w:ascii="Myanmar Text" w:hAnsi="Myanmar Text" w:eastAsia="Myanmar Text" w:cs="Myanmar Text"/>
        </w:rPr>
        <w:t>သုံးနာရီအချိန်မှ</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ခြောက်နာရီကြာပြီးနောက်</w:t>
      </w:r>
      <w:r>
        <w:rPr>
          <w:rFonts w:ascii="Times New Roman" w:hAnsi="Times New Roman" w:eastAsia="Times New Roman" w:cs="Times New Roman"/>
        </w:rPr>
        <w:t xml:space="preserve"> </w:t>
      </w:r>
      <w:r>
        <w:rPr>
          <w:rFonts w:ascii="Myanmar Text" w:hAnsi="Myanmar Text" w:eastAsia="Myanmar Text" w:cs="Myanmar Text"/>
        </w:rPr>
        <w:t>ကွယ်လွန်တော်မူသည့်</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၎င်းသည်ပင်</w:t>
      </w:r>
      <w:r>
        <w:rPr>
          <w:rFonts w:ascii="Times New Roman" w:hAnsi="Times New Roman" w:eastAsia="Times New Roman" w:cs="Times New Roman"/>
        </w:rPr>
        <w:t xml:space="preserve"> </w:t>
      </w:r>
      <w:r>
        <w:rPr>
          <w:rFonts w:ascii="Myanmar Text" w:hAnsi="Myanmar Text" w:eastAsia="Myanmar Text" w:cs="Myanmar Text"/>
        </w:rPr>
        <w:t>ပေတရုအတွက်လည်း</w:t>
      </w:r>
      <w:r>
        <w:rPr>
          <w:rFonts w:ascii="Times New Roman" w:hAnsi="Times New Roman" w:eastAsia="Times New Roman" w:cs="Times New Roman"/>
        </w:rPr>
        <w:t xml:space="preserve"> </w:t>
      </w:r>
      <w:r>
        <w:rPr>
          <w:rFonts w:ascii="Myanmar Text" w:hAnsi="Myanmar Text" w:eastAsia="Myanmar Text" w:cs="Myanmar Text"/>
        </w:rPr>
        <w:t>အတူတူသောကာလ</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သုံးနာရီအချိန်၌</w:t>
      </w:r>
      <w:r>
        <w:rPr>
          <w:rFonts w:ascii="Times New Roman" w:hAnsi="Times New Roman" w:eastAsia="Times New Roman" w:cs="Times New Roman"/>
        </w:rPr>
        <w:t xml:space="preserve"> </w:t>
      </w:r>
      <w:r>
        <w:rPr>
          <w:rFonts w:ascii="Myanmar Text" w:hAnsi="Myanmar Text" w:eastAsia="Myanmar Text" w:cs="Myanmar Text"/>
        </w:rPr>
        <w:t>အပေါ်ခန်းတွင်ရှိပြီး၊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ကိုးနာရီအချိန်၌</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ကိုးနာရီတစ်ကြိမ်သည်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ကွယ်လွန်ခြင်း၌</w:t>
      </w:r>
      <w:r>
        <w:rPr>
          <w:rFonts w:ascii="Times New Roman" w:hAnsi="Times New Roman" w:eastAsia="Times New Roman" w:cs="Times New Roman"/>
        </w:rPr>
        <w:t xml:space="preserve"> </w:t>
      </w:r>
      <w:r>
        <w:rPr>
          <w:rFonts w:ascii="Myanmar Text" w:hAnsi="Myanmar Text" w:eastAsia="Myanmar Text" w:cs="Myanmar Text"/>
        </w:rPr>
        <w:t>အဆုံးသတ်သွားပြီး၊</w:t>
      </w:r>
      <w:r>
        <w:rPr>
          <w:rFonts w:ascii="Times New Roman" w:hAnsi="Times New Roman" w:eastAsia="Times New Roman" w:cs="Times New Roman"/>
        </w:rPr>
        <w:t xml:space="preserve"> </w:t>
      </w:r>
      <w:r>
        <w:rPr>
          <w:rFonts w:ascii="Myanmar Text" w:hAnsi="Myanmar Text" w:eastAsia="Myanmar Text" w:cs="Myanmar Text"/>
        </w:rPr>
        <w:t>နောက်တစ်ကြိမ်သော</w:t>
      </w:r>
      <w:r>
        <w:rPr>
          <w:rFonts w:ascii="Times New Roman" w:hAnsi="Times New Roman" w:eastAsia="Times New Roman" w:cs="Times New Roman"/>
        </w:rPr>
        <w:t xml:space="preserve"> </w:t>
      </w:r>
      <w:r>
        <w:rPr>
          <w:rFonts w:ascii="Myanmar Text" w:hAnsi="Myanmar Text" w:eastAsia="Myanmar Text" w:cs="Myanmar Text"/>
        </w:rPr>
        <w:t>ကိုးနာရီအချိန်၌</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ယောအဲလ်၏</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ကြေညာလျက်ရှိသည်။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ကွယ်လွန်ခြင်းသည်</w:t>
      </w:r>
      <w:r>
        <w:rPr>
          <w:rFonts w:ascii="Times New Roman" w:hAnsi="Times New Roman" w:eastAsia="Times New Roman" w:cs="Times New Roman"/>
        </w:rPr>
        <w:t xml:space="preserve"> </w:t>
      </w:r>
      <w:r>
        <w:rPr>
          <w:rFonts w:ascii="Myanmar Text" w:hAnsi="Myanmar Text" w:eastAsia="Myanmar Text" w:cs="Myanmar Text"/>
        </w:rPr>
        <w:t>ဣသရေလနှင့်ရှိသော</w:t>
      </w:r>
      <w:r>
        <w:rPr>
          <w:rFonts w:ascii="Times New Roman" w:hAnsi="Times New Roman" w:eastAsia="Times New Roman" w:cs="Times New Roman"/>
        </w:rPr>
        <w:t xml:space="preserve"> </w:t>
      </w:r>
      <w:r>
        <w:rPr>
          <w:rFonts w:ascii="Myanmar Text" w:hAnsi="Myanmar Text" w:eastAsia="Myanmar Text" w:cs="Myanmar Text"/>
        </w:rPr>
        <w:t>ပဋိညာဉ်ဆက်ဆံရေးကို</w:t>
      </w:r>
      <w:r>
        <w:rPr>
          <w:rFonts w:ascii="Times New Roman" w:hAnsi="Times New Roman" w:eastAsia="Times New Roman" w:cs="Times New Roman"/>
        </w:rPr>
        <w:t xml:space="preserve"> </w:t>
      </w:r>
      <w:r>
        <w:rPr>
          <w:rFonts w:ascii="Myanmar Text" w:hAnsi="Myanmar Text" w:eastAsia="Myanmar Text" w:cs="Myanmar Text"/>
        </w:rPr>
        <w:t>အဆုံးသတ်စေပြီး၊</w:t>
      </w:r>
      <w:r>
        <w:rPr>
          <w:rFonts w:ascii="Times New Roman" w:hAnsi="Times New Roman" w:eastAsia="Times New Roman" w:cs="Times New Roman"/>
        </w:rPr>
        <w:t xml:space="preserve"> </w:t>
      </w:r>
      <w:r>
        <w:rPr>
          <w:rFonts w:ascii="Myanmar Text" w:hAnsi="Myanmar Text" w:eastAsia="Myanmar Text" w:cs="Myanmar Text"/>
        </w:rPr>
        <w:t>ကိုနေလျုက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တပါးအမျိုးသားတို့အတွက်</w:t>
      </w:r>
      <w:r>
        <w:rPr>
          <w:rFonts w:ascii="Times New Roman" w:hAnsi="Times New Roman" w:eastAsia="Times New Roman" w:cs="Times New Roman"/>
        </w:rPr>
        <w:t xml:space="preserve"> </w:t>
      </w:r>
      <w:r>
        <w:rPr>
          <w:rFonts w:ascii="Myanmar Text" w:hAnsi="Myanmar Text" w:eastAsia="Myanmar Text" w:cs="Myanmar Text"/>
        </w:rPr>
        <w:t>တံခါးကို</w:t>
      </w:r>
      <w:r>
        <w:rPr>
          <w:rFonts w:ascii="Times New Roman" w:hAnsi="Times New Roman" w:eastAsia="Times New Roman" w:cs="Times New Roman"/>
        </w:rPr>
        <w:t xml:space="preserve"> </w:t>
      </w:r>
      <w:r>
        <w:rPr>
          <w:rFonts w:ascii="Myanmar Text" w:hAnsi="Myanmar Text" w:eastAsia="Myanmar Text" w:cs="Myanmar Text"/>
        </w:rPr>
        <w:t>ဖွင့်ပေးခဲ့သည်။</w:t>
      </w:r>
    </w:p>
    <w:p>
      <w:pPr>
        <w:pStyle w:val="ArticleScripture"/>
        <w:jc w:val="left"/>
      </w:pPr>
      <w:r>
        <w:rPr>
          <w:rFonts w:ascii="Times New Roman" w:hAnsi="Times New Roman" w:eastAsia="Times New Roman" w:cs="Times New Roman"/>
        </w:rPr>
        <w:t>Et voici, aussitôt trois hommes se présentèrent à la maison où j’étais, envoyés de Césarée vers moi. Actes 11:11.</w:t>
      </w:r>
    </w:p>
    <w:p>
      <w:pPr>
        <w:pStyle w:val="ArticleScripture"/>
        <w:jc w:val="left"/>
      </w:pPr>
      <w:r>
        <w:rPr>
          <w:rFonts w:ascii="Times New Roman" w:hAnsi="Times New Roman" w:eastAsia="Times New Roman" w:cs="Times New Roman"/>
        </w:rPr>
        <w:t>Vivyo hivyo vitakuwa chukizo kwenu; hamtakula nyama yake, bali mizoga yao mtaihesabu kuwa chukizo. Mambo ya Walawi 11:11.</w:t>
      </w:r>
    </w:p>
    <w:p>
      <w:pPr>
        <w:pStyle w:val="ArticleBody"/>
        <w:jc w:val="left"/>
      </w:pPr>
      <w:r>
        <w:rPr>
          <w:rFonts w:ascii="Times New Roman" w:hAnsi="Times New Roman" w:eastAsia="Times New Roman" w:cs="Times New Roman"/>
        </w:rPr>
        <w:t>Haɗa za mu ci gaba da wannan nazari a maƙala ta gaba.</w:t>
      </w:r>
    </w:p>
    <w:p>
      <w:pPr>
        <w:pStyle w:val="ArticleScripture"/>
        <w:jc w:val="left"/>
      </w:pPr>
      <w:r>
        <w:rPr>
          <w:rFonts w:ascii="Times New Roman" w:hAnsi="Times New Roman" w:eastAsia="Times New Roman" w:cs="Times New Roman"/>
        </w:rPr>
        <w:t>“Niliota kwamba Mungu, kwa mkono usioonekana, aliniletea kisanduku kilichotengenezwa kwa ustadi wa ajabu, chenye urefu wa yapata inchi kumi na upana wa inchi sita kwa pande zote, kilichofanywa kwa mti wa ebano na lulu zilizoingizwa kwa ustadi wa ajabu. Kisanduku hicho kilikuwa kimefungiwa ufunguo. Mara nikauchukua ufunguo huo na kufungua kisanduku; ndipo, kwa mshangao na taharuki yangu, nikakikuta kimejaa aina zote na ukubwa wote wa vito, almasi, mawe ya thamani, na sarafu za dhahabu na fedha za kila kipimo na thamani, vikiwa vimepangwa kwa uzuri katika mahali pake mbalimbali ndani ya kisanduku; na vikiwa vimepangwa hivyo vilirejesha nuru na utukufu uliolingana na jua peke yake. …”</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Ես նայեցի տապանակի մեջ, բայց իմ աչքերը շլացան այդ տեսարանից։ Դրանք փայլում էին իրենց նախկին փառքից տասնապատիկ ավելի։ Ես մտածեցի, թե դրանք ավազի մեջ մաքրվել էին այն ամբարիշտ մարդկանց ոտքերի տակ, որոնք ցրել էին դրանք և կոխկռտել փոշու մեջ։ Դրանք տապանակի մեջ դասավորված էին գեղեցիկ կարգով, յուրաքանչյուրը՝ իր տեղում, առանց որևէ տեսանելի հետքի այն մարդու գործադրած ջանքի, ով դրանք այնտեղ էր գցել։ Ես հրճվանքից իսկապես աղաղակեցի, և այդ աղաղակը արթնացրեց ինձ»։ Վաղ գրվածքներ, 81–83։</w:t>
      </w:r>
    </w:p>
    <w:p>
      <w:pPr>
        <w:pStyle w:val="ArticleScripture"/>
        <w:jc w:val="left"/>
      </w:pPr>
      <w:r>
        <w:rPr>
          <w:rFonts w:ascii="Times New Roman" w:hAnsi="Times New Roman" w:eastAsia="Times New Roman" w:cs="Times New Roman"/>
        </w:rPr>
        <w:t>« Vous placez la venue du Seigneur trop loin dans l’avenir. J’ai vu que la pluie de l’arrière-saison venait aussi soudainement que le cri de minuit, et avec une puissance dix fois plus grande. » Spalding and Magan, 5.</w:t>
      </w:r>
    </w:p>
    <w:p>
      <w:pPr>
        <w:pStyle w:val="ArticleScripture"/>
        <w:jc w:val="left"/>
      </w:pPr>
      <w:r>
        <w:rPr>
          <w:rFonts w:ascii="Times New Roman" w:hAnsi="Times New Roman" w:eastAsia="Times New Roman" w:cs="Times New Roman"/>
        </w:rPr>
        <w:t>És minden bölcsességre és értelemre tartozó dologban, amely felől a király kikérdezte őket, tízszer különbeknek találta őket országának minden írástudójánál és csillagjósánál. Dániel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Ntụziaka amaghị nke ọma: “ff” adịghị akọwa asụsụ ebumnuche. Biko kpọọ asụsụ ị chọrọ ka m sụgharịa ya.</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