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Yoeli na Kanisa la Waadventista Wasabato wa Laodikia - Namba Thelathini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Nọ́mbà Ọgbọ̀n-lé-Méjì</w:t>
      </w:r>
    </w:p>
    <w:p>
      <w:pPr>
        <w:pStyle w:val="ArticleBody"/>
        <w:jc w:val="left"/>
      </w:pPr>
      <w:r>
        <w:rPr>
          <w:rFonts w:ascii="Times New Roman" w:hAnsi="Times New Roman" w:eastAsia="Times New Roman" w:cs="Times New Roman"/>
        </w:rPr>
        <w:t>Kuwanga olo lugendo olutututte okutuuka ku kitabo kya Yoweeri lubadde lwa mpola, nga Pawulo? Petero ye mujulirwa waffe. Petero kye kimu ku bubonero obusinga obwewuunyisa munda mu Kigambo kya Katonda eky’obunnabbi, naye si bonna bwe bali bwe batyo? Petero ali mu Kayisaliya Firipo, era ali ne ku Pentekooti mu kisenge ekya waggulu ku ssaawa ey’okusatu, oluvannyuma n’aba mu yeekaalu ku ssaawa ey’omwenda ku lunaku olwo lwe lumu. Yesu yakomererwa ku ssaawa ey’okusatu era n’afa ku ssaawa ey’omwenda. Petero ayitibwa okugenda e Kayisaliya ku ssaawa ey’omwenda, naye Kayisaliya gy’ayitibwa mu lugero lwa Koruneeriyo si Kayisaliya Firipo eri ku musingi gwa lusozi Kerumooni, wabula yali Kayisaliya ku nnyanja, eyayitibwanga Kayisaliya Maritima.</w:t>
      </w:r>
    </w:p>
    <w:p>
      <w:pPr>
        <w:pStyle w:val="ArticleBody"/>
        <w:jc w:val="left"/>
      </w:pPr>
      <w:r>
        <w:rPr>
          <w:rFonts w:ascii="Times New Roman" w:hAnsi="Times New Roman" w:eastAsia="Times New Roman" w:cs="Times New Roman"/>
        </w:rPr>
        <w:t>قیصریہ ماریٹیما بحیرۂ روم کے ساحل پر واقع وہ شہر ہے جو موجودہ تل ابیب سے تقریباً 30–35 میل شمال میں ہے (اور جسے ہیرودیسِ اعظم نے ایک شاندار رومی بندرگاہی شہر کے طور پر تعمیر کیا تھا)۔ اعمال کی کتاب میں اس کا بار بار ذکر آتا ہے (15 مرتبہ)، اور عہدِ جدید میں جسے اکثر لوگ محض “قیصریہ” کہتے ہیں، وہ یہی ہے۔ فِلِپُّس مبشر اپنی چار نبوت کرنے والی بیٹیوں سمیت وہاں رہتا تھا (اعمال 8:40؛ 21:8)۔ پولس وہاں دو سال قید رہا، اور گورنروں فیلکس اور فِستُس، نیز بادشاہ اَگرِپّا کے سامنے پیش ہوا (اعمال 23–26)۔ اور شاید اس سے بھی بڑھ کر اہم یہ ہے کہ پطرس نے یہیں رومی صوبہ دار کے افسر کرنیلیُس کے سامنے منادی کی—جو مسیحیت میں غیر اقوام میں سے پہلی بڑی تبدیلیِ ایمان تھی (اعمال 10)، 34 عیسوی میں، جب وہ ہفتہ جس میں مسیح نے بہتوں کے ساتھ عہد کو قائم کیا، اپنے اختتام کو پہنچا۔</w:t>
      </w:r>
    </w:p>
    <w:p>
      <w:pPr>
        <w:pStyle w:val="ArticleScripture"/>
        <w:jc w:val="left"/>
      </w:pPr>
      <w:r>
        <w:rPr>
          <w:rFonts w:ascii="Times New Roman" w:hAnsi="Times New Roman" w:eastAsia="Times New Roman" w:cs="Times New Roman"/>
        </w:rPr>
        <w:t>At siya’y magpapatibay ng tipan sa marami sa loob ng isang sanlinggo: at sa kalagitnaan ng sanlinggo ay kaniyang patitigilin ang hain at ang handog, at dahil sa paglaganap ng mga kasuklamsuklam ay kaniyang gagawin itong tiwangwang, hanggang sa kasasapitan ng wakas, at yaong ipinasiya ay ibubuhos sa tiwangwang. Daniel 9:27.</w:t>
      </w:r>
    </w:p>
    <w:p>
      <w:pPr>
        <w:pStyle w:val="ArticleBody"/>
        <w:jc w:val="left"/>
      </w:pPr>
      <w:r>
        <w:rPr>
          <w:rFonts w:ascii="Nirmala UI" w:hAnsi="Nirmala UI" w:eastAsia="Nirmala UI" w:cs="Nirmala UI"/>
        </w:rPr>
        <w:t>કૈસરિયા</w:t>
      </w:r>
      <w:r>
        <w:rPr>
          <w:rFonts w:ascii="Times New Roman" w:hAnsi="Times New Roman" w:eastAsia="Times New Roman" w:cs="Times New Roman"/>
        </w:rPr>
        <w:t xml:space="preserve"> </w:t>
      </w:r>
      <w:r>
        <w:rPr>
          <w:rFonts w:ascii="Nirmala UI" w:hAnsi="Nirmala UI" w:eastAsia="Nirmala UI" w:cs="Nirmala UI"/>
        </w:rPr>
        <w:t>મેરિટિમા</w:t>
      </w:r>
      <w:r>
        <w:rPr>
          <w:rFonts w:ascii="Times New Roman" w:hAnsi="Times New Roman" w:eastAsia="Times New Roman" w:cs="Times New Roman"/>
        </w:rPr>
        <w:t xml:space="preserve"> </w:t>
      </w:r>
      <w:r>
        <w:rPr>
          <w:rFonts w:ascii="Nirmala UI" w:hAnsi="Nirmala UI" w:eastAsia="Nirmala UI" w:cs="Nirmala UI"/>
        </w:rPr>
        <w:t>યહૂદિયાનું</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શાસકીય</w:t>
      </w:r>
      <w:r>
        <w:rPr>
          <w:rFonts w:ascii="Times New Roman" w:hAnsi="Times New Roman" w:eastAsia="Times New Roman" w:cs="Times New Roman"/>
        </w:rPr>
        <w:t xml:space="preserve"> </w:t>
      </w:r>
      <w:r>
        <w:rPr>
          <w:rFonts w:ascii="Nirmala UI" w:hAnsi="Nirmala UI" w:eastAsia="Nirmala UI" w:cs="Nirmala UI"/>
        </w:rPr>
        <w:t>રાજધાનીસ્થાન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ગેરયહૂદીઓનું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મુખ્ય</w:t>
      </w:r>
      <w:r>
        <w:rPr>
          <w:rFonts w:ascii="Times New Roman" w:hAnsi="Times New Roman" w:eastAsia="Times New Roman" w:cs="Times New Roman"/>
        </w:rPr>
        <w:t xml:space="preserve"> </w:t>
      </w:r>
      <w:r>
        <w:rPr>
          <w:rFonts w:ascii="Nirmala UI" w:hAnsi="Nirmala UI" w:eastAsia="Nirmala UI" w:cs="Nirmala UI"/>
        </w:rPr>
        <w:t>કેન્દ્ર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કૈસરિયા</w:t>
      </w:r>
      <w:r>
        <w:rPr>
          <w:rFonts w:ascii="Times New Roman" w:hAnsi="Times New Roman" w:eastAsia="Times New Roman" w:cs="Times New Roman"/>
        </w:rPr>
        <w:t xml:space="preserve"> </w:t>
      </w:r>
      <w:r>
        <w:rPr>
          <w:rFonts w:ascii="Nirmala UI" w:hAnsi="Nirmala UI" w:eastAsia="Nirmala UI" w:cs="Nirmala UI"/>
        </w:rPr>
        <w:t>ફિલિપ્પી</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જુદું</w:t>
      </w:r>
      <w:r>
        <w:rPr>
          <w:rFonts w:ascii="Times New Roman" w:hAnsi="Times New Roman" w:eastAsia="Times New Roman" w:cs="Times New Roman"/>
        </w:rPr>
        <w:t xml:space="preserve"> </w:t>
      </w:r>
      <w:r>
        <w:rPr>
          <w:rFonts w:ascii="Nirmala UI" w:hAnsi="Nirmala UI" w:eastAsia="Nirmala UI" w:cs="Nirmala UI"/>
        </w:rPr>
        <w:t>શહેર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દિશાના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ભાગમાં</w:t>
      </w:r>
      <w:r>
        <w:rPr>
          <w:rFonts w:ascii="Times New Roman" w:hAnsi="Times New Roman" w:eastAsia="Times New Roman" w:cs="Times New Roman"/>
        </w:rPr>
        <w:t xml:space="preserve">, </w:t>
      </w:r>
      <w:r>
        <w:rPr>
          <w:rFonts w:ascii="Nirmala UI" w:hAnsi="Nirmala UI" w:eastAsia="Nirmala UI" w:cs="Nirmala UI"/>
        </w:rPr>
        <w:t>હર્મોન</w:t>
      </w:r>
      <w:r>
        <w:rPr>
          <w:rFonts w:ascii="Times New Roman" w:hAnsi="Times New Roman" w:eastAsia="Times New Roman" w:cs="Times New Roman"/>
        </w:rPr>
        <w:t xml:space="preserve"> </w:t>
      </w:r>
      <w:r>
        <w:rPr>
          <w:rFonts w:ascii="Nirmala UI" w:hAnsi="Nirmala UI" w:eastAsia="Nirmala UI" w:cs="Nirmala UI"/>
        </w:rPr>
        <w:t>પર્વતના</w:t>
      </w:r>
      <w:r>
        <w:rPr>
          <w:rFonts w:ascii="Times New Roman" w:hAnsi="Times New Roman" w:eastAsia="Times New Roman" w:cs="Times New Roman"/>
        </w:rPr>
        <w:t xml:space="preserve"> </w:t>
      </w:r>
      <w:r>
        <w:rPr>
          <w:rFonts w:ascii="Nirmala UI" w:hAnsi="Nirmala UI" w:eastAsia="Nirmala UI" w:cs="Nirmala UI"/>
        </w:rPr>
        <w:t>તળિયાની</w:t>
      </w:r>
      <w:r>
        <w:rPr>
          <w:rFonts w:ascii="Times New Roman" w:hAnsi="Times New Roman" w:eastAsia="Times New Roman" w:cs="Times New Roman"/>
        </w:rPr>
        <w:t xml:space="preserve"> </w:t>
      </w:r>
      <w:r>
        <w:rPr>
          <w:rFonts w:ascii="Nirmala UI" w:hAnsi="Nirmala UI" w:eastAsia="Nirmala UI" w:cs="Nirmala UI"/>
        </w:rPr>
        <w:t>નજીક</w:t>
      </w:r>
      <w:r>
        <w:rPr>
          <w:rFonts w:ascii="Times New Roman" w:hAnsi="Times New Roman" w:eastAsia="Times New Roman" w:cs="Times New Roman"/>
        </w:rPr>
        <w:t xml:space="preserve"> (</w:t>
      </w:r>
      <w:r>
        <w:rPr>
          <w:rFonts w:ascii="Nirmala UI" w:hAnsi="Nirmala UI" w:eastAsia="Nirmala UI" w:cs="Nirmala UI"/>
        </w:rPr>
        <w:t>ગલિલ</w:t>
      </w:r>
      <w:r>
        <w:rPr>
          <w:rFonts w:ascii="Times New Roman" w:hAnsi="Times New Roman" w:eastAsia="Times New Roman" w:cs="Times New Roman"/>
        </w:rPr>
        <w:t xml:space="preserve"> </w:t>
      </w:r>
      <w:r>
        <w:rPr>
          <w:rFonts w:ascii="Nirmala UI" w:hAnsi="Nirmala UI" w:eastAsia="Nirmala UI" w:cs="Nirmala UI"/>
        </w:rPr>
        <w:t>સમુદ્રથી</w:t>
      </w:r>
      <w:r>
        <w:rPr>
          <w:rFonts w:ascii="Times New Roman" w:hAnsi="Times New Roman" w:eastAsia="Times New Roman" w:cs="Times New Roman"/>
        </w:rPr>
        <w:t xml:space="preserve"> </w:t>
      </w:r>
      <w:r>
        <w:rPr>
          <w:rFonts w:ascii="Nirmala UI" w:hAnsi="Nirmala UI" w:eastAsia="Nirmala UI" w:cs="Nirmala UI"/>
        </w:rPr>
        <w:t>અંદાજે</w:t>
      </w:r>
      <w:r>
        <w:rPr>
          <w:rFonts w:ascii="Times New Roman" w:hAnsi="Times New Roman" w:eastAsia="Times New Roman" w:cs="Times New Roman"/>
        </w:rPr>
        <w:t xml:space="preserve"> 25–30 </w:t>
      </w:r>
      <w:r>
        <w:rPr>
          <w:rFonts w:ascii="Nirmala UI" w:hAnsi="Nirmala UI" w:eastAsia="Nirmala UI" w:cs="Nirmala UI"/>
        </w:rPr>
        <w:t>માઇલ</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આજના</w:t>
      </w:r>
      <w:r>
        <w:rPr>
          <w:rFonts w:ascii="Times New Roman" w:hAnsi="Times New Roman" w:eastAsia="Times New Roman" w:cs="Times New Roman"/>
        </w:rPr>
        <w:t xml:space="preserve"> </w:t>
      </w:r>
      <w:r>
        <w:rPr>
          <w:rFonts w:ascii="Nirmala UI" w:hAnsi="Nirmala UI" w:eastAsia="Nirmala UI" w:cs="Nirmala UI"/>
        </w:rPr>
        <w:t>ગોલાન</w:t>
      </w:r>
      <w:r>
        <w:rPr>
          <w:rFonts w:ascii="Times New Roman" w:hAnsi="Times New Roman" w:eastAsia="Times New Roman" w:cs="Times New Roman"/>
        </w:rPr>
        <w:t xml:space="preserve"> </w:t>
      </w:r>
      <w:r>
        <w:rPr>
          <w:rFonts w:ascii="Nirmala UI" w:hAnsi="Nirmala UI" w:eastAsia="Nirmala UI" w:cs="Nirmala UI"/>
        </w:rPr>
        <w:t>હાઇટ્સ</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બાનિયાસ</w:t>
      </w:r>
      <w:r>
        <w:rPr>
          <w:rFonts w:ascii="Times New Roman" w:hAnsi="Times New Roman" w:eastAsia="Times New Roman" w:cs="Times New Roman"/>
        </w:rPr>
        <w:t>)</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ઉલ્લેખ</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સુવાર્તાઓમાં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(Matthew 16:13 and Mark 8:27),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યેશુ</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શિષ્યોને</w:t>
      </w:r>
      <w:r>
        <w:rPr>
          <w:rFonts w:ascii="Times New Roman" w:hAnsi="Times New Roman" w:eastAsia="Times New Roman" w:cs="Times New Roman"/>
        </w:rPr>
        <w:t xml:space="preserve"> </w:t>
      </w:r>
      <w:r>
        <w:rPr>
          <w:rFonts w:ascii="Nirmala UI" w:hAnsi="Nirmala UI" w:eastAsia="Nirmala UI" w:cs="Nirmala UI"/>
        </w:rPr>
        <w:t>કૈસરિયા</w:t>
      </w:r>
      <w:r>
        <w:rPr>
          <w:rFonts w:ascii="Times New Roman" w:hAnsi="Times New Roman" w:eastAsia="Times New Roman" w:cs="Times New Roman"/>
        </w:rPr>
        <w:t xml:space="preserve"> </w:t>
      </w:r>
      <w:r>
        <w:rPr>
          <w:rFonts w:ascii="Nirmala UI" w:hAnsi="Nirmala UI" w:eastAsia="Nirmala UI" w:cs="Nirmala UI"/>
        </w:rPr>
        <w:t>ફિલિપ્પી</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પ્રસિદ્ધ</w:t>
      </w:r>
      <w:r>
        <w:rPr>
          <w:rFonts w:ascii="Times New Roman" w:hAnsi="Times New Roman" w:eastAsia="Times New Roman" w:cs="Times New Roman"/>
        </w:rPr>
        <w:t xml:space="preserve"> </w:t>
      </w:r>
      <w:r>
        <w:rPr>
          <w:rFonts w:ascii="Nirmala UI" w:hAnsi="Nirmala UI" w:eastAsia="Nirmala UI" w:cs="Nirmala UI"/>
        </w:rPr>
        <w:t>સ્થળ</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સ્વીકાર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યેશુ</w:t>
      </w:r>
      <w:r>
        <w:rPr>
          <w:rFonts w:ascii="Times New Roman" w:hAnsi="Times New Roman" w:eastAsia="Times New Roman" w:cs="Times New Roman"/>
        </w:rPr>
        <w:t xml:space="preserve"> “</w:t>
      </w:r>
      <w:r>
        <w:rPr>
          <w:rFonts w:ascii="Nirmala UI" w:hAnsi="Nirmala UI" w:eastAsia="Nirmala UI" w:cs="Nirmala UI"/>
        </w:rPr>
        <w:t>જીવતા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મસીહ</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યેશુએ</w:t>
      </w:r>
      <w:r>
        <w:rPr>
          <w:rFonts w:ascii="Times New Roman" w:hAnsi="Times New Roman" w:eastAsia="Times New Roman" w:cs="Times New Roman"/>
        </w:rPr>
        <w:t xml:space="preserve"> </w:t>
      </w:r>
      <w:r>
        <w:rPr>
          <w:rFonts w:ascii="Nirmala UI" w:hAnsi="Nirmala UI" w:eastAsia="Nirmala UI" w:cs="Nirmala UI"/>
        </w:rPr>
        <w:t>જાહેરાત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ખડક</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કલીસિયા</w:t>
      </w:r>
      <w:r>
        <w:rPr>
          <w:rFonts w:ascii="Times New Roman" w:hAnsi="Times New Roman" w:eastAsia="Times New Roman" w:cs="Times New Roman"/>
        </w:rPr>
        <w:t xml:space="preserve"> </w:t>
      </w:r>
      <w:r>
        <w:rPr>
          <w:rFonts w:ascii="Nirmala UI" w:hAnsi="Nirmala UI" w:eastAsia="Nirmala UI" w:cs="Nirmala UI"/>
        </w:rPr>
        <w:t>બાંધીષ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હાદેસના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પામશે</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(Matthew 16:13–20).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ગ્રીક</w:t>
      </w:r>
      <w:r>
        <w:rPr>
          <w:rFonts w:ascii="Times New Roman" w:hAnsi="Times New Roman" w:eastAsia="Times New Roman" w:cs="Times New Roman"/>
        </w:rPr>
        <w:t xml:space="preserve"> </w:t>
      </w:r>
      <w:r>
        <w:rPr>
          <w:rFonts w:ascii="Nirmala UI" w:hAnsi="Nirmala UI" w:eastAsia="Nirmala UI" w:cs="Nirmala UI"/>
        </w:rPr>
        <w:t>દેવતાઓનાં</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ધરાવતો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પ્રદેશ</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ખાસ</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બકરાદેવ</w:t>
      </w:r>
      <w:r>
        <w:rPr>
          <w:rFonts w:ascii="Times New Roman" w:hAnsi="Times New Roman" w:eastAsia="Times New Roman" w:cs="Times New Roman"/>
        </w:rPr>
        <w:t xml:space="preserve"> </w:t>
      </w:r>
      <w:r>
        <w:rPr>
          <w:rFonts w:ascii="Nirmala UI" w:hAnsi="Nirmala UI" w:eastAsia="Nirmala UI" w:cs="Nirmala UI"/>
        </w:rPr>
        <w:t>પાનનું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પાનના</w:t>
      </w:r>
      <w:r>
        <w:rPr>
          <w:rFonts w:ascii="Times New Roman" w:hAnsi="Times New Roman" w:eastAsia="Times New Roman" w:cs="Times New Roman"/>
        </w:rPr>
        <w:t xml:space="preserve"> </w:t>
      </w:r>
      <w:r>
        <w:rPr>
          <w:rFonts w:ascii="Nirmala UI" w:hAnsi="Nirmala UI" w:eastAsia="Nirmala UI" w:cs="Nirmala UI"/>
        </w:rPr>
        <w:t>ગુફાસ્થાનને</w:t>
      </w:r>
      <w:r>
        <w:rPr>
          <w:rFonts w:ascii="Times New Roman" w:hAnsi="Times New Roman" w:eastAsia="Times New Roman" w:cs="Times New Roman"/>
        </w:rPr>
        <w:t xml:space="preserve"> “</w:t>
      </w:r>
      <w:r>
        <w:rPr>
          <w:rFonts w:ascii="Nirmala UI" w:hAnsi="Nirmala UI" w:eastAsia="Nirmala UI" w:cs="Nirmala UI"/>
        </w:rPr>
        <w:t>નરકના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કહેવામાં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યેશુની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જાહેરાત</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પ્રભાવશાળી</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Beyiti zombi zim séparé nèt ni géographiquement ni historiquement—youn sé an pò womenyen ki plen aktivité an sidwès-la, lot-la sé an sit éllenistik/pagan an nò-a, toupre sous rivyè Jouden-an. Sa ki bò lanmè-a dominé Liv Actes-la, tandiske sa ki an nò-a santral pou an moman desizif an Lévanjil-yo. Césarée lanmè-a sé an senbòl Wòm—bèt-la, é Césarée latè-a sé an senbòl dragon-an. Sè White idantifyé peryòd-la ki sòti dépi kwa-a jis Pentkòt-la, “saison pentkòtal”-la, ki té koumansé bò kwa-a é ki té fini a Pentkòt.</w:t>
      </w:r>
    </w:p>
    <w:p>
      <w:pPr>
        <w:pStyle w:val="ArticleScripture"/>
        <w:jc w:val="left"/>
      </w:pPr>
      <w:r>
        <w:rPr>
          <w:rFonts w:ascii="Times New Roman" w:hAnsi="Times New Roman" w:eastAsia="Times New Roman" w:cs="Times New Roman"/>
        </w:rPr>
        <w:t>« C’est avec un ardent désir que j’attends le moment où les événements du jour de la Pentecôte se répéteront avec une puissance encore plus grande qu’en cette occasion-là. Jean dit : “Je vis un autre ange descendre du ciel, ayant une grande puissance ; et la terre fut illuminée de sa gloire.” Alors, comme au temps de la Pentecôte, les gens entendront la vérité qui leur sera annoncée, chacun dans sa propre langue. »</w:t>
      </w:r>
    </w:p>
    <w:p>
      <w:pPr>
        <w:pStyle w:val="ArticleScripture"/>
        <w:jc w:val="left"/>
      </w:pPr>
      <w:r>
        <w:rPr>
          <w:rFonts w:ascii="Times New Roman" w:hAnsi="Times New Roman" w:eastAsia="Times New Roman" w:cs="Times New Roman"/>
        </w:rPr>
        <w:t>“Rabbii lubbuu haaraan lubbuu hundumaa isa garaa qulqulluu irraa Isa tajaajiluu hawwu keessatti afuufuu ni danda’a; ibidda lubbuu qabu isa irraa iddoo aarsaa irraa fuudhee hidhii tuquu ni danda’a; isaanis galata Isaa ibsu keessatti afaan-mi’aawoo akka ta’an gochuu ni danda’a. Kumaatamni sagalee humna dhugaa dinqisiisaa Dubbii Waaqayyoo labsuuf ittiin guutaman ni jiraatu. Arrabni daddaaqaan hiikama; warri sodaatan immoo dhugaaaf dhugaa-baatuu ija-jabeessaa ba’uuf cimoo ni ta’u. Yommuu bokkaan boodaa dhangalaafamutti isa keessatti hirmaattota akka ta’aniif, Gooftaan saba Isaa xurii hundumaa irraa mana qulqullummaa lubbuu isaanii qulqulleessuu fi Isatti walitti-dhufeenya akkasitti dhi’aa ta’e eeggachuu keessatti akka isaan gargaaru haa ta’u.” Review and Herald, July 20, 1886.</w:t>
      </w:r>
    </w:p>
    <w:p>
      <w:pPr>
        <w:pStyle w:val="ArticleBody"/>
        <w:jc w:val="left"/>
      </w:pPr>
      <w:r>
        <w:rPr>
          <w:rFonts w:ascii="Times New Roman" w:hAnsi="Times New Roman" w:eastAsia="Times New Roman" w:cs="Times New Roman"/>
        </w:rPr>
        <w:t>Techniquement, la saison de la Pentecôte commencerait à la fête des prémices, laquelle correspond à la résurrection du Christ ; mais sans la mort de la croix, il n’y aurait pas eu de sang que le Sauveur ressuscité aurait emporté avec Lui lorsqu’Il se releva. Sans Sa mort, Lui, en tant que Pain de vie, ne se serait pas reposé le jour de la fête des pains sans levain, et il fallait que le Pain de vie se reposât avant de ressusciter à la fête des prémices, inaugurant ainsi la période de cinquante jours qui conduisait au jour et à la fête de la Pentecôte.</w:t>
      </w:r>
    </w:p>
    <w:p>
      <w:pPr>
        <w:pStyle w:val="ArticleBody"/>
        <w:jc w:val="left"/>
      </w:pPr>
      <w:r>
        <w:rPr>
          <w:rFonts w:ascii="Times New Roman" w:hAnsi="Times New Roman" w:eastAsia="Times New Roman" w:cs="Times New Roman"/>
        </w:rPr>
        <w:t>Ntango Klisto ayaki mpo na kolendisa boyokani mpo na pɔsɔ moko; pɔsɔ yango ebandaki na libatisi na Ye mpe na nsima, “na katikati ya pɔsɔ,” mbula misato na ndambo na nsima, babakamaki Ye na ekulusu, apemaki na nkunda na mokolo ya Fɛti ya Mampa Ezangá Levire, asekwaki lokola fɛti ya mbuma ya liboso ya elanga ya orje na mokolo ya Lomingo, mpe bongo abandisaki eleko ya mikolo ntuku mitano ya Pantekote oyo ekómaki kino na fɛti ya mbuma ya liboso ya blé. Uta na ekulusu kino na nsuka ya pɔsɔ, mbula misato na ndambo na nsima, eleko ya mbula nsambo esukaki na Kolenelio wa Kaisalia Maritima, oyo akómaki mpenza Moto ya liboso ya Bapakano oyo abongwanaki–na Lingomba ya Boklisto na nsuka ya pɔsɔ na mobu 34 nsima ya Klisto.</w:t>
      </w:r>
    </w:p>
    <w:p>
      <w:pPr>
        <w:pStyle w:val="ArticleBody"/>
        <w:jc w:val="left"/>
      </w:pPr>
      <w:r>
        <w:rPr>
          <w:rFonts w:ascii="Times New Roman" w:hAnsi="Times New Roman" w:eastAsia="Times New Roman" w:cs="Times New Roman"/>
        </w:rPr>
        <w:t>Христос ирж гэрээг баталсан тэр долоо хоног нь эш үзүүллэгийн хувьд 2,520 хоног бөгөөд загалмай нь “долоо хоногийн дунд үе”-д байдаг; тиймээс баптисмын дараа 1,260 хоногийн хойно, мөн Корнели хөрвөсөнөөс 1,260 хоногийн өмнө байсан юм. Загалмай дээр Христ гурав дахь цагт цовдлогдож, ес дэх цагт нас барсан. Тэр нь Пентекостын улирлын эхлэл байсан бөгөөд төгсгөлд нь (учир нь Есүс үргэлж төгсгөлийг эхлэлээр дүрслэн үзүүлдэг) Пентекостын өдөр Петр Иоелын номоос анхны номлолоо гурав дахь цагт, Христ амилсныхаа өдөр шавь нартай уулзсан дээд өрөөнд айлдсан. Дараа нь Петр Иоелын тухай хоёр дахь номлолоо сүмд ес дэх цагт айлдсан. Гурав дахь болон ес дэх цаг нь Пентекостын улирлын эхлэл ба төгсгөлийн альфа ба омега бэлгэдэл мөн нь илэрхий байна.</w:t>
      </w:r>
    </w:p>
    <w:p>
      <w:pPr>
        <w:pStyle w:val="ArticleBody"/>
        <w:jc w:val="left"/>
      </w:pPr>
      <w:r>
        <w:rPr>
          <w:rFonts w:ascii="Times New Roman" w:hAnsi="Times New Roman" w:eastAsia="Times New Roman" w:cs="Times New Roman"/>
        </w:rPr>
        <w:t>Linja mbi linjë, kur e vëmë në përputhje orën e tretë dhe të nëntë të këtyre dy ngjarjeve, gjejmë gjashtë orët si një periudhë profetike që japin gjithashtu një dëshmi të një ndarjeje. Krishti kalon nga jeta në vdekje e pastaj në jetë. Ai kalon nga toka në qiell dhe kthehet përsëri në tokë. Pjetri është jashtë dhe pastaj brenda tempullit. Ka, sigurisht, edhe përputhje të tjera paralele nga ora e tretë deri në të nëntën, por së pari duhet të shqyrtojmë Pjetrin, Kornelin dhe Cezarenë pranë detit.</w:t>
      </w:r>
    </w:p>
    <w:p>
      <w:pPr>
        <w:pStyle w:val="ArticleBody"/>
        <w:jc w:val="left"/>
      </w:pPr>
      <w:r>
        <w:rPr>
          <w:rFonts w:ascii="Times New Roman" w:hAnsi="Times New Roman" w:eastAsia="Times New Roman" w:cs="Times New Roman"/>
        </w:rPr>
        <w:t>So wie bei den prophetischen Abschnitten, die in den sechs Stunden dargestellt sind, war es die neunte Stunde, als der Engel zu Kornelius gesandt wurde, um ihn anzuweisen, nach Petrus zu senden.</w:t>
      </w:r>
    </w:p>
    <w:p>
      <w:pPr>
        <w:pStyle w:val="ArticleScripture"/>
        <w:jc w:val="left"/>
      </w:pPr>
      <w:r>
        <w:rPr>
          <w:rFonts w:ascii="Times New Roman" w:hAnsi="Times New Roman" w:eastAsia="Times New Roman" w:cs="Times New Roman"/>
        </w:rPr>
        <w:t>Bha duine àraidh ann an Cæsarea dom b’ ainm Cornelius, ceannard-ceud de’n bhuidhinn ris an abradh a’ bhuidheann Eadailteach, duine diadhaidh, agus air an robh eagal Dhè maille r’a uile thigh; neach a thug mòran dèirc do’n t-sluagh, agus a rinn urnuigh ri Dia an còmhnuidh. Chunnaic e ann an taisbeanadh gu soilleir mu’n naoidheamh uair de’n là aingeal Dhè a’ teachd a steach d’a ionnsuidh, agus ag ràdh ris, A Chorneliuis. Agus air dha amharc gu geur air, ghabh e eagal, agus thubhairt e, Ciod e, a Thighearn? Agus thubhairt esan ris, Chaidh d’ urnuighean agus do dhèircean suas mar chuimhneachan am fianuis Dhè. Agus a nis cuir daoine gu Iopa, agus fiosraich air Simon àraidh, dom bheil an sloinneadh Peadar. Gnìomharan 10:1–5.</w:t>
      </w:r>
    </w:p>
    <w:p>
      <w:pPr>
        <w:pStyle w:val="ArticleBody"/>
        <w:jc w:val="left"/>
      </w:pPr>
      <w:r>
        <w:rPr>
          <w:rFonts w:ascii="Times New Roman" w:hAnsi="Times New Roman" w:eastAsia="Times New Roman" w:cs="Times New Roman"/>
        </w:rPr>
        <w:t>Ngufika kwengelosi kuwuphawu lomlayezo, nolophawu lwendlela, futhi ingelosi iyaqinisekisa ukuthi luwuphawu lwendlela lapho ithi, “Imikhuleko yakho nezipho zakho kubampofu kukhuphukele zaba yisikhumbuzo phambi kukaNkulunkulu.” Uphawu lwendlela lwesiphetho seviki nguKorneliyu ethumela ukuba kubizwe uPetru ngehora lesishiyagalolunye emva kokuzila ukudla izinsuku ezine, futhi kubizwa ngokuthi “isikhumbuzo,” okuyilona uphawu lwendlela. Njengo “nduna yekhulu,” uKorneliyu wayengukaputeni ophethe amadoda ayikhulu.</w:t>
      </w:r>
    </w:p>
    <w:p>
      <w:pPr>
        <w:pStyle w:val="ArticleBody"/>
        <w:jc w:val="left"/>
      </w:pPr>
      <w:r>
        <w:rPr>
          <w:rFonts w:ascii="Times New Roman" w:hAnsi="Times New Roman" w:eastAsia="Times New Roman" w:cs="Times New Roman"/>
        </w:rPr>
        <w:t>کله چې پطرس په متى شپاړسم کې په قیصریه فیلپي کې وي، د هېڅ ساعت یادونه نه کېږي. قیصریه فیلپي د هغه ښار نوم دی په هغه وخت کې چې عیسی شاګردان هلته بوتلل. د دانیال یوولسم په تاریخ کې، دیارلسم تر پنځلسمو آیتونو کې، هغه آیتونه چې د پانیوم په جګړه کې پوره شول، او چې د هغې جګړې بېلګه ده کومه چې په متحده ایالاتو کې د یکشنبې د قانون پر لور بیایي، قیصریه فیلپي د پانیوم په نوم یادېده. پطرس په دیارلسم تر پنځلسمو آیتونو کې دی کله چې هغه په قیصریه فیلپي کې وي، چې هماغه پانیوم دی.</w:t>
      </w:r>
    </w:p>
    <w:p>
      <w:pPr>
        <w:pStyle w:val="ArticleBody"/>
        <w:jc w:val="left"/>
      </w:pPr>
      <w:r>
        <w:rPr>
          <w:rFonts w:ascii="Times New Roman" w:hAnsi="Times New Roman" w:eastAsia="Times New Roman" w:cs="Times New Roman"/>
        </w:rPr>
        <w:t>Daniele onze verzen dertien tot en met vijftien te onderkennen als een vervulling in de Slag bij Panium, en te erkennen dat deze verzen samen met de geschiedenis van de Slag bij Panium een oorlog aanwijzen die voert tot de zondagswet in de Verenigde Staten, is precies de wijze waarop de methodiek van regel op regel is ontworpen te functioneren. De toepassing van die methodiek vereist dat Caesarea Filippi en Panium met elkander in overeenstemming worden gebracht, want de voornaamste regel van de profetie die deze waarheid betreft, luidt dat “elk van de oude profeten meer voor onze tijd sprak dan voor de dagen waarin hij leefde.” Paulus voegt daaraan toe dat de geesten der profeten aan de profeten onderworpen zijn; zodat zij niet alleen allen de laatste dagen aanwijzen, maar ook allen overeenstemmen.</w:t>
      </w:r>
    </w:p>
    <w:p>
      <w:pPr>
        <w:pStyle w:val="ArticleBody"/>
        <w:jc w:val="left"/>
      </w:pPr>
      <w:r>
        <w:rPr>
          <w:rFonts w:ascii="Times New Roman" w:hAnsi="Times New Roman" w:eastAsia="Times New Roman" w:cs="Times New Roman"/>
        </w:rPr>
        <w:t>Mo sababu yango, soki mpe ntango Panium eyebani na Liloba ya esakweli ya Nzambe lokola Panium mpe na sima lokola Cesarea Filipi, nyonso mibale esengeli kosalelama na mikolo ya suka, mpe esengeli koyokana elongo, mpo ete ezali engumba moko kaka.</w:t>
      </w:r>
    </w:p>
    <w:p>
      <w:pPr>
        <w:pStyle w:val="ArticleBody"/>
        <w:jc w:val="left"/>
      </w:pPr>
      <w:r>
        <w:rPr>
          <w:rFonts w:ascii="Times New Roman" w:hAnsi="Times New Roman" w:eastAsia="Times New Roman" w:cs="Times New Roman"/>
        </w:rPr>
        <w:t>اس منطق کے ساتھ مربوط، اگرچہ قدرے مختلف، قیصریہ فلپی اور قیصریہ ماریطیما ہیں۔ پطرس مسیح کے ساتھ قیصریہ فلپی گیا، لیکن روح القدس کی طرف سے اسے قیصریہ ماریطیما بھیجا گیا۔ تاہم دونوں قیصریاؤں میں پطرس ہی عہد کا مرکزی کردار ہے۔ اس سلسلے کی شاندار بات یہ ہے کہ نویں گھنٹے میں کرنیلیس کے پاس فرشتہ آیا اور اسے ہدایت کی کہ پطرس کو بلوائے۔ قیصریہ میں پطرس ایک نبوی علامت ہے، لیکن دونوں قیصریائیں نمایاں طور پر مختلف ہیں۔ ایک سمندر کے کنارے واقع قیصریہ ہے، اور دوسری خشکی پر واقع قیصریہ۔ سمندر کے کنارے واقع قیصریہ کا تعلق غیر قوموں سے ہے، اور کرنیلیس سنہ 34 عیسوی میں عہد کے ہفتے کے عین اختتام پر پہلا غیر قوم ایماندار بنا۔ سمندر کے کنارے واقع قیصریہ نویں گھنٹے سے وابستہ ہے، اور ہیکل میں پنتیکست کے موقع پر پطرس کے ساتھ، اور نویں گھنٹے میں مسیح کی موت کے ساتھ ہم آہنگ ہے۔</w:t>
      </w:r>
    </w:p>
    <w:p>
      <w:pPr>
        <w:pStyle w:val="ArticleBody"/>
        <w:jc w:val="left"/>
      </w:pPr>
      <w:r>
        <w:rPr>
          <w:rFonts w:ascii="Times New Roman" w:hAnsi="Times New Roman" w:eastAsia="Times New Roman" w:cs="Times New Roman"/>
        </w:rPr>
        <w:t>قیصریه نزد زمین، یعنی قیصریه فیلیپی، ساعتِ سوم است. هیچ گزینهٔ دیگری برای انتخاب وجود ندارد. قیصریه فیلیپی در آغاز، ساعتِ سوم، و قیصریه ماریتیما در پایان، ساعتِ نهم است. فیلیپی آلفایِ دورهٔ شش‌ساعته است و ماریتیما اومگا. اومگا در ساعتِ نهم، مرگِ مسیح در میانهٔ هفتهٔ عهد بود، و پطرس در معبد در پنطیکاست نیز ساعتِ نهم بود. فراخواندنِ پطرس از سوی کرنیلیوس با مرگِ مسیح منطبق است، که نمونهٔ شریعتِ یکشنبه است، و نیز با پطرس در معبد در پنطیکاست، که بار دیگر نمونهٔ شریعتِ یکشنبه است. کرنیلیوس، به‌عنوان نخستین نوکیشِ امّی، نمایندهٔ نخستین کارگرِ ساعتِ یازدهم در شریعتِ یکشنبه است.</w:t>
      </w:r>
    </w:p>
    <w:p>
      <w:pPr>
        <w:pStyle w:val="ArticleBody"/>
        <w:jc w:val="left"/>
      </w:pPr>
      <w:r>
        <w:rPr>
          <w:rFonts w:ascii="Times New Roman" w:hAnsi="Times New Roman" w:eastAsia="Times New Roman" w:cs="Times New Roman"/>
        </w:rPr>
        <w:t>‘</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సిలువ</w:t>
      </w:r>
      <w:r>
        <w:rPr>
          <w:rFonts w:ascii="Times New Roman" w:hAnsi="Times New Roman" w:eastAsia="Times New Roman" w:cs="Times New Roman"/>
        </w:rPr>
        <w:t xml:space="preserve"> </w:t>
      </w:r>
      <w:r>
        <w:rPr>
          <w:rFonts w:ascii="Nirmala UI" w:hAnsi="Nirmala UI" w:eastAsia="Nirmala UI" w:cs="Nirmala UI"/>
        </w:rPr>
        <w:t>వేయబడిన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ఘడియ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పైగదిలో</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ఘడియ</w:t>
      </w:r>
      <w:r>
        <w:rPr>
          <w:rFonts w:ascii="Times New Roman" w:hAnsi="Times New Roman" w:eastAsia="Times New Roman" w:cs="Times New Roman"/>
        </w:rPr>
        <w:t xml:space="preserve">’ </w:t>
      </w:r>
      <w:r>
        <w:rPr>
          <w:rFonts w:ascii="Nirmala UI" w:hAnsi="Nirmala UI" w:eastAsia="Nirmala UI" w:cs="Nirmala UI"/>
        </w:rPr>
        <w:t>తప్పనిసరిగా</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కేవలం</w:t>
      </w:r>
      <w:r>
        <w:rPr>
          <w:rFonts w:ascii="Times New Roman" w:hAnsi="Times New Roman" w:eastAsia="Times New Roman" w:cs="Times New Roman"/>
        </w:rPr>
        <w:t xml:space="preserve"> </w:t>
      </w:r>
      <w:r>
        <w:rPr>
          <w:rFonts w:ascii="Nirmala UI" w:hAnsi="Nirmala UI" w:eastAsia="Nirmala UI" w:cs="Nirmala UI"/>
        </w:rPr>
        <w:t>కైసరయ</w:t>
      </w:r>
      <w:r>
        <w:rPr>
          <w:rFonts w:ascii="Times New Roman" w:hAnsi="Times New Roman" w:eastAsia="Times New Roman" w:cs="Times New Roman"/>
        </w:rPr>
        <w:t xml:space="preserve"> </w:t>
      </w:r>
      <w:r>
        <w:rPr>
          <w:rFonts w:ascii="Nirmala UI" w:hAnsi="Nirmala UI" w:eastAsia="Nirmala UI" w:cs="Nirmala UI"/>
        </w:rPr>
        <w:t>ఫిలిప్పీయనే</w:t>
      </w:r>
      <w:r>
        <w:rPr>
          <w:rFonts w:ascii="Times New Roman" w:hAnsi="Times New Roman" w:eastAsia="Times New Roman" w:cs="Times New Roman"/>
        </w:rPr>
        <w:t xml:space="preserve"> </w:t>
      </w:r>
      <w:r>
        <w:rPr>
          <w:rFonts w:ascii="Nirmala UI" w:hAnsi="Nirmala UI" w:eastAsia="Nirmala UI" w:cs="Nirmala UI"/>
        </w:rPr>
        <w:t>సూచించవలెను</w:t>
      </w:r>
      <w:r>
        <w:rPr>
          <w:rFonts w:ascii="Times New Roman" w:hAnsi="Times New Roman" w:eastAsia="Times New Roman" w:cs="Times New Roman"/>
        </w:rPr>
        <w:t xml:space="preserve">. </w:t>
      </w:r>
      <w:r>
        <w:rPr>
          <w:rFonts w:ascii="Nirmala UI" w:hAnsi="Nirmala UI" w:eastAsia="Nirmala UI" w:cs="Nirmala UI"/>
        </w:rPr>
        <w:t>పెంతెకొస్తు</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పైగది</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పునరుత్థానము</w:t>
      </w:r>
      <w:r>
        <w:rPr>
          <w:rFonts w:ascii="Times New Roman" w:hAnsi="Times New Roman" w:eastAsia="Times New Roman" w:cs="Times New Roman"/>
        </w:rPr>
        <w:t xml:space="preserve">, </w:t>
      </w:r>
      <w:r>
        <w:rPr>
          <w:rFonts w:ascii="Nirmala UI" w:hAnsi="Nirmala UI" w:eastAsia="Nirmala UI" w:cs="Nirmala UI"/>
        </w:rPr>
        <w:t>ఆరోహణము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అవతరణము</w:t>
      </w:r>
      <w:r>
        <w:rPr>
          <w:rFonts w:ascii="Times New Roman" w:hAnsi="Times New Roman" w:eastAsia="Times New Roman" w:cs="Times New Roman"/>
        </w:rPr>
        <w:t xml:space="preserve"> </w:t>
      </w:r>
      <w:r>
        <w:rPr>
          <w:rFonts w:ascii="Nirmala UI" w:hAnsi="Nirmala UI" w:eastAsia="Nirmala UI" w:cs="Nirmala UI"/>
        </w:rPr>
        <w:t>అనంతరం</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ప్రత్యక్షమైన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పైగదియే</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పైగదికి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యాభై</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గడచి</w:t>
      </w:r>
      <w:r>
        <w:rPr>
          <w:rFonts w:ascii="Times New Roman" w:hAnsi="Times New Roman" w:eastAsia="Times New Roman" w:cs="Times New Roman"/>
        </w:rPr>
        <w:t xml:space="preserve">, </w:t>
      </w:r>
      <w:r>
        <w:rPr>
          <w:rFonts w:ascii="Nirmala UI" w:hAnsi="Nirmala UI" w:eastAsia="Nirmala UI" w:cs="Nirmala UI"/>
        </w:rPr>
        <w:t>పెంతెకొస్తు</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పేతురు</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పైగదిలో</w:t>
      </w:r>
      <w:r>
        <w:rPr>
          <w:rFonts w:ascii="Times New Roman" w:hAnsi="Times New Roman" w:eastAsia="Times New Roman" w:cs="Times New Roman"/>
        </w:rPr>
        <w:t xml:space="preserve"> </w:t>
      </w:r>
      <w:r>
        <w:rPr>
          <w:rFonts w:ascii="Nirmala UI" w:hAnsi="Nirmala UI" w:eastAsia="Nirmala UI" w:cs="Nirmala UI"/>
        </w:rPr>
        <w:t>యోవేలు</w:t>
      </w:r>
      <w:r>
        <w:rPr>
          <w:rFonts w:ascii="Times New Roman" w:hAnsi="Times New Roman" w:eastAsia="Times New Roman" w:cs="Times New Roman"/>
        </w:rPr>
        <w:t xml:space="preserve"> </w:t>
      </w:r>
      <w:r>
        <w:rPr>
          <w:rFonts w:ascii="Nirmala UI" w:hAnsi="Nirmala UI" w:eastAsia="Nirmala UI" w:cs="Nirmala UI"/>
        </w:rPr>
        <w:t>గ్రంథ</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Цезарея Филиппова — это третий час, соотносящийся с распятием и горницей в Пятидесятницу. Распятие есть символ рассеяния, а горница — символ единства. Это указывает на Цезарею Филиппову как на точку непосредственно перед воскресным законом, где один класс рассеивается, а другой собирается. Когда история битвы при Паниуме начнёт повторяться, неразумные и мудрые девы будут навеки отделены друг от друга, и отделение это произойдёт из-за креста, который представляет приближение воскресного закона. Именно в Цезарее Филипповой Христос начал учить о приближающемся воскресном законе. Когда Он сделал это, Пётр воспротивился этой вести; таким образом, в пределах девяти стихов Пётр представляет тех, кто запечатлён, и тех, кто рассеян вестью о кресте, которая есть воскресный закон.</w:t>
      </w:r>
    </w:p>
    <w:p>
      <w:pPr>
        <w:pStyle w:val="ArticleScripture"/>
        <w:jc w:val="left"/>
      </w:pPr>
      <w:r>
        <w:rPr>
          <w:rFonts w:ascii="Times New Roman" w:hAnsi="Times New Roman" w:eastAsia="Times New Roman" w:cs="Times New Roman"/>
        </w:rPr>
        <w:t>Él les dit: Pero vosotros, ¿quién decís que soy yo?</w:t>
      </w:r>
    </w:p>
    <w:p>
      <w:pPr>
        <w:pStyle w:val="ArticleScripture"/>
        <w:jc w:val="left"/>
      </w:pPr>
      <w:r>
        <w:rPr>
          <w:rFonts w:ascii="Times New Roman" w:hAnsi="Times New Roman" w:eastAsia="Times New Roman" w:cs="Times New Roman"/>
        </w:rPr>
        <w:t>И ответил Симон Пётр: Ты — Христос, Сын Бога живого.</w:t>
      </w:r>
    </w:p>
    <w:p>
      <w:pPr>
        <w:pStyle w:val="ArticleScripture"/>
        <w:jc w:val="left"/>
      </w:pPr>
      <w:r>
        <w:rPr>
          <w:rFonts w:ascii="Times New Roman" w:hAnsi="Times New Roman" w:eastAsia="Times New Roman" w:cs="Times New Roman"/>
        </w:rPr>
        <w:t>Jésù sì dá a lóhùn, ó sì wí fún un pé, Ìbùkún ni fún ọ, Símónì Bàríjónà; nítorí ẹran-ara àti ẹ̀jẹ̀ kì í ṣe ẹni tí ó fi èyí hàn ọ́, bí kò ṣe Baba mi tí ń bẹ ní ọ̀run. Èmi pẹ̀lú sì wí fún ọ pé, ìwọ ni Pétérù, àti lórí àpáta yìí ni èmi yóò kọ́ ìjọ mi; àwọn ẹnubodè ọ̀run àpáàdì kì yóò borí rẹ̀. Èmi yóò sì fi àwọn kọ́kọ́rọ́ ìjọba ọ̀run fún ọ: ohun gbogbo tí ìwọ bá dè lórí ilẹ̀ ayé ni a ó dè ní ọ̀run: ohun gbogbo tí ìwọ bá tú lórí ilẹ̀ ayé ni a ó tú ní ọ̀run.</w:t>
      </w:r>
    </w:p>
    <w:p>
      <w:pPr>
        <w:pStyle w:val="ArticleScripture"/>
        <w:jc w:val="left"/>
      </w:pPr>
      <w:r>
        <w:rPr>
          <w:rFonts w:ascii="Times New Roman" w:hAnsi="Times New Roman" w:eastAsia="Times New Roman" w:cs="Times New Roman"/>
        </w:rPr>
        <w:t>Aliwaagiza wanafunzi wake wasimwambie mtu ye yote kwamba yeye ndiye Yesu Kristo. Tangu wakati huo Yesu akaanza kuwaonyesha wanafunzi wake ya kwamba imempasa kwenda Yerusalemu, na kuteswa mambo mengi na wazee na wakuu wa makuhani na waandishi, na kuuawa, na kufufuliwa siku ya tatu.</w:t>
      </w:r>
    </w:p>
    <w:p>
      <w:pPr>
        <w:pStyle w:val="ArticleScripture"/>
        <w:jc w:val="left"/>
      </w:pPr>
      <w:r>
        <w:rPr>
          <w:rFonts w:ascii="Times New Roman" w:hAnsi="Times New Roman" w:eastAsia="Times New Roman" w:cs="Times New Roman"/>
        </w:rPr>
        <w:t>Atëherë Pjetri e mori veçmas dhe nisi ta qortojë, duke thënë: Larg qoftë prej teje, o Zot; kjo nuk do të të ndodhë ty.</w:t>
      </w:r>
    </w:p>
    <w:p>
      <w:pPr>
        <w:pStyle w:val="ArticleScripture"/>
        <w:jc w:val="left"/>
      </w:pPr>
      <w:r>
        <w:rPr>
          <w:rFonts w:ascii="Times New Roman" w:hAnsi="Times New Roman" w:eastAsia="Times New Roman" w:cs="Times New Roman"/>
        </w:rPr>
        <w:t>Mais il se retourna et dit à Pierre : Arrière de moi, Satan ! tu m’es en scandale ; car tes pensées ne sont pas aux choses de Dieu, mais à celles des hommes. Matthieu 16:15–23.</w:t>
      </w:r>
    </w:p>
    <w:p>
      <w:pPr>
        <w:pStyle w:val="ArticleBody"/>
        <w:jc w:val="left"/>
      </w:pP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ስቅለት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የጴጥሮስ</w:t>
      </w:r>
      <w:r>
        <w:rPr>
          <w:rFonts w:ascii="Times New Roman" w:hAnsi="Times New Roman" w:eastAsia="Times New Roman" w:cs="Times New Roman"/>
        </w:rPr>
        <w:t xml:space="preserve"> </w:t>
      </w:r>
      <w:r>
        <w:rPr>
          <w:rFonts w:ascii="Ebrima" w:hAnsi="Ebrima" w:eastAsia="Ebrima" w:cs="Ebrima"/>
        </w:rPr>
        <w:t>የላይኛው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እህልና</w:t>
      </w:r>
      <w:r>
        <w:rPr>
          <w:rFonts w:ascii="Times New Roman" w:hAnsi="Times New Roman" w:eastAsia="Times New Roman" w:cs="Times New Roman"/>
        </w:rPr>
        <w:t xml:space="preserve"> </w:t>
      </w:r>
      <w:r>
        <w:rPr>
          <w:rFonts w:ascii="Ebrima" w:hAnsi="Ebrima" w:eastAsia="Ebrima" w:cs="Ebrima"/>
        </w:rPr>
        <w:t>አረም</w:t>
      </w:r>
      <w:r>
        <w:rPr>
          <w:rFonts w:ascii="Times New Roman" w:hAnsi="Times New Roman" w:eastAsia="Times New Roman" w:cs="Times New Roman"/>
        </w:rPr>
        <w:t xml:space="preserve"> </w:t>
      </w:r>
      <w:r>
        <w:rPr>
          <w:rFonts w:ascii="Ebrima" w:hAnsi="Ebrima" w:eastAsia="Ebrima" w:cs="Ebrima"/>
        </w:rPr>
        <w:t>ሁለቱንም</w:t>
      </w:r>
      <w:r>
        <w:rPr>
          <w:rFonts w:ascii="Times New Roman" w:hAnsi="Times New Roman" w:eastAsia="Times New Roman" w:cs="Times New Roman"/>
        </w:rPr>
        <w:t xml:space="preserve"> </w:t>
      </w:r>
      <w:r>
        <w:rPr>
          <w:rFonts w:ascii="Ebrima" w:hAnsi="Ebrima" w:eastAsia="Ebrima" w:cs="Ebrima"/>
        </w:rPr>
        <w:t>የያዘች</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በመሆኗ</w:t>
      </w:r>
      <w:r>
        <w:rPr>
          <w:rFonts w:ascii="Times New Roman" w:hAnsi="Times New Roman" w:eastAsia="Times New Roman" w:cs="Times New Roman"/>
        </w:rPr>
        <w:t xml:space="preserve"> </w:t>
      </w:r>
      <w:r>
        <w:rPr>
          <w:rFonts w:ascii="Ebrima" w:hAnsi="Ebrima" w:eastAsia="Ebrima" w:cs="Ebrima"/>
        </w:rPr>
        <w:t>የምትገለጸውን</w:t>
      </w:r>
      <w:r>
        <w:rPr>
          <w:rFonts w:ascii="Times New Roman" w:hAnsi="Times New Roman" w:eastAsia="Times New Roman" w:cs="Times New Roman"/>
        </w:rPr>
        <w:t xml:space="preserve"> </w:t>
      </w:r>
      <w:r>
        <w:rPr>
          <w:rFonts w:ascii="Ebrima" w:hAnsi="Ebrima" w:eastAsia="Ebrima" w:cs="Ebrima"/>
        </w:rPr>
        <w:t>ተዋጊቱን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አሸናፊቱ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የሚያደርሰውን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ሽግግር</w:t>
      </w:r>
      <w:r>
        <w:rPr>
          <w:rFonts w:ascii="Times New Roman" w:hAnsi="Times New Roman" w:eastAsia="Times New Roman" w:cs="Times New Roman"/>
        </w:rPr>
        <w:t xml:space="preserve"> </w:t>
      </w:r>
      <w:r>
        <w:rPr>
          <w:rFonts w:ascii="Ebrima" w:hAnsi="Ebrima" w:eastAsia="Ebrima" w:cs="Ebrima"/>
        </w:rPr>
        <w:t>ያስተካክላሉ።</w:t>
      </w:r>
      <w:r>
        <w:rPr>
          <w:rFonts w:ascii="Times New Roman" w:hAnsi="Times New Roman" w:eastAsia="Times New Roman" w:cs="Times New Roman"/>
        </w:rPr>
        <w:t xml:space="preserve"> </w:t>
      </w:r>
      <w:r>
        <w:rPr>
          <w:rFonts w:ascii="Ebrima" w:hAnsi="Ebrima" w:eastAsia="Ebrima" w:cs="Ebrima"/>
        </w:rPr>
        <w:t>አሸናፊቱ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የጰንጠቆስጤ</w:t>
      </w:r>
      <w:r>
        <w:rPr>
          <w:rFonts w:ascii="Times New Roman" w:hAnsi="Times New Roman" w:eastAsia="Times New Roman" w:cs="Times New Roman"/>
        </w:rPr>
        <w:t xml:space="preserve"> </w:t>
      </w:r>
      <w:r>
        <w:rPr>
          <w:rFonts w:ascii="Ebrima" w:hAnsi="Ebrima" w:eastAsia="Ebrima" w:cs="Ebrima"/>
        </w:rPr>
        <w:t>የበኩራት</w:t>
      </w:r>
      <w:r>
        <w:rPr>
          <w:rFonts w:ascii="Times New Roman" w:hAnsi="Times New Roman" w:eastAsia="Times New Roman" w:cs="Times New Roman"/>
        </w:rPr>
        <w:t xml:space="preserve"> </w:t>
      </w:r>
      <w:r>
        <w:rPr>
          <w:rFonts w:ascii="Ebrima" w:hAnsi="Ebrima" w:eastAsia="Ebrima" w:cs="Ebrima"/>
        </w:rPr>
        <w:t>የስንዴ</w:t>
      </w:r>
      <w:r>
        <w:rPr>
          <w:rFonts w:ascii="Times New Roman" w:hAnsi="Times New Roman" w:eastAsia="Times New Roman" w:cs="Times New Roman"/>
        </w:rPr>
        <w:t xml:space="preserve"> </w:t>
      </w:r>
      <w:r>
        <w:rPr>
          <w:rFonts w:ascii="Ebrima" w:hAnsi="Ebrima" w:eastAsia="Ebrima" w:cs="Ebrima"/>
        </w:rPr>
        <w:t>መባ</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አረሙና</w:t>
      </w:r>
      <w:r>
        <w:rPr>
          <w:rFonts w:ascii="Times New Roman" w:hAnsi="Times New Roman" w:eastAsia="Times New Roman" w:cs="Times New Roman"/>
        </w:rPr>
        <w:t xml:space="preserve"> </w:t>
      </w:r>
      <w:r>
        <w:rPr>
          <w:rFonts w:ascii="Ebrima" w:hAnsi="Ebrima" w:eastAsia="Ebrima" w:cs="Ebrima"/>
        </w:rPr>
        <w:t>ስንዴው</w:t>
      </w:r>
      <w:r>
        <w:rPr>
          <w:rFonts w:ascii="Times New Roman" w:hAnsi="Times New Roman" w:eastAsia="Times New Roman" w:cs="Times New Roman"/>
        </w:rPr>
        <w:t xml:space="preserve"> </w:t>
      </w:r>
      <w:r>
        <w:rPr>
          <w:rFonts w:ascii="Ebrima" w:hAnsi="Ebrima" w:eastAsia="Ebrima" w:cs="Ebrima"/>
        </w:rPr>
        <w:t>ብስለታቸውን</w:t>
      </w:r>
      <w:r>
        <w:rPr>
          <w:rFonts w:ascii="Times New Roman" w:hAnsi="Times New Roman" w:eastAsia="Times New Roman" w:cs="Times New Roman"/>
        </w:rPr>
        <w:t xml:space="preserve"> </w:t>
      </w:r>
      <w:r>
        <w:rPr>
          <w:rFonts w:ascii="Ebrima" w:hAnsi="Ebrima" w:eastAsia="Ebrima" w:cs="Ebrima"/>
        </w:rPr>
        <w:t>በደረሱ</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ይለያሉ።</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9/11 </w:t>
      </w:r>
      <w:r>
        <w:rPr>
          <w:rFonts w:ascii="Ebrima" w:hAnsi="Ebrima" w:eastAsia="Ebrima" w:cs="Ebrima"/>
        </w:rPr>
        <w:t>መርጨት</w:t>
      </w:r>
      <w:r>
        <w:rPr>
          <w:rFonts w:ascii="Times New Roman" w:hAnsi="Times New Roman" w:eastAsia="Times New Roman" w:cs="Times New Roman"/>
        </w:rPr>
        <w:t xml:space="preserve"> </w:t>
      </w: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ስንዴውንና</w:t>
      </w:r>
      <w:r>
        <w:rPr>
          <w:rFonts w:ascii="Times New Roman" w:hAnsi="Times New Roman" w:eastAsia="Times New Roman" w:cs="Times New Roman"/>
        </w:rPr>
        <w:t xml:space="preserve"> </w:t>
      </w:r>
      <w:r>
        <w:rPr>
          <w:rFonts w:ascii="Ebrima" w:hAnsi="Ebrima" w:eastAsia="Ebrima" w:cs="Ebrima"/>
        </w:rPr>
        <w:t>አረሙን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የሚያመጣቸው።</w:t>
      </w:r>
    </w:p>
    <w:p>
      <w:pPr>
        <w:pStyle w:val="ArticleBody"/>
        <w:jc w:val="left"/>
      </w:pPr>
      <w:r>
        <w:rPr>
          <w:rFonts w:ascii="Times New Roman" w:hAnsi="Times New Roman" w:eastAsia="Times New Roman" w:cs="Times New Roman"/>
        </w:rPr>
        <w:t>Une période de six heures représente l’histoire de la réunion de camp d’Exeter jusqu’au 22 octobre 1844, l’entrée triomphale du Christ dans Jérusalem et l’entrée du roi David dans Jérusalem avec l’arche. La neuvième heure est aussi le temps du sacrifice du soir, vers 15 heures.</w:t>
      </w:r>
    </w:p>
    <w:p>
      <w:pPr>
        <w:pStyle w:val="ArticleScripture"/>
        <w:jc w:val="left"/>
      </w:pPr>
      <w:r>
        <w:rPr>
          <w:rFonts w:ascii="Times New Roman" w:hAnsi="Times New Roman" w:eastAsia="Times New Roman" w:cs="Times New Roman"/>
        </w:rPr>
        <w:t>Et voici ce que tu offriras sur l’autel : deux agneaux d’un an, chaque jour, continuellement. Tu offriras l’un des agneaux le matin ; et tu offriras l’autre agneau entre les deux soirs. Exode 29:38, 39.</w:t>
      </w:r>
    </w:p>
    <w:p>
      <w:pPr>
        <w:pStyle w:val="ArticleBody"/>
        <w:jc w:val="left"/>
      </w:pPr>
      <w:r>
        <w:rPr>
          <w:rFonts w:ascii="Times New Roman" w:hAnsi="Times New Roman" w:eastAsia="Times New Roman" w:cs="Times New Roman"/>
        </w:rPr>
        <w:t xml:space="preserve">“Even”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ඇතැම්</w:t>
      </w:r>
      <w:r>
        <w:rPr>
          <w:rFonts w:ascii="Times New Roman" w:hAnsi="Times New Roman" w:eastAsia="Times New Roman" w:cs="Times New Roman"/>
        </w:rPr>
        <w:t xml:space="preserve"> </w:t>
      </w:r>
      <w:r>
        <w:rPr>
          <w:rFonts w:ascii="Nirmala UI" w:hAnsi="Nirmala UI" w:eastAsia="Nirmala UI" w:cs="Nirmala UI"/>
        </w:rPr>
        <w:t>අවස්ථාවල</w:t>
      </w:r>
      <w:r>
        <w:rPr>
          <w:rFonts w:ascii="Times New Roman" w:hAnsi="Times New Roman" w:eastAsia="Times New Roman" w:cs="Times New Roman"/>
        </w:rPr>
        <w:t xml:space="preserve"> “</w:t>
      </w:r>
      <w:r>
        <w:rPr>
          <w:rFonts w:ascii="Nirmala UI" w:hAnsi="Nirmala UI" w:eastAsia="Nirmala UI" w:cs="Nirmala UI"/>
        </w:rPr>
        <w:t>සන්ධ්</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w:t>
      </w:r>
      <w:r>
        <w:rPr>
          <w:rFonts w:ascii="Nirmala UI" w:hAnsi="Nirmala UI" w:eastAsia="Nirmala UI" w:cs="Nirmala UI"/>
        </w:rPr>
        <w:t>සන්ධ්</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දක්වයි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රිස්තුස්ගේ</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සතිය</w:t>
      </w:r>
      <w:r>
        <w:rPr>
          <w:rFonts w:ascii="Times New Roman" w:hAnsi="Times New Roman" w:eastAsia="Times New Roman" w:cs="Times New Roman"/>
        </w:rPr>
        <w:t xml:space="preserve">, </w:t>
      </w:r>
      <w:r>
        <w:rPr>
          <w:rFonts w:ascii="Nirmala UI" w:hAnsi="Nirmala UI" w:eastAsia="Nirmala UI" w:cs="Nirmala UI"/>
        </w:rPr>
        <w:t>කුරුසියේ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පෙන්තකොස්තයේ</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අල්ෆා</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සතිය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පරිච්ඡේදයක්</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සාක්ෂිකරුවන්</w:t>
      </w:r>
      <w:r>
        <w:rPr>
          <w:rFonts w:ascii="Times New Roman" w:hAnsi="Times New Roman" w:eastAsia="Times New Roman" w:cs="Times New Roman"/>
        </w:rPr>
        <w:t xml:space="preserve"> </w:t>
      </w:r>
      <w:r>
        <w:rPr>
          <w:rFonts w:ascii="Nirmala UI" w:hAnsi="Nirmala UI" w:eastAsia="Nirmala UI" w:cs="Nirmala UI"/>
        </w:rPr>
        <w:t>දෙදෙනෙක්</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සතියේ</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පෙන්තකොස්ත</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සංකේත</w:t>
      </w:r>
      <w:r>
        <w:rPr>
          <w:rFonts w:ascii="Times New Roman" w:hAnsi="Times New Roman" w:eastAsia="Times New Roman" w:cs="Times New Roman"/>
        </w:rPr>
        <w:t xml:space="preserve"> </w:t>
      </w:r>
      <w:r>
        <w:rPr>
          <w:rFonts w:ascii="Nirmala UI" w:hAnsi="Nirmala UI" w:eastAsia="Nirmala UI" w:cs="Nirmala UI"/>
        </w:rPr>
        <w:t>සමඟද</w:t>
      </w:r>
      <w:r>
        <w:rPr>
          <w:rFonts w:ascii="Times New Roman" w:hAnsi="Times New Roman" w:eastAsia="Times New Roman" w:cs="Times New Roman"/>
        </w:rPr>
        <w:t xml:space="preserve"> </w:t>
      </w:r>
      <w:r>
        <w:rPr>
          <w:rFonts w:ascii="Nirmala UI" w:hAnsi="Nirmala UI" w:eastAsia="Nirmala UI" w:cs="Nirmala UI"/>
        </w:rPr>
        <w:t>සෘජුව</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සතියේම</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පැයේදී</w:t>
      </w:r>
      <w:r>
        <w:rPr>
          <w:rFonts w:ascii="Times New Roman" w:hAnsi="Times New Roman" w:eastAsia="Times New Roman" w:cs="Times New Roman"/>
        </w:rPr>
        <w:t xml:space="preserve"> </w:t>
      </w:r>
      <w:r>
        <w:rPr>
          <w:rFonts w:ascii="Nirmala UI" w:hAnsi="Nirmala UI" w:eastAsia="Nirmala UI" w:cs="Nirmala UI"/>
        </w:rPr>
        <w:t>කෙසරියාවට</w:t>
      </w:r>
      <w:r>
        <w:rPr>
          <w:rFonts w:ascii="Times New Roman" w:hAnsi="Times New Roman" w:eastAsia="Times New Roman" w:cs="Times New Roman"/>
        </w:rPr>
        <w:t xml:space="preserve"> </w:t>
      </w:r>
      <w:r>
        <w:rPr>
          <w:rFonts w:ascii="Nirmala UI" w:hAnsi="Nirmala UI" w:eastAsia="Nirmala UI" w:cs="Nirmala UI"/>
        </w:rPr>
        <w:t>කැඳවනු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සතියේ</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යුහය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තිබීමේ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w:t>
      </w:r>
      <w:r>
        <w:rPr>
          <w:rFonts w:ascii="Nirmala UI" w:hAnsi="Nirmala UI" w:eastAsia="Nirmala UI" w:cs="Nirmala UI"/>
        </w:rPr>
        <w:t>ඒවායින්</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හයක</w:t>
      </w:r>
      <w:r>
        <w:rPr>
          <w:rFonts w:ascii="Times New Roman" w:hAnsi="Times New Roman" w:eastAsia="Times New Roman" w:cs="Times New Roman"/>
        </w:rPr>
        <w:t xml:space="preserve"> </w:t>
      </w:r>
      <w:r>
        <w:rPr>
          <w:rFonts w:ascii="Nirmala UI" w:hAnsi="Nirmala UI" w:eastAsia="Nirmala UI" w:cs="Nirmala UI"/>
        </w:rPr>
        <w:t>කාලයක</w:t>
      </w:r>
      <w:r>
        <w:rPr>
          <w:rFonts w:ascii="Times New Roman" w:hAnsi="Times New Roman" w:eastAsia="Times New Roman" w:cs="Times New Roman"/>
        </w:rPr>
        <w:t xml:space="preserve"> </w:t>
      </w:r>
      <w:r>
        <w:rPr>
          <w:rFonts w:ascii="Nirmala UI" w:hAnsi="Nirmala UI" w:eastAsia="Nirmala UI" w:cs="Nirmala UI"/>
        </w:rPr>
        <w:t>ඔමේගා</w:t>
      </w:r>
      <w:r>
        <w:rPr>
          <w:rFonts w:ascii="Times New Roman" w:hAnsi="Times New Roman" w:eastAsia="Times New Roman" w:cs="Times New Roman"/>
        </w:rPr>
        <w:t xml:space="preserve"> </w:t>
      </w:r>
      <w:r>
        <w:rPr>
          <w:rFonts w:ascii="Nirmala UI" w:hAnsi="Nirmala UI" w:eastAsia="Nirmala UI" w:cs="Nirmala UI"/>
        </w:rPr>
        <w:t>අවසානයන්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උදෑසන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සන්ධ්</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වූයේය</w:t>
      </w:r>
      <w:r>
        <w:rPr>
          <w:rFonts w:ascii="Times New Roman" w:hAnsi="Times New Roman" w:eastAsia="Times New Roman" w:cs="Times New Roman"/>
        </w:rPr>
        <w:t>—</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w:t>
      </w:r>
      <w:r>
        <w:rPr>
          <w:rFonts w:ascii="Nirmala UI" w:hAnsi="Nirmala UI" w:eastAsia="Nirmala UI" w:cs="Nirmala UI"/>
        </w:rPr>
        <w:t>යවශ්</w:t>
      </w:r>
      <w:r>
        <w:rPr>
          <w:rFonts w:ascii="Times New Roman" w:hAnsi="Times New Roman" w:eastAsia="Times New Roman" w:cs="Times New Roman"/>
        </w:rPr>
        <w:t>‍</w:t>
      </w:r>
      <w:r>
        <w:rPr>
          <w:rFonts w:ascii="Nirmala UI" w:hAnsi="Nirmala UI" w:eastAsia="Nirmala UI" w:cs="Nirmala UI"/>
        </w:rPr>
        <w:t>යතාව</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කොර්නේලියස්ගේ</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පැයෙන්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පරිච්ඡේදයක</w:t>
      </w:r>
      <w:r>
        <w:rPr>
          <w:rFonts w:ascii="Times New Roman" w:hAnsi="Times New Roman" w:eastAsia="Times New Roman" w:cs="Times New Roman"/>
        </w:rPr>
        <w:t xml:space="preserve"> </w:t>
      </w:r>
      <w:r>
        <w:rPr>
          <w:rFonts w:ascii="Nirmala UI" w:hAnsi="Nirmala UI" w:eastAsia="Nirmala UI" w:cs="Nirmala UI"/>
        </w:rPr>
        <w:t>අල්ෆා</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පැයක්</w:t>
      </w:r>
      <w:r>
        <w:rPr>
          <w:rFonts w:ascii="Times New Roman" w:hAnsi="Times New Roman" w:eastAsia="Times New Roman" w:cs="Times New Roman"/>
        </w:rPr>
        <w:t xml:space="preserve"> </w:t>
      </w:r>
      <w:r>
        <w:rPr>
          <w:rFonts w:ascii="Nirmala UI" w:hAnsi="Nirmala UI" w:eastAsia="Nirmala UI" w:cs="Nirmala UI"/>
        </w:rPr>
        <w:t>පැවැතිය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ඉල්ලා</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Basaezarea bi, eta bietan Pedro pertsonaia nagusi gisa ageri delarik, Zesarea Filipokoa hirugarren ordu gisa identifikatzen dute. Sei orduko aldi hori Zesarearekin hasten eta amaitzen da, zeren amaiera hasieraren bidez irudikatzen baita.</w:t>
      </w:r>
    </w:p>
    <w:p>
      <w:pPr>
        <w:pStyle w:val="ArticleBody"/>
        <w:jc w:val="left"/>
      </w:pPr>
      <w:r>
        <w:rPr>
          <w:rFonts w:ascii="Times New Roman" w:hAnsi="Times New Roman" w:eastAsia="Times New Roman" w:cs="Times New Roman"/>
        </w:rPr>
        <w:t>Mwana-mpate wa Paseka anali woti aphedwe madzulo, lomwe ndi ola lachisanu ndi chinayi—pamene Khristu anamwalira.</w:t>
      </w:r>
    </w:p>
    <w:p>
      <w:pPr>
        <w:pStyle w:val="ArticleScripture"/>
        <w:jc w:val="left"/>
      </w:pPr>
      <w:r>
        <w:rPr>
          <w:rFonts w:ascii="Times New Roman" w:hAnsi="Times New Roman" w:eastAsia="Times New Roman" w:cs="Times New Roman"/>
        </w:rPr>
        <w:t>Na mtaiweka hadi siku ya kumi na nne ya mwezi huohuo; na mkutano wote wa kusanyiko la Israeli wataichinja jioni. Kutoka 12:6.</w:t>
      </w:r>
    </w:p>
    <w:p>
      <w:pPr>
        <w:pStyle w:val="ArticleBody"/>
        <w:jc w:val="left"/>
      </w:pPr>
      <w:r>
        <w:rPr>
          <w:rFonts w:ascii="Times New Roman" w:hAnsi="Times New Roman" w:eastAsia="Times New Roman" w:cs="Times New Roman"/>
        </w:rPr>
        <w:t>Oras ng panalangin ay ang ikasiyam na oras din, sapagkat noon ang paghahain sa gabi.</w:t>
      </w:r>
    </w:p>
    <w:p>
      <w:pPr>
        <w:pStyle w:val="ArticleScripture"/>
        <w:jc w:val="left"/>
      </w:pPr>
      <w:r>
        <w:rPr>
          <w:rFonts w:ascii="Times New Roman" w:hAnsi="Times New Roman" w:eastAsia="Times New Roman" w:cs="Times New Roman"/>
        </w:rPr>
        <w:t>Di ayɛ mpaebɔ nhyia w’anim sɛ aduhuam; na me nsa a mɛma so no nyɛ sɛ anwummere afɔrebɔ. Nnwom 141:2.</w:t>
      </w:r>
    </w:p>
    <w:p>
      <w:pPr>
        <w:pStyle w:val="ArticleBody"/>
        <w:jc w:val="left"/>
      </w:pPr>
      <w:r>
        <w:rPr>
          <w:rFonts w:ascii="Times New Roman" w:hAnsi="Times New Roman" w:eastAsia="Times New Roman" w:cs="Times New Roman"/>
        </w:rPr>
        <w:t>I verum við, at kveldaroffrið var bønarstundin, biður Ezra við kveldaroffrið; tí biður hann á níggjunda tímanum, tá ið Pætur er í halgidóminum, tá ið Kristus doyði, og tá ið Kornelius fekk boð um at senda eftir Pæturi.</w:t>
      </w:r>
    </w:p>
    <w:p>
      <w:pPr>
        <w:pStyle w:val="ArticleScripture"/>
        <w:jc w:val="left"/>
      </w:pPr>
      <w:r>
        <w:rPr>
          <w:rFonts w:ascii="Times New Roman" w:hAnsi="Times New Roman" w:eastAsia="Times New Roman" w:cs="Times New Roman"/>
        </w:rPr>
        <w:t>Taha pagkasayop, diha sa paghalad sa hapon, mibangon ako gikan sa akong kabug-aton sa kasubo; ug sa nagisi ko ang akong bisti ug ang akong kupo, miluhod ako, ug gituy-od ang akong mga kamot ngadto kang Jehova nga akong Dios. Ezra 9:5.</w:t>
      </w:r>
    </w:p>
    <w:p>
      <w:pPr>
        <w:pStyle w:val="ArticleBody"/>
        <w:jc w:val="left"/>
      </w:pPr>
      <w:r>
        <w:rPr>
          <w:rFonts w:ascii="Times New Roman" w:hAnsi="Times New Roman" w:eastAsia="Times New Roman" w:cs="Times New Roman"/>
        </w:rPr>
        <w:t>Na cikin addu’arsa, Ezra yana tuba bayan ya fahimci cewa waɗanda suka fito daga Babila domin su sāke gina haikali da Urushalima sun haɗa kansu da matan arna.</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एज्रा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बिलख</w:t>
      </w:r>
      <w:r>
        <w:rPr>
          <w:rFonts w:ascii="Times New Roman" w:hAnsi="Times New Roman" w:eastAsia="Times New Roman" w:cs="Times New Roman"/>
        </w:rPr>
        <w:t>-</w:t>
      </w:r>
      <w:r>
        <w:rPr>
          <w:rFonts w:ascii="Nirmala UI" w:hAnsi="Nirmala UI" w:eastAsia="Nirmala UI" w:cs="Nirmala UI"/>
        </w:rPr>
        <w:t>बिलखकर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शकन्याह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एज्रा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ब्याह</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थरथराते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हियाव</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Puis Esdras se leva, et fit jurer aux principaux sacrificateurs, aux Lévites, et à tout Israël, qu’ils agiraient selon cette parole. Et ils jurèrent. Puis Esdras se leva de devant la maison de Dieu, et entra dans la chambre de Jochanan, fils d’Éliashib; et lorsqu’il y fut entré, il ne mangea point de pain et ne but point d’eau, car il menait deuil à cause de la transgression de ceux qui avaient été transportés. Et l’on fit publier dans Juda et dans Jérusalem, à tous les fils de la captivité, qu’ils eussent à se rassembler à Jérusalem; et que quiconque ne viendrait pas dans les trois jours, selon la décision des chefs et des anciens, tous ses biens seraient confisqués, et lui-même serait exclu de l’assemblée de ceux qui avaient été transportés. Alors tous les hommes de Juda et de Benjamin se rassemblèrent à Jérusalem dans les trois jours. C’était le neuvième mois, le vingtième jour du mois; et tout le peuple se tenait sur la place de la maison de Dieu, tremblant à cause de cette affaire, et à cause de la grande pluie. Esdras 10:1–9.</w:t>
      </w:r>
    </w:p>
    <w:p>
      <w:pPr>
        <w:pStyle w:val="ArticleBody"/>
        <w:jc w:val="left"/>
      </w:pPr>
      <w:r>
        <w:rPr>
          <w:rFonts w:ascii="Times New Roman" w:hAnsi="Times New Roman" w:eastAsia="Times New Roman" w:cs="Times New Roman"/>
        </w:rPr>
        <w:t xml:space="preserve">144,000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உடன்படிக்கை</w:t>
      </w:r>
      <w:r>
        <w:rPr>
          <w:rFonts w:ascii="Times New Roman" w:hAnsi="Times New Roman" w:eastAsia="Times New Roman" w:cs="Times New Roman"/>
        </w:rPr>
        <w:t xml:space="preserve"> </w:t>
      </w:r>
      <w:r>
        <w:rPr>
          <w:rFonts w:ascii="Nirmala UI" w:hAnsi="Nirmala UI" w:eastAsia="Nirmala UI" w:cs="Nirmala UI"/>
        </w:rPr>
        <w:t>அந்நிய</w:t>
      </w:r>
      <w:r>
        <w:rPr>
          <w:rFonts w:ascii="Times New Roman" w:hAnsi="Times New Roman" w:eastAsia="Times New Roman" w:cs="Times New Roman"/>
        </w:rPr>
        <w:t xml:space="preserve"> </w:t>
      </w:r>
      <w:r>
        <w:rPr>
          <w:rFonts w:ascii="Nirmala UI" w:hAnsi="Nirmala UI" w:eastAsia="Nirmala UI" w:cs="Nirmala UI"/>
        </w:rPr>
        <w:t>மனைவிகளை</w:t>
      </w:r>
      <w:r>
        <w:rPr>
          <w:rFonts w:ascii="Times New Roman" w:hAnsi="Times New Roman" w:eastAsia="Times New Roman" w:cs="Times New Roman"/>
        </w:rPr>
        <w:t xml:space="preserve"> </w:t>
      </w:r>
      <w:r>
        <w:rPr>
          <w:rFonts w:ascii="Nirmala UI" w:hAnsi="Nirmala UI" w:eastAsia="Nirmala UI" w:cs="Nirmala UI"/>
        </w:rPr>
        <w:t>எடுத்திருந்தவர்களிடமிருந்து</w:t>
      </w:r>
      <w:r>
        <w:rPr>
          <w:rFonts w:ascii="Times New Roman" w:hAnsi="Times New Roman" w:eastAsia="Times New Roman" w:cs="Times New Roman"/>
        </w:rPr>
        <w:t xml:space="preserve"> </w:t>
      </w:r>
      <w:r>
        <w:rPr>
          <w:rFonts w:ascii="Nirmala UI" w:hAnsi="Nirmala UI" w:eastAsia="Nirmala UI" w:cs="Nirmala UI"/>
        </w:rPr>
        <w:t>பிரிவாகச்</w:t>
      </w:r>
      <w:r>
        <w:rPr>
          <w:rFonts w:ascii="Times New Roman" w:hAnsi="Times New Roman" w:eastAsia="Times New Roman" w:cs="Times New Roman"/>
        </w:rPr>
        <w:t xml:space="preserve"> </w:t>
      </w:r>
      <w:r>
        <w:rPr>
          <w:rFonts w:ascii="Nirmala UI" w:hAnsi="Nirmala UI" w:eastAsia="Nirmala UI" w:cs="Nirmala UI"/>
        </w:rPr>
        <w:t>சித்தரிக்கப்படுகிறது</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புத்தியுள்ள</w:t>
      </w:r>
      <w:r>
        <w:rPr>
          <w:rFonts w:ascii="Times New Roman" w:hAnsi="Times New Roman" w:eastAsia="Times New Roman" w:cs="Times New Roman"/>
        </w:rPr>
        <w:t xml:space="preserve"> </w:t>
      </w:r>
      <w:r>
        <w:rPr>
          <w:rFonts w:ascii="Nirmala UI" w:hAnsi="Nirmala UI" w:eastAsia="Nirmala UI" w:cs="Nirmala UI"/>
        </w:rPr>
        <w:t>கன்னியரும்</w:t>
      </w:r>
      <w:r>
        <w:rPr>
          <w:rFonts w:ascii="Times New Roman" w:hAnsi="Times New Roman" w:eastAsia="Times New Roman" w:cs="Times New Roman"/>
        </w:rPr>
        <w:t xml:space="preserve"> </w:t>
      </w:r>
      <w:r>
        <w:rPr>
          <w:rFonts w:ascii="Nirmala UI" w:hAnsi="Nirmala UI" w:eastAsia="Nirmala UI" w:cs="Nirmala UI"/>
        </w:rPr>
        <w:t>புத்தியில்லாத</w:t>
      </w:r>
      <w:r>
        <w:rPr>
          <w:rFonts w:ascii="Times New Roman" w:hAnsi="Times New Roman" w:eastAsia="Times New Roman" w:cs="Times New Roman"/>
        </w:rPr>
        <w:t xml:space="preserve"> </w:t>
      </w:r>
      <w:r>
        <w:rPr>
          <w:rFonts w:ascii="Nirmala UI" w:hAnsi="Nirmala UI" w:eastAsia="Nirmala UI" w:cs="Nirmala UI"/>
        </w:rPr>
        <w:t>கன்னியரும்</w:t>
      </w:r>
      <w:r>
        <w:rPr>
          <w:rFonts w:ascii="Times New Roman" w:hAnsi="Times New Roman" w:eastAsia="Times New Roman" w:cs="Times New Roman"/>
        </w:rPr>
        <w:t xml:space="preserve"> </w:t>
      </w:r>
      <w:r>
        <w:rPr>
          <w:rFonts w:ascii="Nirmala UI" w:hAnsi="Nirmala UI" w:eastAsia="Nirmala UI" w:cs="Nirmala UI"/>
        </w:rPr>
        <w:t>இடையேயான</w:t>
      </w:r>
      <w:r>
        <w:rPr>
          <w:rFonts w:ascii="Times New Roman" w:hAnsi="Times New Roman" w:eastAsia="Times New Roman" w:cs="Times New Roman"/>
        </w:rPr>
        <w:t xml:space="preserve"> </w:t>
      </w:r>
      <w:r>
        <w:rPr>
          <w:rFonts w:ascii="Nirmala UI" w:hAnsi="Nirmala UI" w:eastAsia="Nirmala UI" w:cs="Nirmala UI"/>
        </w:rPr>
        <w:t>பிரிவாகும்</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ஒன்பதாம்</w:t>
      </w:r>
      <w:r>
        <w:rPr>
          <w:rFonts w:ascii="Times New Roman" w:hAnsi="Times New Roman" w:eastAsia="Times New Roman" w:cs="Times New Roman"/>
        </w:rPr>
        <w:t xml:space="preserve"> </w:t>
      </w:r>
      <w:r>
        <w:rPr>
          <w:rFonts w:ascii="Nirmala UI" w:hAnsi="Nirmala UI" w:eastAsia="Nirmala UI" w:cs="Nirmala UI"/>
        </w:rPr>
        <w:t>மணிநேரத்தில்</w:t>
      </w:r>
      <w:r>
        <w:rPr>
          <w:rFonts w:ascii="Times New Roman" w:hAnsi="Times New Roman" w:eastAsia="Times New Roman" w:cs="Times New Roman"/>
        </w:rPr>
        <w:t xml:space="preserve"> </w:t>
      </w:r>
      <w:r>
        <w:rPr>
          <w:rFonts w:ascii="Nirmala UI" w:hAnsi="Nirmala UI" w:eastAsia="Nirmala UI" w:cs="Nirmala UI"/>
        </w:rPr>
        <w:t>நிகழ்கிறது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மரணம்</w:t>
      </w:r>
      <w:r>
        <w:rPr>
          <w:rFonts w:ascii="Times New Roman" w:hAnsi="Times New Roman" w:eastAsia="Times New Roman" w:cs="Times New Roman"/>
        </w:rPr>
        <w:t xml:space="preserve">, </w:t>
      </w:r>
      <w:r>
        <w:rPr>
          <w:rFonts w:ascii="Nirmala UI" w:hAnsi="Nirmala UI" w:eastAsia="Nirmala UI" w:cs="Nirmala UI"/>
        </w:rPr>
        <w:t>பெந்தெகொஸ்தே</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ஆலயத்தில்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பேதுரு</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கடற்கரையோர</w:t>
      </w:r>
      <w:r>
        <w:rPr>
          <w:rFonts w:ascii="Times New Roman" w:hAnsi="Times New Roman" w:eastAsia="Times New Roman" w:cs="Times New Roman"/>
        </w:rPr>
        <w:t xml:space="preserve"> </w:t>
      </w:r>
      <w:r>
        <w:rPr>
          <w:rFonts w:ascii="Nirmala UI" w:hAnsi="Nirmala UI" w:eastAsia="Nirmala UI" w:cs="Nirmala UI"/>
        </w:rPr>
        <w:t>கய்சரியாவிற்குப்</w:t>
      </w:r>
      <w:r>
        <w:rPr>
          <w:rFonts w:ascii="Times New Roman" w:hAnsi="Times New Roman" w:eastAsia="Times New Roman" w:cs="Times New Roman"/>
        </w:rPr>
        <w:t xml:space="preserve"> </w:t>
      </w:r>
      <w:r>
        <w:rPr>
          <w:rFonts w:ascii="Nirmala UI" w:hAnsi="Nirmala UI" w:eastAsia="Nirmala UI" w:cs="Nirmala UI"/>
        </w:rPr>
        <w:t>பேதுரு</w:t>
      </w:r>
      <w:r>
        <w:rPr>
          <w:rFonts w:ascii="Times New Roman" w:hAnsi="Times New Roman" w:eastAsia="Times New Roman" w:cs="Times New Roman"/>
        </w:rPr>
        <w:t xml:space="preserve"> </w:t>
      </w:r>
      <w:r>
        <w:rPr>
          <w:rFonts w:ascii="Nirmala UI" w:hAnsi="Nirmala UI" w:eastAsia="Nirmala UI" w:cs="Nirmala UI"/>
        </w:rPr>
        <w:t>அழைக்கப்பட்ட</w:t>
      </w:r>
      <w:r>
        <w:rPr>
          <w:rFonts w:ascii="Times New Roman" w:hAnsi="Times New Roman" w:eastAsia="Times New Roman" w:cs="Times New Roman"/>
        </w:rPr>
        <w:t xml:space="preserve"> </w:t>
      </w:r>
      <w:r>
        <w:rPr>
          <w:rFonts w:ascii="Nirmala UI" w:hAnsi="Nirmala UI" w:eastAsia="Nirmala UI" w:cs="Nirmala UI"/>
        </w:rPr>
        <w:t>நிகழ்வு</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எஸ்ராவின்</w:t>
      </w:r>
      <w:r>
        <w:rPr>
          <w:rFonts w:ascii="Times New Roman" w:hAnsi="Times New Roman" w:eastAsia="Times New Roman" w:cs="Times New Roman"/>
        </w:rPr>
        <w:t xml:space="preserve"> </w:t>
      </w:r>
      <w:r>
        <w:rPr>
          <w:rFonts w:ascii="Nirmala UI" w:hAnsi="Nirmala UI" w:eastAsia="Nirmala UI" w:cs="Nirmala UI"/>
        </w:rPr>
        <w:t>பிரிவும்</w:t>
      </w:r>
      <w:r>
        <w:rPr>
          <w:rFonts w:ascii="Times New Roman" w:hAnsi="Times New Roman" w:eastAsia="Times New Roman" w:cs="Times New Roman"/>
        </w:rPr>
        <w:t xml:space="preserve"> </w:t>
      </w:r>
      <w:r>
        <w:rPr>
          <w:rFonts w:ascii="Nirmala UI" w:hAnsi="Nirmala UI" w:eastAsia="Nirmala UI" w:cs="Nirmala UI"/>
        </w:rPr>
        <w:t>மல்கியா</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உடன்படிக்கையின்</w:t>
      </w:r>
      <w:r>
        <w:rPr>
          <w:rFonts w:ascii="Times New Roman" w:hAnsi="Times New Roman" w:eastAsia="Times New Roman" w:cs="Times New Roman"/>
        </w:rPr>
        <w:t xml:space="preserve"> </w:t>
      </w:r>
      <w:r>
        <w:rPr>
          <w:rFonts w:ascii="Nirmala UI" w:hAnsi="Nirmala UI" w:eastAsia="Nirmala UI" w:cs="Nirmala UI"/>
        </w:rPr>
        <w:t>தூதனால்</w:t>
      </w:r>
      <w:r>
        <w:rPr>
          <w:rFonts w:ascii="Times New Roman" w:hAnsi="Times New Roman" w:eastAsia="Times New Roman" w:cs="Times New Roman"/>
        </w:rPr>
        <w:t xml:space="preserve"> </w:t>
      </w:r>
      <w:r>
        <w:rPr>
          <w:rFonts w:ascii="Nirmala UI" w:hAnsi="Nirmala UI" w:eastAsia="Nirmala UI" w:cs="Nirmala UI"/>
        </w:rPr>
        <w:t>லேவியரைச்</w:t>
      </w:r>
      <w:r>
        <w:rPr>
          <w:rFonts w:ascii="Times New Roman" w:hAnsi="Times New Roman" w:eastAsia="Times New Roman" w:cs="Times New Roman"/>
        </w:rPr>
        <w:t xml:space="preserve"> </w:t>
      </w:r>
      <w:r>
        <w:rPr>
          <w:rFonts w:ascii="Nirmala UI" w:hAnsi="Nirmala UI" w:eastAsia="Nirmala UI" w:cs="Nirmala UI"/>
        </w:rPr>
        <w:t>சுத்திகரித்தலே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மல்கியாவில்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சுத்திகரிப்பு</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இருமுறை</w:t>
      </w:r>
      <w:r>
        <w:rPr>
          <w:rFonts w:ascii="Times New Roman" w:hAnsi="Times New Roman" w:eastAsia="Times New Roman" w:cs="Times New Roman"/>
        </w:rPr>
        <w:t xml:space="preserve"> </w:t>
      </w:r>
      <w:r>
        <w:rPr>
          <w:rFonts w:ascii="Nirmala UI" w:hAnsi="Nirmala UI" w:eastAsia="Nirmala UI" w:cs="Nirmala UI"/>
        </w:rPr>
        <w:t>சுத்திகரித்ததைக்</w:t>
      </w:r>
      <w:r>
        <w:rPr>
          <w:rFonts w:ascii="Times New Roman" w:hAnsi="Times New Roman" w:eastAsia="Times New Roman" w:cs="Times New Roman"/>
        </w:rPr>
        <w:t xml:space="preserve"> </w:t>
      </w:r>
      <w:r>
        <w:rPr>
          <w:rFonts w:ascii="Nirmala UI" w:hAnsi="Nirmala UI" w:eastAsia="Nirmala UI" w:cs="Nirmala UI"/>
        </w:rPr>
        <w:t>விளக்கமாகக்</w:t>
      </w:r>
      <w:r>
        <w:rPr>
          <w:rFonts w:ascii="Times New Roman" w:hAnsi="Times New Roman" w:eastAsia="Times New Roman" w:cs="Times New Roman"/>
        </w:rPr>
        <w:t xml:space="preserve"> </w:t>
      </w:r>
      <w:r>
        <w:rPr>
          <w:rFonts w:ascii="Nirmala UI" w:hAnsi="Nirmala UI" w:eastAsia="Nirmala UI" w:cs="Nirmala UI"/>
        </w:rPr>
        <w:t>காட்டுகிறது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“Ek nètwayan tanp lan anba achtè ak vandè monn nan, Jezi te anonse misyon Li pou l nètwaye kè a anba salte peche a,—anba dezi tè a, move anvi egoyis yo, move abitid yo, ki gate nanm nan. Malachi 3:1–3 site.” The Desire of Ages, 161.</w:t>
      </w:r>
    </w:p>
    <w:p>
      <w:pPr>
        <w:pStyle w:val="ArticleBody"/>
        <w:jc w:val="left"/>
      </w:pPr>
      <w:r>
        <w:rPr>
          <w:rFonts w:ascii="Times New Roman" w:hAnsi="Times New Roman" w:eastAsia="Times New Roman" w:cs="Times New Roman"/>
        </w:rPr>
        <w:t>Esera na baɔsi báwɔna na mopakano bayebisama ete “bɛtɛlɛma,” mpe Yosua ayebisamaki ete atɛlɛma nsima ya liwa ya batomboki nyonso na boumeli ya mibu ntuku misato na mwambe. Esengaki mibu mibale mpo ete Baebele ya kala balonga te na ekomekeli ya mbala zomi, mpe mibu ntuku misato na mwambe na nsima batomboki nyonso bakufaki, bongo Nzambe alobi na bango ete bátɛlɛma.</w:t>
      </w:r>
    </w:p>
    <w:p>
      <w:pPr>
        <w:pStyle w:val="ArticleScripture"/>
        <w:jc w:val="left"/>
      </w:pPr>
      <w:r>
        <w:rPr>
          <w:rFonts w:ascii="Times New Roman" w:hAnsi="Times New Roman" w:eastAsia="Times New Roman" w:cs="Times New Roman"/>
        </w:rPr>
        <w:t>Alors je dis: Levez-vous maintenant, et passez le torrent de Zéred. Et nous avons passé le torrent de Zéred. Le temps pendant lequel nous avons marché depuis Kadès-Barnéa jusqu’à ce que nous eussions passé le torrent de Zéred fut de trente-huit ans, jusqu’à ce que toute la génération des hommes de guerre eût disparu du milieu du camp, comme l’Éternel le leur avait juré. Deutéronome 2:13, 14.</w:t>
      </w:r>
    </w:p>
    <w:p>
      <w:pPr>
        <w:pStyle w:val="ArticleBody"/>
        <w:jc w:val="left"/>
      </w:pPr>
      <w:r>
        <w:rPr>
          <w:rFonts w:ascii="Times New Roman" w:hAnsi="Times New Roman" w:eastAsia="Times New Roman" w:cs="Times New Roman"/>
        </w:rPr>
        <w:t>Sa Yuhanis lima, ginoohi da Jesus an lalaking lumpo na gayon na sa loob ng tatlumpu’t walong taon, at nang siya’y Kaniyang pagalingin, sinabi Niya sa lalaki, “Tumindig ka.”</w:t>
      </w:r>
    </w:p>
    <w:p>
      <w:pPr>
        <w:pStyle w:val="ArticleScripture"/>
        <w:jc w:val="left"/>
      </w:pPr>
      <w:r>
        <w:rPr>
          <w:rFonts w:ascii="Times New Roman" w:hAnsi="Times New Roman" w:eastAsia="Times New Roman" w:cs="Times New Roman"/>
        </w:rPr>
        <w:t>En effet, un ange descendait de temps en temps dans la piscine et agitait l’eau ; et celui qui y descendait le premier après que l’eau avait été agitée était guéri, quelle que fût la maladie dont il était atteint. Or il y avait là un homme infirme depuis trente-huit ans. Jésus, le voyant couché, et sachant qu’il était déjà malade depuis longtemps, lui dit : Veux-tu être guéri ?</w:t>
      </w:r>
    </w:p>
    <w:p>
      <w:pPr>
        <w:pStyle w:val="ArticleScripture"/>
        <w:jc w:val="left"/>
      </w:pPr>
      <w:r>
        <w:rPr>
          <w:rFonts w:ascii="Times New Roman" w:hAnsi="Times New Roman" w:eastAsia="Times New Roman" w:cs="Times New Roman"/>
        </w:rPr>
        <w:t>L’homme impotent lui répondit : Seigneur, je n’ai personne pour me jeter dans la piscine quand l’eau est agitée ; et, pendant que j’y vais, un autre y descend avant moi.</w:t>
      </w:r>
    </w:p>
    <w:p>
      <w:pPr>
        <w:pStyle w:val="ArticleScripture"/>
        <w:jc w:val="left"/>
      </w:pPr>
      <w:r>
        <w:rPr>
          <w:rFonts w:ascii="Times New Roman" w:hAnsi="Times New Roman" w:eastAsia="Times New Roman" w:cs="Times New Roman"/>
        </w:rPr>
        <w:t>Jésù wí fún un pé, Dìde, gbé ibùsùn rẹ, kí o sì máa rìn. Lójúkan náà ni a mú ọkùnrin náà láradá pátápátá, ó sì gbé ibùsùn rẹ, ó sì ń rìn; ọjọ́ náà sì ni ọjọ́ ìsinmi. Johanu 5:4–9.</w:t>
      </w:r>
    </w:p>
    <w:p>
      <w:pPr>
        <w:pStyle w:val="ArticleBody"/>
        <w:jc w:val="left"/>
      </w:pPr>
      <w:r>
        <w:rPr>
          <w:rFonts w:ascii="MV Boli" w:hAnsi="MV Boli" w:eastAsia="MV Boli" w:cs="MV Boli"/>
        </w:rPr>
        <w:t>އިޒްރާގެ</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ލައްޗަކުން</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ފަނަސް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ކިޔަމަންތަކުގެ</w:t>
      </w:r>
      <w:r>
        <w:rPr>
          <w:rFonts w:ascii="Times New Roman" w:hAnsi="Times New Roman" w:eastAsia="Times New Roman" w:cs="Times New Roman"/>
        </w:rPr>
        <w:t xml:space="preserve"> </w:t>
      </w:r>
      <w:r>
        <w:rPr>
          <w:rFonts w:ascii="MV Boli" w:hAnsi="MV Boli" w:eastAsia="MV Boli" w:cs="MV Boli"/>
        </w:rPr>
        <w:t>އަހުދު</w:t>
      </w:r>
      <w:r>
        <w:rPr>
          <w:rFonts w:ascii="Times New Roman" w:hAnsi="Times New Roman" w:eastAsia="Times New Roman" w:cs="Times New Roman"/>
        </w:rPr>
        <w:t xml:space="preserve"> </w:t>
      </w:r>
      <w:r>
        <w:rPr>
          <w:rFonts w:ascii="MV Boli" w:hAnsi="MV Boli" w:eastAsia="MV Boli" w:cs="MV Boli"/>
        </w:rPr>
        <w:t>ދެއްކިއިރު</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ތެދުވެ</w:t>
      </w:r>
      <w:r>
        <w:rPr>
          <w:rFonts w:ascii="Times New Roman" w:hAnsi="Times New Roman" w:eastAsia="Times New Roman" w:cs="Times New Roman"/>
        </w:rPr>
        <w:t xml:space="preserve">” </w:t>
      </w:r>
      <w:r>
        <w:rPr>
          <w:rFonts w:ascii="MV Boli" w:hAnsi="MV Boli" w:eastAsia="MV Boli" w:cs="MV Boli"/>
        </w:rPr>
        <w:t>އުފުލަން</w:t>
      </w:r>
      <w:r>
        <w:rPr>
          <w:rFonts w:ascii="Times New Roman" w:hAnsi="Times New Roman" w:eastAsia="Times New Roman" w:cs="Times New Roman"/>
        </w:rPr>
        <w:t xml:space="preserve"> </w:t>
      </w:r>
      <w:r>
        <w:rPr>
          <w:rFonts w:ascii="MV Boli" w:hAnsi="MV Boli" w:eastAsia="MV Boli" w:cs="MV Boli"/>
        </w:rPr>
        <w:t>ޖެހޭނެއެވެ</w:t>
      </w:r>
      <w:r>
        <w:rPr>
          <w:rFonts w:ascii="Times New Roman" w:hAnsi="Times New Roman" w:eastAsia="Times New Roman" w:cs="Times New Roman"/>
        </w:rPr>
        <w:t xml:space="preserve">. 1838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މިލަރައިޓް</w:t>
      </w:r>
      <w:r>
        <w:rPr>
          <w:rFonts w:ascii="Times New Roman" w:hAnsi="Times New Roman" w:eastAsia="Times New Roman" w:cs="Times New Roman"/>
        </w:rPr>
        <w:t xml:space="preserve"> </w:t>
      </w:r>
      <w:r>
        <w:rPr>
          <w:rFonts w:ascii="MV Boli" w:hAnsi="MV Boli" w:eastAsia="MV Boli" w:cs="MV Boli"/>
        </w:rPr>
        <w:t>ވައުޒުކުރާ</w:t>
      </w:r>
      <w:r>
        <w:rPr>
          <w:rFonts w:ascii="Times New Roman" w:hAnsi="Times New Roman" w:eastAsia="Times New Roman" w:cs="Times New Roman"/>
        </w:rPr>
        <w:t xml:space="preserve"> </w:t>
      </w:r>
      <w:r>
        <w:rPr>
          <w:rFonts w:ascii="MV Boli" w:hAnsi="MV Boli" w:eastAsia="MV Boli" w:cs="MV Boli"/>
        </w:rPr>
        <w:t>މަޝްހޫރު</w:t>
      </w:r>
      <w:r>
        <w:rPr>
          <w:rFonts w:ascii="Times New Roman" w:hAnsi="Times New Roman" w:eastAsia="Times New Roman" w:cs="Times New Roman"/>
        </w:rPr>
        <w:t xml:space="preserve"> </w:t>
      </w:r>
      <w:r>
        <w:rPr>
          <w:rFonts w:ascii="MV Boli" w:hAnsi="MV Boli" w:eastAsia="MV Boli" w:cs="MV Boli"/>
        </w:rPr>
        <w:t>ވާއިޒެއް</w:t>
      </w:r>
      <w:r>
        <w:rPr>
          <w:rFonts w:ascii="Times New Roman" w:hAnsi="Times New Roman" w:eastAsia="Times New Roman" w:cs="Times New Roman"/>
        </w:rPr>
        <w:t xml:space="preserve"> </w:t>
      </w:r>
      <w:r>
        <w:rPr>
          <w:rFonts w:ascii="MV Boli" w:hAnsi="MV Boli" w:eastAsia="MV Boli" w:cs="MV Boli"/>
        </w:rPr>
        <w:t>ކަމުގައިވާ</w:t>
      </w:r>
      <w:r>
        <w:rPr>
          <w:rFonts w:ascii="Times New Roman" w:hAnsi="Times New Roman" w:eastAsia="Times New Roman" w:cs="Times New Roman"/>
        </w:rPr>
        <w:t xml:space="preserve"> </w:t>
      </w:r>
      <w:r>
        <w:rPr>
          <w:rFonts w:ascii="MV Boli" w:hAnsi="MV Boli" w:eastAsia="MV Boli" w:cs="MV Boli"/>
        </w:rPr>
        <w:t>ޖޯސަޔާ</w:t>
      </w:r>
      <w:r>
        <w:rPr>
          <w:rFonts w:ascii="Times New Roman" w:hAnsi="Times New Roman" w:eastAsia="Times New Roman" w:cs="Times New Roman"/>
        </w:rPr>
        <w:t xml:space="preserve"> </w:t>
      </w:r>
      <w:r>
        <w:rPr>
          <w:rFonts w:ascii="MV Boli" w:hAnsi="MV Boli" w:eastAsia="MV Boli" w:cs="MV Boli"/>
        </w:rPr>
        <w:t>ލިޗް</w:t>
      </w:r>
      <w:r>
        <w:rPr>
          <w:rFonts w:ascii="Times New Roman" w:hAnsi="Times New Roman" w:eastAsia="Times New Roman" w:cs="Times New Roman"/>
        </w:rPr>
        <w:t xml:space="preserve">، 1840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ދިމާކޮށް</w:t>
      </w:r>
      <w:r>
        <w:rPr>
          <w:rFonts w:ascii="Times New Roman" w:hAnsi="Times New Roman" w:eastAsia="Times New Roman" w:cs="Times New Roman"/>
        </w:rPr>
        <w:t xml:space="preserve"> </w:t>
      </w:r>
      <w:r>
        <w:rPr>
          <w:rFonts w:ascii="MV Boli" w:hAnsi="MV Boli" w:eastAsia="MV Boli" w:cs="MV Boli"/>
        </w:rPr>
        <w:t>އޮޓަމަން</w:t>
      </w:r>
      <w:r>
        <w:rPr>
          <w:rFonts w:ascii="Times New Roman" w:hAnsi="Times New Roman" w:eastAsia="Times New Roman" w:cs="Times New Roman"/>
        </w:rPr>
        <w:t xml:space="preserve"> </w:t>
      </w:r>
      <w:r>
        <w:rPr>
          <w:rFonts w:ascii="MV Boli" w:hAnsi="MV Boli" w:eastAsia="MV Boli" w:cs="MV Boli"/>
        </w:rPr>
        <w:t>ބާރުވެރިކަން</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ތަންބީހުކޮށް</w:t>
      </w:r>
      <w:r>
        <w:rPr>
          <w:rFonts w:ascii="Times New Roman" w:hAnsi="Times New Roman" w:eastAsia="Times New Roman" w:cs="Times New Roman"/>
        </w:rPr>
        <w:t xml:space="preserve">، </w:t>
      </w:r>
      <w:r>
        <w:rPr>
          <w:rFonts w:ascii="MV Boli" w:hAnsi="MV Boli" w:eastAsia="MV Boli" w:cs="MV Boli"/>
        </w:rPr>
        <w:t>މިލަރައިޓް</w:t>
      </w:r>
      <w:r>
        <w:rPr>
          <w:rFonts w:ascii="Times New Roman" w:hAnsi="Times New Roman" w:eastAsia="Times New Roman" w:cs="Times New Roman"/>
        </w:rPr>
        <w:t xml:space="preserve"> </w:t>
      </w:r>
      <w:r>
        <w:rPr>
          <w:rFonts w:ascii="MV Boli" w:hAnsi="MV Boli" w:eastAsia="MV Boli" w:cs="MV Boli"/>
        </w:rPr>
        <w:t>ދަޢުވާ</w:t>
      </w:r>
      <w:r>
        <w:rPr>
          <w:rFonts w:ascii="Times New Roman" w:hAnsi="Times New Roman" w:eastAsia="Times New Roman" w:cs="Times New Roman"/>
        </w:rPr>
        <w:t xml:space="preserve"> </w:t>
      </w:r>
      <w:r>
        <w:rPr>
          <w:rFonts w:ascii="MV Boli" w:hAnsi="MV Boli" w:eastAsia="MV Boli" w:cs="MV Boli"/>
        </w:rPr>
        <w:t>އުފެދުނެވެ</w:t>
      </w:r>
      <w:r>
        <w:rPr>
          <w:rFonts w:ascii="Times New Roman" w:hAnsi="Times New Roman" w:eastAsia="Times New Roman" w:cs="Times New Roman"/>
        </w:rPr>
        <w:t xml:space="preserve">، </w:t>
      </w:r>
      <w:r>
        <w:rPr>
          <w:rFonts w:ascii="MV Boli" w:hAnsi="MV Boli" w:eastAsia="MV Boli" w:cs="MV Boli"/>
        </w:rPr>
        <w:t>އެކަމު</w:t>
      </w:r>
      <w:r>
        <w:rPr>
          <w:rFonts w:ascii="Times New Roman" w:hAnsi="Times New Roman" w:eastAsia="Times New Roman" w:cs="Times New Roman"/>
        </w:rPr>
        <w:t xml:space="preserve"> 1840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އޯގަސްޓް</w:t>
      </w:r>
      <w:r>
        <w:rPr>
          <w:rFonts w:ascii="Times New Roman" w:hAnsi="Times New Roman" w:eastAsia="Times New Roman" w:cs="Times New Roman"/>
        </w:rPr>
        <w:t xml:space="preserve"> 11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ތަންބީހު</w:t>
      </w:r>
      <w:r>
        <w:rPr>
          <w:rFonts w:ascii="Times New Roman" w:hAnsi="Times New Roman" w:eastAsia="Times New Roman" w:cs="Times New Roman"/>
        </w:rPr>
        <w:t xml:space="preserve"> </w:t>
      </w:r>
      <w:r>
        <w:rPr>
          <w:rFonts w:ascii="MV Boli" w:hAnsi="MV Boli" w:eastAsia="MV Boli" w:cs="MV Boli"/>
        </w:rPr>
        <w:t>އެއްގޮތަށް</w:t>
      </w:r>
      <w:r>
        <w:rPr>
          <w:rFonts w:ascii="Times New Roman" w:hAnsi="Times New Roman" w:eastAsia="Times New Roman" w:cs="Times New Roman"/>
        </w:rPr>
        <w:t xml:space="preserve"> </w:t>
      </w:r>
      <w:r>
        <w:rPr>
          <w:rFonts w:ascii="MV Boli" w:hAnsi="MV Boli" w:eastAsia="MV Boli" w:cs="MV Boli"/>
        </w:rPr>
        <w:t>ފުރިހަމަވުމުން</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ލިބުނެވެ</w:t>
      </w:r>
      <w:r>
        <w:rPr>
          <w:rFonts w:ascii="Times New Roman" w:hAnsi="Times New Roman" w:eastAsia="Times New Roman" w:cs="Times New Roman"/>
        </w:rPr>
        <w:t xml:space="preserve">. </w:t>
      </w:r>
      <w:r>
        <w:rPr>
          <w:rFonts w:ascii="MV Boli" w:hAnsi="MV Boli" w:eastAsia="MV Boli" w:cs="MV Boli"/>
        </w:rPr>
        <w:t>ކާމިޔާބު</w:t>
      </w:r>
      <w:r>
        <w:rPr>
          <w:rFonts w:ascii="Times New Roman" w:hAnsi="Times New Roman" w:eastAsia="Times New Roman" w:cs="Times New Roman"/>
        </w:rPr>
        <w:t xml:space="preserve"> </w:t>
      </w:r>
      <w:r>
        <w:rPr>
          <w:rFonts w:ascii="MV Boli" w:hAnsi="MV Boli" w:eastAsia="MV Boli" w:cs="MV Boli"/>
        </w:rPr>
        <w:t>ބޭތުލްކަނިސާ</w:t>
      </w:r>
      <w:r>
        <w:rPr>
          <w:rFonts w:ascii="Times New Roman" w:hAnsi="Times New Roman" w:eastAsia="Times New Roman" w:cs="Times New Roman"/>
        </w:rPr>
        <w:t xml:space="preserve"> </w:t>
      </w:r>
      <w:r>
        <w:rPr>
          <w:rFonts w:ascii="MV Boli" w:hAnsi="MV Boli" w:eastAsia="MV Boli" w:cs="MV Boli"/>
        </w:rPr>
        <w:t>އުފުއްލުމުގައި</w:t>
      </w:r>
      <w:r>
        <w:rPr>
          <w:rFonts w:ascii="Times New Roman" w:hAnsi="Times New Roman" w:eastAsia="Times New Roman" w:cs="Times New Roman"/>
        </w:rPr>
        <w:t xml:space="preserve">، </w:t>
      </w:r>
      <w:r>
        <w:rPr>
          <w:rFonts w:ascii="MV Boli" w:hAnsi="MV Boli" w:eastAsia="MV Boli" w:cs="MV Boli"/>
        </w:rPr>
        <w:t>އަހުދު</w:t>
      </w:r>
      <w:r>
        <w:rPr>
          <w:rFonts w:ascii="Times New Roman" w:hAnsi="Times New Roman" w:eastAsia="Times New Roman" w:cs="Times New Roman"/>
        </w:rPr>
        <w:t xml:space="preserve"> </w:t>
      </w:r>
      <w:r>
        <w:rPr>
          <w:rFonts w:ascii="MV Boli" w:hAnsi="MV Boli" w:eastAsia="MV Boli" w:cs="MV Boli"/>
        </w:rPr>
        <w:t>ޤާއިމުވާ</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ތަންބީހެއް</w:t>
      </w:r>
      <w:r>
        <w:rPr>
          <w:rFonts w:ascii="Times New Roman" w:hAnsi="Times New Roman" w:eastAsia="Times New Roman" w:cs="Times New Roman"/>
        </w:rPr>
        <w:t xml:space="preserve"> </w:t>
      </w:r>
      <w:r>
        <w:rPr>
          <w:rFonts w:ascii="MV Boli" w:hAnsi="MV Boli" w:eastAsia="MV Boli" w:cs="MV Boli"/>
        </w:rPr>
        <w:t>ހިމެނެއެވެ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ވަގުތުގައި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ތެދުވާނެ</w:t>
      </w:r>
      <w:r>
        <w:rPr>
          <w:rFonts w:ascii="Times New Roman" w:hAnsi="Times New Roman" w:eastAsia="Times New Roman" w:cs="Times New Roman"/>
        </w:rPr>
        <w:t xml:space="preserve"> </w:t>
      </w:r>
      <w:r>
        <w:rPr>
          <w:rFonts w:ascii="MV Boli" w:hAnsi="MV Boli" w:eastAsia="MV Boli" w:cs="MV Boli"/>
        </w:rPr>
        <w:t>ތަންބީހެކެވެ</w:t>
      </w:r>
      <w:r>
        <w:rPr>
          <w:rFonts w:ascii="Times New Roman" w:hAnsi="Times New Roman" w:eastAsia="Times New Roman" w:cs="Times New Roman"/>
        </w:rPr>
        <w:t xml:space="preserve">. </w:t>
      </w:r>
      <w:r>
        <w:rPr>
          <w:rFonts w:ascii="MV Boli" w:hAnsi="MV Boli" w:eastAsia="MV Boli" w:cs="MV Boli"/>
        </w:rPr>
        <w:t>އިޒްރާ</w:t>
      </w:r>
      <w:r>
        <w:rPr>
          <w:rFonts w:ascii="Times New Roman" w:hAnsi="Times New Roman" w:eastAsia="Times New Roman" w:cs="Times New Roman"/>
        </w:rPr>
        <w:t xml:space="preserve"> </w:t>
      </w:r>
      <w:r>
        <w:rPr>
          <w:rFonts w:ascii="MV Boli" w:hAnsi="MV Boli" w:eastAsia="MV Boli" w:cs="MV Boli"/>
        </w:rPr>
        <w:t>ބިދޭސީ</w:t>
      </w:r>
      <w:r>
        <w:rPr>
          <w:rFonts w:ascii="Times New Roman" w:hAnsi="Times New Roman" w:eastAsia="Times New Roman" w:cs="Times New Roman"/>
        </w:rPr>
        <w:t xml:space="preserve"> </w:t>
      </w:r>
      <w:r>
        <w:rPr>
          <w:rFonts w:ascii="MV Boli" w:hAnsi="MV Boli" w:eastAsia="MV Boli" w:cs="MV Boli"/>
        </w:rPr>
        <w:t>އަންހެނުންނާ</w:t>
      </w:r>
      <w:r>
        <w:rPr>
          <w:rFonts w:ascii="Times New Roman" w:hAnsi="Times New Roman" w:eastAsia="Times New Roman" w:cs="Times New Roman"/>
        </w:rPr>
        <w:t xml:space="preserve"> </w:t>
      </w:r>
      <w:r>
        <w:rPr>
          <w:rFonts w:ascii="MV Boli" w:hAnsi="MV Boli" w:eastAsia="MV Boli" w:cs="MV Boli"/>
        </w:rPr>
        <w:t>ވަކިވުމުގައި</w:t>
      </w:r>
      <w:r>
        <w:rPr>
          <w:rFonts w:ascii="Times New Roman" w:hAnsi="Times New Roman" w:eastAsia="Times New Roman" w:cs="Times New Roman"/>
        </w:rPr>
        <w:t xml:space="preserve">، </w:t>
      </w:r>
      <w:r>
        <w:rPr>
          <w:rFonts w:ascii="MV Boli" w:hAnsi="MV Boli" w:eastAsia="MV Boli" w:cs="MV Boli"/>
        </w:rPr>
        <w:t>މާލަކީ</w:t>
      </w:r>
      <w:r>
        <w:rPr>
          <w:rFonts w:ascii="Times New Roman" w:hAnsi="Times New Roman" w:eastAsia="Times New Roman" w:cs="Times New Roman"/>
        </w:rPr>
        <w:t xml:space="preserve"> </w:t>
      </w:r>
      <w:r>
        <w:rPr>
          <w:rFonts w:ascii="MV Boli" w:hAnsi="MV Boli" w:eastAsia="MV Boli" w:cs="MV Boli"/>
        </w:rPr>
        <w:t>ލޭވީން</w:t>
      </w:r>
      <w:r>
        <w:rPr>
          <w:rFonts w:ascii="Times New Roman" w:hAnsi="Times New Roman" w:eastAsia="Times New Roman" w:cs="Times New Roman"/>
        </w:rPr>
        <w:t xml:space="preserve"> </w:t>
      </w:r>
      <w:r>
        <w:rPr>
          <w:rFonts w:ascii="MV Boli" w:hAnsi="MV Boli" w:eastAsia="MV Boli" w:cs="MV Boli"/>
        </w:rPr>
        <w:t>ޠާހިރުކުރުން</w:t>
      </w:r>
      <w:r>
        <w:rPr>
          <w:rFonts w:ascii="Times New Roman" w:hAnsi="Times New Roman" w:eastAsia="Times New Roman" w:cs="Times New Roman"/>
        </w:rPr>
        <w:t xml:space="preserve"> </w:t>
      </w:r>
      <w:r>
        <w:rPr>
          <w:rFonts w:ascii="MV Boli" w:hAnsi="MV Boli" w:eastAsia="MV Boli" w:cs="MV Boli"/>
        </w:rPr>
        <w:t>ފެނެއެވެ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މަސީހުގެ</w:t>
      </w:r>
      <w:r>
        <w:rPr>
          <w:rFonts w:ascii="Times New Roman" w:hAnsi="Times New Roman" w:eastAsia="Times New Roman" w:cs="Times New Roman"/>
        </w:rPr>
        <w:t xml:space="preserve"> </w:t>
      </w:r>
      <w:r>
        <w:rPr>
          <w:rFonts w:ascii="MV Boli" w:hAnsi="MV Boli" w:eastAsia="MV Boli" w:cs="MV Boli"/>
        </w:rPr>
        <w:t>ބޭތުލްމަޤުދިސް</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ފަހަރު</w:t>
      </w:r>
      <w:r>
        <w:rPr>
          <w:rFonts w:ascii="Times New Roman" w:hAnsi="Times New Roman" w:eastAsia="Times New Roman" w:cs="Times New Roman"/>
        </w:rPr>
        <w:t xml:space="preserve"> </w:t>
      </w:r>
      <w:r>
        <w:rPr>
          <w:rFonts w:ascii="MV Boli" w:hAnsi="MV Boli" w:eastAsia="MV Boli" w:cs="MV Boli"/>
        </w:rPr>
        <w:t>ސާފުކުރުންވެސް</w:t>
      </w:r>
      <w:r>
        <w:rPr>
          <w:rFonts w:ascii="Times New Roman" w:hAnsi="Times New Roman" w:eastAsia="Times New Roman" w:cs="Times New Roman"/>
        </w:rPr>
        <w:t xml:space="preserve"> </w:t>
      </w:r>
      <w:r>
        <w:rPr>
          <w:rFonts w:ascii="MV Boli" w:hAnsi="MV Boli" w:eastAsia="MV Boli" w:cs="MV Boli"/>
        </w:rPr>
        <w:t>ފެނެއެވެ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ރޮނގެއް</w:t>
      </w:r>
      <w:r>
        <w:rPr>
          <w:rFonts w:ascii="Times New Roman" w:hAnsi="Times New Roman" w:eastAsia="Times New Roman" w:cs="Times New Roman"/>
        </w:rPr>
        <w:t xml:space="preserve"> </w:t>
      </w:r>
      <w:r>
        <w:rPr>
          <w:rFonts w:ascii="MV Boli" w:hAnsi="MV Boli" w:eastAsia="MV Boli" w:cs="MV Boli"/>
        </w:rPr>
        <w:t>ހުދު</w:t>
      </w:r>
      <w:r>
        <w:rPr>
          <w:rFonts w:ascii="Times New Roman" w:hAnsi="Times New Roman" w:eastAsia="Times New Roman" w:cs="Times New Roman"/>
        </w:rPr>
        <w:t xml:space="preserve"> </w:t>
      </w:r>
      <w:r>
        <w:rPr>
          <w:rFonts w:ascii="MV Boli" w:hAnsi="MV Boli" w:eastAsia="MV Boli" w:cs="MV Boli"/>
        </w:rPr>
        <w:t>ކަމާ</w:t>
      </w:r>
      <w:r>
        <w:rPr>
          <w:rFonts w:ascii="Times New Roman" w:hAnsi="Times New Roman" w:eastAsia="Times New Roman" w:cs="Times New Roman"/>
        </w:rPr>
        <w:t xml:space="preserve"> </w:t>
      </w:r>
      <w:r>
        <w:rPr>
          <w:rFonts w:ascii="MV Boli" w:hAnsi="MV Boli" w:eastAsia="MV Boli" w:cs="MV Boli"/>
        </w:rPr>
        <w:t>ގޮނޑި</w:t>
      </w:r>
      <w:r>
        <w:rPr>
          <w:rFonts w:ascii="Times New Roman" w:hAnsi="Times New Roman" w:eastAsia="Times New Roman" w:cs="Times New Roman"/>
        </w:rPr>
        <w:t xml:space="preserve"> </w:t>
      </w:r>
      <w:r>
        <w:rPr>
          <w:rFonts w:ascii="MV Boli" w:hAnsi="MV Boli" w:eastAsia="MV Boli" w:cs="MV Boli"/>
        </w:rPr>
        <w:t>ވަކިކުރުމެއް</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މަސީހު</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ފަނަސް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ހިތްތަކުން</w:t>
      </w:r>
      <w:r>
        <w:rPr>
          <w:rFonts w:ascii="Times New Roman" w:hAnsi="Times New Roman" w:eastAsia="Times New Roman" w:cs="Times New Roman"/>
        </w:rPr>
        <w:t xml:space="preserve"> </w:t>
      </w:r>
      <w:r>
        <w:rPr>
          <w:rFonts w:ascii="MV Boli" w:hAnsi="MV Boli" w:eastAsia="MV Boli" w:cs="MV Boli"/>
        </w:rPr>
        <w:t>ފާފަ</w:t>
      </w:r>
      <w:r>
        <w:rPr>
          <w:rFonts w:ascii="Times New Roman" w:hAnsi="Times New Roman" w:eastAsia="Times New Roman" w:cs="Times New Roman"/>
        </w:rPr>
        <w:t xml:space="preserve"> </w:t>
      </w:r>
      <w:r>
        <w:rPr>
          <w:rFonts w:ascii="MV Boli" w:hAnsi="MV Boli" w:eastAsia="MV Boli" w:cs="MV Boli"/>
        </w:rPr>
        <w:t>އަބަދު</w:t>
      </w:r>
      <w:r>
        <w:rPr>
          <w:rFonts w:ascii="Times New Roman" w:hAnsi="Times New Roman" w:eastAsia="Times New Roman" w:cs="Times New Roman"/>
        </w:rPr>
        <w:t xml:space="preserve"> </w:t>
      </w:r>
      <w:r>
        <w:rPr>
          <w:rFonts w:ascii="MV Boli" w:hAnsi="MV Boli" w:eastAsia="MV Boli" w:cs="MV Boli"/>
        </w:rPr>
        <w:t>ދުރުކުރާއިރު</w:t>
      </w:r>
      <w:r>
        <w:rPr>
          <w:rFonts w:ascii="Times New Roman" w:hAnsi="Times New Roman" w:eastAsia="Times New Roman" w:cs="Times New Roman"/>
        </w:rPr>
        <w:t xml:space="preserve"> </w:t>
      </w:r>
      <w:r>
        <w:rPr>
          <w:rFonts w:ascii="MV Boli" w:hAnsi="MV Boli" w:eastAsia="MV Boli" w:cs="MV Boli"/>
        </w:rPr>
        <w:t>ނިންމޭ</w:t>
      </w:r>
      <w:r>
        <w:rPr>
          <w:rFonts w:ascii="Times New Roman" w:hAnsi="Times New Roman" w:eastAsia="Times New Roman" w:cs="Times New Roman"/>
        </w:rPr>
        <w:t xml:space="preserve"> </w:t>
      </w:r>
      <w:r>
        <w:rPr>
          <w:rFonts w:ascii="MV Boli" w:hAnsi="MV Boli" w:eastAsia="MV Boli" w:cs="MV Boli"/>
        </w:rPr>
        <w:t>ވަކިކުރުމެކެވެ</w:t>
      </w:r>
      <w:r>
        <w:rPr>
          <w:rFonts w:ascii="Times New Roman" w:hAnsi="Times New Roman" w:eastAsia="Times New Roman" w:cs="Times New Roman"/>
        </w:rPr>
        <w:t xml:space="preserve">. </w:t>
      </w:r>
      <w:r>
        <w:rPr>
          <w:rFonts w:ascii="MV Boli" w:hAnsi="MV Boli" w:eastAsia="MV Boli" w:cs="MV Boli"/>
        </w:rPr>
        <w:t>މަސީހުގެ</w:t>
      </w:r>
      <w:r>
        <w:rPr>
          <w:rFonts w:ascii="Times New Roman" w:hAnsi="Times New Roman" w:eastAsia="Times New Roman" w:cs="Times New Roman"/>
        </w:rPr>
        <w:t xml:space="preserve"> </w:t>
      </w:r>
      <w:r>
        <w:rPr>
          <w:rFonts w:ascii="MV Boli" w:hAnsi="MV Boli" w:eastAsia="MV Boli" w:cs="MV Boli"/>
        </w:rPr>
        <w:t>ނުވަ</w:t>
      </w:r>
      <w:r>
        <w:rPr>
          <w:rFonts w:ascii="Times New Roman" w:hAnsi="Times New Roman" w:eastAsia="Times New Roman" w:cs="Times New Roman"/>
        </w:rPr>
        <w:t xml:space="preserve"> </w:t>
      </w:r>
      <w:r>
        <w:rPr>
          <w:rFonts w:ascii="MV Boli" w:hAnsi="MV Boli" w:eastAsia="MV Boli" w:cs="MV Boli"/>
        </w:rPr>
        <w:t>ގަޑި</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ޕީތަރުގެ</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ނުވަ</w:t>
      </w:r>
      <w:r>
        <w:rPr>
          <w:rFonts w:ascii="Times New Roman" w:hAnsi="Times New Roman" w:eastAsia="Times New Roman" w:cs="Times New Roman"/>
        </w:rPr>
        <w:t xml:space="preserve"> </w:t>
      </w:r>
      <w:r>
        <w:rPr>
          <w:rFonts w:ascii="MV Boli" w:hAnsi="MV Boli" w:eastAsia="MV Boli" w:cs="MV Boli"/>
        </w:rPr>
        <w:t>ގަޑި</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އިޒްރާގެ</w:t>
      </w:r>
      <w:r>
        <w:rPr>
          <w:rFonts w:ascii="Times New Roman" w:hAnsi="Times New Roman" w:eastAsia="Times New Roman" w:cs="Times New Roman"/>
        </w:rPr>
        <w:t xml:space="preserve"> </w:t>
      </w:r>
      <w:r>
        <w:rPr>
          <w:rFonts w:ascii="MV Boli" w:hAnsi="MV Boli" w:eastAsia="MV Boli" w:cs="MV Boli"/>
        </w:rPr>
        <w:t>ޠާހިރުކުރުމަށް</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ދުޢާ</w:t>
      </w:r>
      <w:r>
        <w:rPr>
          <w:rFonts w:ascii="Times New Roman" w:hAnsi="Times New Roman" w:eastAsia="Times New Roman" w:cs="Times New Roman"/>
        </w:rPr>
        <w:t xml:space="preserve">، </w:t>
      </w:r>
      <w:r>
        <w:rPr>
          <w:rFonts w:ascii="MV Boli" w:hAnsi="MV Boli" w:eastAsia="MV Boli" w:cs="MV Boli"/>
        </w:rPr>
        <w:t>އެއެއްކޮށް</w:t>
      </w:r>
      <w:r>
        <w:rPr>
          <w:rFonts w:ascii="Times New Roman" w:hAnsi="Times New Roman" w:eastAsia="Times New Roman" w:cs="Times New Roman"/>
        </w:rPr>
        <w:t xml:space="preserve"> </w:t>
      </w:r>
      <w:r>
        <w:rPr>
          <w:rFonts w:ascii="MV Boli" w:hAnsi="MV Boli" w:eastAsia="MV Boli" w:cs="MV Boli"/>
        </w:rPr>
        <w:t>އަންގާރަ</w:t>
      </w:r>
      <w:r>
        <w:rPr>
          <w:rFonts w:ascii="Times New Roman" w:hAnsi="Times New Roman" w:eastAsia="Times New Roman" w:cs="Times New Roman"/>
        </w:rPr>
        <w:t xml:space="preserve"> </w:t>
      </w:r>
      <w:r>
        <w:rPr>
          <w:rFonts w:ascii="MV Boli" w:hAnsi="MV Boli" w:eastAsia="MV Boli" w:cs="MV Boli"/>
        </w:rPr>
        <w:t>ޤާނޫނާ</w:t>
      </w:r>
      <w:r>
        <w:rPr>
          <w:rFonts w:ascii="Times New Roman" w:hAnsi="Times New Roman" w:eastAsia="Times New Roman" w:cs="Times New Roman"/>
        </w:rPr>
        <w:t xml:space="preserve"> </w:t>
      </w:r>
      <w:r>
        <w:rPr>
          <w:rFonts w:ascii="MV Boli" w:hAnsi="MV Boli" w:eastAsia="MV Boli" w:cs="MV Boli"/>
        </w:rPr>
        <w:t>އެއްގޮތްވެއެވެ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މިނެއް</w:t>
      </w:r>
      <w:r>
        <w:rPr>
          <w:rFonts w:ascii="Times New Roman" w:hAnsi="Times New Roman" w:eastAsia="Times New Roman" w:cs="Times New Roman"/>
        </w:rPr>
        <w:t xml:space="preserve"> </w:t>
      </w:r>
      <w:r>
        <w:rPr>
          <w:rFonts w:ascii="MV Boli" w:hAnsi="MV Boli" w:eastAsia="MV Boli" w:cs="MV Boli"/>
        </w:rPr>
        <w:t>ނެތި</w:t>
      </w:r>
      <w:r>
        <w:rPr>
          <w:rFonts w:ascii="Times New Roman" w:hAnsi="Times New Roman" w:eastAsia="Times New Roman" w:cs="Times New Roman"/>
        </w:rPr>
        <w:t xml:space="preserve"> </w:t>
      </w:r>
      <w:r>
        <w:rPr>
          <w:rFonts w:ascii="MV Boli" w:hAnsi="MV Boli" w:eastAsia="MV Boli" w:cs="MV Boli"/>
        </w:rPr>
        <w:t>އެޅޭނެއެވެ</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ނުވަނަ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ހަވީރު</w:t>
      </w:r>
      <w:r>
        <w:rPr>
          <w:rFonts w:ascii="Times New Roman" w:hAnsi="Times New Roman" w:eastAsia="Times New Roman" w:cs="Times New Roman"/>
        </w:rPr>
        <w:t xml:space="preserve"> </w:t>
      </w:r>
      <w:r>
        <w:rPr>
          <w:rFonts w:ascii="MV Boli" w:hAnsi="MV Boli" w:eastAsia="MV Boli" w:cs="MV Boli"/>
        </w:rPr>
        <w:t>ޤުރުބާނީގެ</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ނުވަ</w:t>
      </w:r>
      <w:r>
        <w:rPr>
          <w:rFonts w:ascii="Times New Roman" w:hAnsi="Times New Roman" w:eastAsia="Times New Roman" w:cs="Times New Roman"/>
        </w:rPr>
        <w:t xml:space="preserve"> </w:t>
      </w:r>
      <w:r>
        <w:rPr>
          <w:rFonts w:ascii="MV Boli" w:hAnsi="MV Boli" w:eastAsia="MV Boli" w:cs="MV Boli"/>
        </w:rPr>
        <w:t>ގަޑީގައި</w:t>
      </w:r>
      <w:r>
        <w:rPr>
          <w:rFonts w:ascii="Times New Roman" w:hAnsi="Times New Roman" w:eastAsia="Times New Roman" w:cs="Times New Roman"/>
        </w:rPr>
        <w:t xml:space="preserve">، </w:t>
      </w:r>
      <w:r>
        <w:rPr>
          <w:rFonts w:ascii="MV Boli" w:hAnsi="MV Boli" w:eastAsia="MV Boli" w:cs="MV Boli"/>
        </w:rPr>
        <w:t>އެއްބަހީން</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ދުޢާތަކަށް</w:t>
      </w:r>
      <w:r>
        <w:rPr>
          <w:rFonts w:ascii="Times New Roman" w:hAnsi="Times New Roman" w:eastAsia="Times New Roman" w:cs="Times New Roman"/>
        </w:rPr>
        <w:t xml:space="preserve"> </w:t>
      </w:r>
      <w:r>
        <w:rPr>
          <w:rFonts w:ascii="MV Boli" w:hAnsi="MV Boli" w:eastAsia="MV Boli" w:cs="MV Boli"/>
        </w:rPr>
        <w:t>ޖަވާބެއް</w:t>
      </w:r>
      <w:r>
        <w:rPr>
          <w:rFonts w:ascii="Times New Roman" w:hAnsi="Times New Roman" w:eastAsia="Times New Roman" w:cs="Times New Roman"/>
        </w:rPr>
        <w:t xml:space="preserve"> </w:t>
      </w:r>
      <w:r>
        <w:rPr>
          <w:rFonts w:ascii="MV Boli" w:hAnsi="MV Boli" w:eastAsia="MV Boli" w:cs="MV Boli"/>
        </w:rPr>
        <w:t>ލިބެއެވެ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Oui, tandis que je parlais encore dans la prière, l’homme Gabriel, que j’avais vu auparavant dans la vision, arriva vers moi d’un vol rapide et me toucha au moment de l’oblation du soir. Daniel 9:21.</w:t>
      </w:r>
    </w:p>
    <w:p>
      <w:pPr>
        <w:pStyle w:val="ArticleBody"/>
        <w:jc w:val="left"/>
      </w:pPr>
      <w:r>
        <w:rPr>
          <w:rFonts w:ascii="Times New Roman" w:hAnsi="Times New Roman" w:eastAsia="Times New Roman" w:cs="Times New Roman"/>
        </w:rPr>
        <w:t>Urabimenyeshwa ko amayerekwa bahawe Daniyeli hafi y’inzuzi nini zo mu gihugu cya Shinari ubu ari mu nzira yo gusohora, kandi ko dukwiriye kuzirikana imimerere n’ibihe ubwo ubwo buhanuzi bwatangwaga.</w:t>
      </w:r>
    </w:p>
    <w:p>
      <w:pPr>
        <w:pStyle w:val="ArticleScripture"/>
        <w:jc w:val="left"/>
      </w:pPr>
      <w:r>
        <w:rPr>
          <w:rFonts w:ascii="Times New Roman" w:hAnsi="Times New Roman" w:eastAsia="Times New Roman" w:cs="Times New Roman"/>
        </w:rPr>
        <w:t>« La lumière que Daniel reçut de Dieu fut donnée tout particulièrement pour ces derniers jours. Les visions qu’il vit au bord de l’Ulaï et du Hiddékel, les grands fleuves de Schinear, sont maintenant en voie d’accomplissement, et tous les événements annoncés s’accompliront bientôt. »</w:t>
      </w:r>
    </w:p>
    <w:p>
      <w:pPr>
        <w:pStyle w:val="ArticleScripture"/>
        <w:jc w:val="left"/>
      </w:pPr>
      <w:r>
        <w:rPr>
          <w:rFonts w:ascii="Times New Roman" w:hAnsi="Times New Roman" w:eastAsia="Times New Roman" w:cs="Times New Roman"/>
        </w:rPr>
        <w:t>“ff</w:t>
      </w:r>
      <w:r>
        <w:rPr>
          <w:rFonts w:ascii="Nirmala UI" w:hAnsi="Nirmala UI" w:eastAsia="Nirmala UI" w:cs="Nirmala UI"/>
        </w:rPr>
        <w:t>।</w:t>
      </w:r>
      <w:r>
        <w:rPr>
          <w:rFonts w:ascii="Times New Roman" w:hAnsi="Times New Roman" w:eastAsia="Times New Roman" w:cs="Times New Roman"/>
        </w:rPr>
        <w:t>” Testimonies to Ministers, 113.</w:t>
      </w:r>
    </w:p>
    <w:p>
      <w:pPr>
        <w:pStyle w:val="ArticleBody"/>
        <w:jc w:val="left"/>
      </w:pPr>
      <w:r>
        <w:rPr>
          <w:rFonts w:ascii="Times New Roman" w:hAnsi="Times New Roman" w:eastAsia="Times New Roman" w:cs="Times New Roman"/>
        </w:rPr>
        <w:t>A luz das visões associadas aos rios Hiddekel e Ulai representa os últimos seis capítulos do livro de Daniel, capítulo onze. No capítulo nove, representado pelo rio Ulai, é dada a Daniel luz acerca dos capítulos sete, oito e nove. No capítulo dez, representado pelo rio Hiddekel, é dada a Daniel a luz dos capítulos dez, onze e doze. A informação profética é representada tanto pelos acontecimentos proféticos apresentados nos capítulos como também por Daniel, pois devemos considerar as circunstâncias da nação judaica quando as profecias foram dadas.</w:t>
      </w:r>
    </w:p>
    <w:p>
      <w:pPr>
        <w:pStyle w:val="ArticleBody"/>
        <w:jc w:val="left"/>
      </w:pPr>
      <w:r>
        <w:rPr>
          <w:rFonts w:ascii="Times New Roman" w:hAnsi="Times New Roman" w:eastAsia="Times New Roman" w:cs="Times New Roman"/>
        </w:rPr>
        <w:t>ff: Vitutakiwa kuyaleta mawazo hayo katika siku za mwisho na kuyaoanisha na ushuhuda wa nabii yule mwingine. Hii ina maana kwamba, kama vile Petro alivyo huko Kaisaria Filipi na pia Kaisaria Maritima, Danieli anatembelewa na Gabrieli katika saa ya tisa katika sura ya tisa, naye anatembelewa katika siku ya ishirini na mbili katika sura ya kumi. Nuru ya Ulai na Hidekeli kwa ajili ya siku za mwisho inafunuliwa kwa Danieli katika saa ya tisa ya siku ya ishirini na mbili. Nuru hiyo inawakilisha kumiminwa kwa mvua ya masika ya mwisho bila kipimo katika sheria ya Jumapili.</w:t>
      </w:r>
    </w:p>
    <w:p>
      <w:pPr>
        <w:pStyle w:val="ArticleBody"/>
        <w:jc w:val="left"/>
      </w:pPr>
      <w:r>
        <w:rPr>
          <w:rFonts w:ascii="Times New Roman" w:hAnsi="Times New Roman" w:eastAsia="Times New Roman" w:cs="Times New Roman"/>
        </w:rPr>
        <w:t>Danieri ya litatoli imefunuliwa kikamilifu saa ya tisa, kwa maana hutambulisha historia ya nje na ya ndani ya yale “yapatayo” watu wa Mungu katika siku za mwisho. Nuru hiyo inapohubiriwa kwa Mataifa, wanaowakilishwa na Kornelio, watatuma kuwaita wale mia moja arobaini na nne elfu; sheria ya Mungu itauawa kwa utekelezwaji wa amri ya Jumapili; naye Petro atawasilisha ujumbe kwa hekalu ambalo Kristo alikuwa ameliondokea na kulibainisha kuwa nyumba tupu ya Wayahudi. Petro anawahutubia Mataifa, na pia Sanhedrini, huku Ezra akiomba kwa ajili ya kutengwa, na Danieli akifunga na kuomba apate nuru. Saa ya tisa katika Pentekoste, katika kifo cha Kristo, katika mwito wa Kornelio kwa Petro, na dhabihu ya jioni, vyote vinaambatana na Eliya juu ya Mlima Karmeli.</w:t>
      </w:r>
    </w:p>
    <w:p>
      <w:pPr>
        <w:pStyle w:val="ArticleBody"/>
        <w:jc w:val="left"/>
      </w:pPr>
      <w:r>
        <w:rPr>
          <w:rFonts w:ascii="Times New Roman" w:hAnsi="Times New Roman" w:eastAsia="Times New Roman" w:cs="Times New Roman"/>
        </w:rPr>
        <w:t>دا څرګنده ده چې د شپږو ساعتونو موده هغه پړاو څرګندوي چې په یکشنبې د قانون په ټکي پای ته رسېږي، خو پیل یې له داسې یوې پېښې سره کېږي چې نېغ په نېغه له پای سره تړاو لري، لکه د سهار او ماښام نذرانې. د پطروس د اصطلاح له مخې، د شپږو ساعتونو موده له قیصریه فیلپي څخه تر د سمندر پر غاړه قیصریې پورې ده. د پنتیکاست په وخت کې دا له پاسني کوټې څخه تر هیکل پورې وه. هغه موده چې هغه ځلنده رڼا ده چې د لارې په پیل کې ټینګېږي، د نیمې شپې فریاد دی، او همدغه موده تر یکشنبې د قانون پورې رسېږي. شپږ ساعتونه، د دوو ماښامونو ترمنځ، د مسیح هغه بریالی ننوتل په اورشلیم کې تمثیلوي، چې په خپل وار سره د 1844 د اګست له 12 تر 17 پورې د Exeter camp meeting هغه پړاو تمثیل کړ چې د هغه پیغام اعلان یې پيل کړ او په October 22, 1844 خپل انجام ته ورسېد. Exeter قیصریه فیلپي ده، او د سمندر پر غاړه قیصریه October 22, 1844 ده. پیل لکه پای، په قیصریه سره نښه شوی دی.</w:t>
      </w:r>
    </w:p>
    <w:p>
      <w:pPr>
        <w:pStyle w:val="ArticleBody"/>
        <w:jc w:val="left"/>
      </w:pPr>
      <w:r>
        <w:rPr>
          <w:rFonts w:ascii="Times New Roman" w:hAnsi="Times New Roman" w:eastAsia="Times New Roman" w:cs="Times New Roman"/>
        </w:rPr>
        <w:t>L’entrée triomphale est marquée par une controverse au commencement et une controverse à la fin. La controverse à Exeter était représentée par le faux culte qui se déroulait sur le terrain dans la tente de Watertown. Deux messages étaient représentés par ces deux tentes, et lorsque Christ entra dans Jérusalem, les Juifs chicaneurs se plaignirent du message qui était proclamé tandis qu’Il descendait du mont des Oliviers, entrant à Jérusalem monté sur l’ânesse récemment détachée. La première et la dernière controverse identifient un alpha et un oméga pour la période. À Exeter, la classe de Watertown représente une catégorie de vierges qui n’avaient point d’huile, et pour elles la porte du salut fut fermée. À la fin de cette période, la porte donnant accès au lieu saint fut fermée, fournissant ainsi un alpha et un oméga à la période. Cet alpha et oméga s’aligne sur les deux controverses de l’entrée triomphale, et Césarée à Césarée avec Pierre.</w:t>
      </w:r>
    </w:p>
    <w:p>
      <w:pPr>
        <w:pStyle w:val="ArticleBody"/>
        <w:jc w:val="left"/>
      </w:pPr>
      <w:r>
        <w:rPr>
          <w:rFonts w:ascii="Times New Roman" w:hAnsi="Times New Roman" w:eastAsia="Times New Roman" w:cs="Times New Roman"/>
        </w:rPr>
        <w:t>À Césarée de Philippe, le nom de Simon Barjonas est changé en Pierre, dans un passage où il est loué comme porte-parole de l’inspiration, puis condamné comme Satan, pour s’être opposé au message de la croix. Pierre est un symbole des deux classes qui sont séparées par le message du baptême et de la croix, lequel est le message du 11 septembre et de la loi du dimanche.</w:t>
      </w:r>
    </w:p>
    <w:p>
      <w:pPr>
        <w:pStyle w:val="ArticleScripture"/>
        <w:jc w:val="left"/>
      </w:pPr>
      <w:r>
        <w:rPr>
          <w:rFonts w:ascii="Times New Roman" w:hAnsi="Times New Roman" w:eastAsia="Times New Roman" w:cs="Times New Roman"/>
        </w:rPr>
        <w:t>"פֿאַר יעדן פֿון די קלאַסן, וואָס ווערן פֿאָרגעשטעלט דורך דעם פּרוש און דעם מוכס, געפֿינט זיך אַ לימוד אין דער געשיכטע פֿון דעם שליח פּטרוס. אין די ערשטע טעג פֿון זײַן תלמידשאַפֿט האָט פּטרוס געמיינט, אַז ער איז שטאַרק. ווי דער פּרוש, האָט ער אין זײַן אייגענער אָפּשאַצונג געווען „נישט ווי אַנדערע מענטשן זיינען.” ווען משיח האָט ערב זײַן פֿאַרראַט פֿאָרויסגעזאָגט זײַנע תלמידים, „איר וועט אַלע זיך אָנשטויסן אין מיר הײַנט בײַ נאַכט,” האָט פּטרוס מיט בטחון דערקלערט: „כאָטש אַלע וועלן זיך אָנשטויסן, אָבער איך נישט.” מרקוס 14:27, 29. פּטרוס האָט ניט געקענט זײַן אייגענע סכּנה. זיך־בטחון האָט אים פֿאַרפֿירט. ער האָט געמיינט, אַז ער איז ביכולת צו שטיין קעגן נסיון; אָבער אין עטלעכע קורצע שעה איז געקומען די פּרוּוו, און מיט קללות און שבועות האָט ער אָפּגעלייקנט זײַן האר." משיחס משל־לערנען, 152.</w:t>
      </w:r>
    </w:p>
    <w:p>
      <w:pPr>
        <w:pStyle w:val="ArticleBody"/>
        <w:jc w:val="left"/>
      </w:pPr>
      <w:r>
        <w:rPr>
          <w:rFonts w:ascii="Times New Roman" w:hAnsi="Times New Roman" w:eastAsia="Times New Roman" w:cs="Times New Roman"/>
        </w:rPr>
        <w:t>Na saa ya tisa, ambayo ndiyo wakati wa sadaka ya jioni, kwa kujibu maombi ya Eliya, moto ulishuka kutoka mbinguni na kuiteketeza sadaka kwa kusudi la kuwafanya watu wa Mungu wajue ya kwamba Bwana ndiye Mungu. Kuna makundi mawili yaliyotiwa mfano katika Mlima Karmeli: kundi moja ambalo ndipo linajua ya kwamba Bwana, Yeye ndiye Mungu, na lile jingine linalowakilishwa na manabii wa Baali, ambao baadaye huuawa.</w:t>
      </w:r>
    </w:p>
    <w:p>
      <w:pPr>
        <w:pStyle w:val="ArticleScripture"/>
        <w:jc w:val="left"/>
      </w:pPr>
      <w:r>
        <w:rPr>
          <w:rFonts w:ascii="Times New Roman" w:hAnsi="Times New Roman" w:eastAsia="Times New Roman" w:cs="Times New Roman"/>
        </w:rPr>
        <w:t>And it came to pass at the time of the offering of the evening sacrifice, that Elijah the prophet came near, and said, Lord God of Abraham, Isaac, and of Israel, let it be known this day that thou art God in Israel, and that I am thy servant, and that I have done all these things at thy word. Hear me, O Lord, hear me, that this people may know that thou art the Lord God, and that thou hast turned their heart back again.</w:t>
      </w:r>
    </w:p>
    <w:p>
      <w:pPr>
        <w:pStyle w:val="ArticleScripture"/>
        <w:jc w:val="left"/>
      </w:pPr>
      <w:r>
        <w:rPr>
          <w:rFonts w:ascii="Times New Roman" w:hAnsi="Times New Roman" w:eastAsia="Times New Roman" w:cs="Times New Roman"/>
        </w:rPr>
        <w:t>A ndri nga api i Zotit dhe përpiu flijimin e djegur, drutë, gurët, pluhurin dhe lëpiu edhe ujin që ishte në hendek. Kur e pa këtë i tërë populli, ranë me fytyrë për tokë dhe thanë: Zoti, ai është Perëndia; Zoti, ai është Perëndia.</w:t>
      </w:r>
    </w:p>
    <w:p>
      <w:pPr>
        <w:pStyle w:val="ArticleScripture"/>
        <w:jc w:val="left"/>
      </w:pPr>
      <w:r>
        <w:rPr>
          <w:rFonts w:ascii="Times New Roman" w:hAnsi="Times New Roman" w:eastAsia="Times New Roman" w:cs="Times New Roman"/>
        </w:rPr>
        <w:t>Ilyaasna isaaniin jedhe, “Raajota Baʼaal qabaa; tokkoon isaanii illee hin miliqin.” Isaanis isaan qaban; Ilyaasnis gara laga Qiishoonitti isaan buusee achittis isaan ajjeese. 1 Mootota 18:36–40.</w:t>
      </w:r>
    </w:p>
    <w:p>
      <w:pPr>
        <w:pStyle w:val="ArticleBody"/>
        <w:jc w:val="left"/>
      </w:pPr>
      <w:r>
        <w:rPr>
          <w:rFonts w:ascii="Times New Roman" w:hAnsi="Times New Roman" w:eastAsia="Times New Roman" w:cs="Times New Roman"/>
        </w:rPr>
        <w:t>Ngambo ya nimadekwana, lifwa lya Kristu, Petro kuponya munhu ya lihula, Petro kutwala mulaedza kwa Vamasi, Daniele kupokea nuru ya kiunabii, muneno wa Eliya kujibiwa kwa moto, pindi Ezra ali mu nguo za gunia na majivu akiomba kwa ajili ya mpito wa Laodikia kwenda Filadelfia, kwa ajili ya mpito wa kanisa linalopigana kwenda kwa kanisa linaloshinda. Saa ya tisa ndiyo saa ya dhabihu, saa ya maombi yaliyojibiwa, saa ambayo mbingu hugusa nchi, daraja kati ya hukumu na rehema, na ndiyo sababu Kristo hufa saa ya tisa, kwa maana saa ya tisa ya dhabihu ilifungua injili kwa Vamasi, ambao ndio walioketi gizani, lakini wangeona nuru kuu wakati kitabu cha Danieli kitakapofunguliwa kikamilifu katika sheria ya Jumapili.</w:t>
      </w:r>
    </w:p>
    <w:p>
      <w:pPr>
        <w:pStyle w:val="ArticleBody"/>
        <w:jc w:val="left"/>
      </w:pPr>
      <w:r>
        <w:rPr>
          <w:rFonts w:ascii="Times New Roman" w:hAnsi="Times New Roman" w:eastAsia="Times New Roman" w:cs="Times New Roman"/>
        </w:rPr>
        <w:t>Pada persembahan Gideon dalam Hakim-hakim 6:21, Malaikat TUHAN menjamah daging dan roti tidak beragi yang dipersembahkan Gideon dengan tongkat-Nya, lalu api menyala dari bukit batu dan menghanguskannya seluruhnya. Api itu meneguhkan panggilan Allah kepada Gideon dan penerimaan-Nya atas tanda itu.</w:t>
      </w:r>
    </w:p>
    <w:p>
      <w:pPr>
        <w:pStyle w:val="ArticleScripture"/>
        <w:jc w:val="left"/>
      </w:pP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দেখাও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নৈবেদ্য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প্রস্থান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গিদিয়োন</w:t>
      </w:r>
      <w:r>
        <w:rPr>
          <w:rFonts w:ascii="Times New Roman" w:hAnsi="Times New Roman" w:eastAsia="Times New Roman" w:cs="Times New Roman"/>
        </w:rPr>
        <w:t xml:space="preserve"> </w:t>
      </w:r>
      <w:r>
        <w:rPr>
          <w:rFonts w:ascii="Nirmala UI" w:hAnsi="Nirmala UI" w:eastAsia="Nirmala UI" w:cs="Nirmala UI"/>
        </w:rPr>
        <w:t>ভিতরে</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ছাগশিশু</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এফা</w:t>
      </w:r>
      <w:r>
        <w:rPr>
          <w:rFonts w:ascii="Times New Roman" w:hAnsi="Times New Roman" w:eastAsia="Times New Roman" w:cs="Times New Roman"/>
        </w:rPr>
        <w:t xml:space="preserve"> </w:t>
      </w:r>
      <w:r>
        <w:rPr>
          <w:rFonts w:ascii="Nirmala UI" w:hAnsi="Nirmala UI" w:eastAsia="Nirmala UI" w:cs="Nirmala UI"/>
        </w:rPr>
        <w:t>ময়দা</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খামিরবিহীন</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বানালেন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মাংসটি</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ঝুড়িতে</w:t>
      </w:r>
      <w:r>
        <w:rPr>
          <w:rFonts w:ascii="Times New Roman" w:hAnsi="Times New Roman" w:eastAsia="Times New Roman" w:cs="Times New Roman"/>
        </w:rPr>
        <w:t xml:space="preserve"> </w:t>
      </w:r>
      <w:r>
        <w:rPr>
          <w:rFonts w:ascii="Nirmala UI" w:hAnsi="Nirmala UI" w:eastAsia="Nirmala UI" w:cs="Nirmala UI"/>
        </w:rPr>
        <w:t>রাখলেন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ঝোলটি</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ঢাললেন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ওক</w:t>
      </w:r>
      <w:r>
        <w:rPr>
          <w:rFonts w:ascii="Times New Roman" w:hAnsi="Times New Roman" w:eastAsia="Times New Roman" w:cs="Times New Roman"/>
        </w:rPr>
        <w:t xml:space="preserve"> </w:t>
      </w:r>
      <w:r>
        <w:rPr>
          <w:rFonts w:ascii="Nirmala UI" w:hAnsi="Nirmala UI" w:eastAsia="Nirmala UI" w:cs="Nirmala UI"/>
        </w:rPr>
        <w:t>গাছের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খামিরবিহীন</w:t>
      </w:r>
      <w:r>
        <w:rPr>
          <w:rFonts w:ascii="Times New Roman" w:hAnsi="Times New Roman" w:eastAsia="Times New Roman" w:cs="Times New Roman"/>
        </w:rPr>
        <w:t xml:space="preserve"> </w:t>
      </w:r>
      <w:r>
        <w:rPr>
          <w:rFonts w:ascii="Nirmala UI" w:hAnsi="Nirmala UI" w:eastAsia="Nirmala UI" w:cs="Nirmala UI"/>
        </w:rPr>
        <w:t>পিঠাগুলি</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ঝোলটি</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তেমনই</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দণ্ডের</w:t>
      </w:r>
      <w:r>
        <w:rPr>
          <w:rFonts w:ascii="Times New Roman" w:hAnsi="Times New Roman" w:eastAsia="Times New Roman" w:cs="Times New Roman"/>
        </w:rPr>
        <w:t xml:space="preserve"> </w:t>
      </w:r>
      <w:r>
        <w:rPr>
          <w:rFonts w:ascii="Nirmala UI" w:hAnsi="Nirmala UI" w:eastAsia="Nirmala UI" w:cs="Nirmala UI"/>
        </w:rPr>
        <w:t>আগা</w:t>
      </w:r>
      <w:r>
        <w:rPr>
          <w:rFonts w:ascii="Times New Roman" w:hAnsi="Times New Roman" w:eastAsia="Times New Roman" w:cs="Times New Roman"/>
        </w:rPr>
        <w:t xml:space="preserve"> </w:t>
      </w:r>
      <w:r>
        <w:rPr>
          <w:rFonts w:ascii="Nirmala UI" w:hAnsi="Nirmala UI" w:eastAsia="Nirmala UI" w:cs="Nirmala UI"/>
        </w:rPr>
        <w:t>বাড়িয়ে</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খামিরবিহীন</w:t>
      </w:r>
      <w:r>
        <w:rPr>
          <w:rFonts w:ascii="Times New Roman" w:hAnsi="Times New Roman" w:eastAsia="Times New Roman" w:cs="Times New Roman"/>
        </w:rPr>
        <w:t xml:space="preserve"> </w:t>
      </w:r>
      <w:r>
        <w:rPr>
          <w:rFonts w:ascii="Nirmala UI" w:hAnsi="Nirmala UI" w:eastAsia="Nirmala UI" w:cs="Nirmala UI"/>
        </w:rPr>
        <w:t>পিঠাগুলিকে</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শিলা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আগুন</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খামিরবিহীন</w:t>
      </w:r>
      <w:r>
        <w:rPr>
          <w:rFonts w:ascii="Times New Roman" w:hAnsi="Times New Roman" w:eastAsia="Times New Roman" w:cs="Times New Roman"/>
        </w:rPr>
        <w:t xml:space="preserve"> </w:t>
      </w:r>
      <w:r>
        <w:rPr>
          <w:rFonts w:ascii="Nirmala UI" w:hAnsi="Nirmala UI" w:eastAsia="Nirmala UI" w:cs="Nirmala UI"/>
        </w:rPr>
        <w:t>পিঠাগুলিকে</w:t>
      </w:r>
      <w:r>
        <w:rPr>
          <w:rFonts w:ascii="Times New Roman" w:hAnsi="Times New Roman" w:eastAsia="Times New Roman" w:cs="Times New Roman"/>
        </w:rPr>
        <w:t xml:space="preserve"> </w:t>
      </w:r>
      <w:r>
        <w:rPr>
          <w:rFonts w:ascii="Nirmala UI" w:hAnsi="Nirmala UI" w:eastAsia="Nirmala UI" w:cs="Nirmala UI"/>
        </w:rPr>
        <w:t>ভস্মসাৎ</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দৃষ্টির</w:t>
      </w:r>
      <w:r>
        <w:rPr>
          <w:rFonts w:ascii="Times New Roman" w:hAnsi="Times New Roman" w:eastAsia="Times New Roman" w:cs="Times New Roman"/>
        </w:rPr>
        <w:t xml:space="preserve"> </w:t>
      </w:r>
      <w:r>
        <w:rPr>
          <w:rFonts w:ascii="Nirmala UI" w:hAnsi="Nirmala UI" w:eastAsia="Nirmala UI" w:cs="Nirmala UI"/>
        </w:rPr>
        <w:t>আড়াল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গেলেন।</w:t>
      </w:r>
      <w:r>
        <w:rPr>
          <w:rFonts w:ascii="Times New Roman" w:hAnsi="Times New Roman" w:eastAsia="Times New Roman" w:cs="Times New Roman"/>
        </w:rPr>
        <w:t xml:space="preserve"> </w:t>
      </w:r>
      <w:r>
        <w:rPr>
          <w:rFonts w:ascii="Nirmala UI" w:hAnsi="Nirmala UI" w:eastAsia="Nirmala UI" w:cs="Nirmala UI"/>
        </w:rPr>
        <w:t>গিদিয়োন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গিদিয়োন</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মুখোমুখি</w:t>
      </w:r>
      <w:r>
        <w:rPr>
          <w:rFonts w:ascii="Times New Roman" w:hAnsi="Times New Roman" w:eastAsia="Times New Roman" w:cs="Times New Roman"/>
        </w:rPr>
        <w:t xml:space="preserve"> </w:t>
      </w:r>
      <w:r>
        <w:rPr>
          <w:rFonts w:ascii="Nirmala UI" w:hAnsi="Nirmala UI" w:eastAsia="Nirmala UI" w:cs="Nirmala UI"/>
        </w:rPr>
        <w:t>দেখেছি।</w:t>
      </w:r>
      <w:r>
        <w:rPr>
          <w:rFonts w:ascii="Times New Roman" w:hAnsi="Times New Roman" w:eastAsia="Times New Roman" w:cs="Times New Roman"/>
        </w:rPr>
        <w:t xml:space="preserve"> </w:t>
      </w:r>
      <w:r>
        <w:rPr>
          <w:rFonts w:ascii="Nirmala UI" w:hAnsi="Nirmala UI" w:eastAsia="Nirmala UI" w:cs="Nirmala UI"/>
        </w:rPr>
        <w:t>বিচারকর্তৃগণ</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১৭</w:t>
      </w:r>
      <w:r>
        <w:rPr>
          <w:rFonts w:ascii="Times New Roman" w:hAnsi="Times New Roman" w:eastAsia="Times New Roman" w:cs="Times New Roman"/>
        </w:rPr>
        <w:t>–</w:t>
      </w:r>
      <w:r>
        <w:rPr>
          <w:rFonts w:ascii="Nirmala UI" w:hAnsi="Nirmala UI" w:eastAsia="Nirmala UI" w:cs="Nirmala UI"/>
        </w:rPr>
        <w:t>২২।</w:t>
      </w:r>
    </w:p>
    <w:p>
      <w:pPr>
        <w:pStyle w:val="ArticleBody"/>
        <w:jc w:val="left"/>
      </w:pPr>
      <w:r>
        <w:rPr>
          <w:rFonts w:ascii="Times New Roman" w:hAnsi="Times New Roman" w:eastAsia="Times New Roman" w:cs="Times New Roman"/>
        </w:rPr>
        <w:t>L’anjo apparve a Gedeon nel primo versetto del capitolo e chiamò Gedeon «uomo forte e valoroso», e Gedeon chiese un segno per provare tale affermazione. Poi Gedeon chiede all’angelo di trattenersi, e l’angelo che si trattiene nella profezia è il secondo angelo. Dopo che il tempo dell’attesa fu terminato, Gedeon presenta un’offerta e il fuoco consuma l’offerta. Gedeon si trova alla nona ora, poiché per Elia era l’offerta della sera, e la nona ora è la legge domenicale quando si allineano le lingue di fuoco pentecostali. Gedeon rappresenta una classe che vede il Signore faccia a faccia, che è quanto accadde a Daniele nel capitolo dieci. Quando Gedeon vide il fuoco consumare l’offerta, allora si rese conto di essere stato in relazione con il Signore, che aveva visto faccia a faccia.</w:t>
      </w:r>
    </w:p>
    <w:p>
      <w:pPr>
        <w:pStyle w:val="ArticleBody"/>
        <w:jc w:val="left"/>
      </w:pPr>
      <w:r>
        <w:rPr>
          <w:rFonts w:ascii="Times New Roman" w:hAnsi="Times New Roman" w:eastAsia="Times New Roman" w:cs="Times New Roman"/>
        </w:rPr>
        <w:t>Gidéon s’éveille à cette réalité lorsque le miracle du feu confirme le signe; et le signe, c’était Gidéon, le vaillant homme de Dieu, ainsi que l’armée des trois cents prêtres, lesquels avaient tous dans leurs mains les trois cents tables d’Habacuc. Le signe, ou l’étendard, c’est Gidéon lui-même, ainsi que l’armée des trois cents, laquelle est aussi la puissante armée d’Ézéchiel — celle qui se lève au chapitre trente-sept.</w:t>
      </w:r>
    </w:p>
    <w:p>
      <w:pPr>
        <w:pStyle w:val="ArticleBody"/>
        <w:jc w:val="left"/>
      </w:pPr>
      <w:r>
        <w:rPr>
          <w:rFonts w:ascii="Times New Roman" w:hAnsi="Times New Roman" w:eastAsia="Times New Roman" w:cs="Times New Roman"/>
        </w:rPr>
        <w:t>Wakati hema ya kukutania ilipowekwa wakfu katika Mambo ya Walawi 9:23, 24, baada ya matoleo ya kwanza ya Haruni kama kuhani mkuu, moto ulitoka kutoka mbele za Bwana na kuteketeza sadaka ya kuteketezwa na mafuta juu ya madhabahu. Watu wakapiga kelele na kuanguka kifudifudi kwa kicho. Hili lazima, mstari juu ya mstari, lilingane na moto wa Eliya.</w:t>
      </w:r>
    </w:p>
    <w:p>
      <w:pPr>
        <w:pStyle w:val="ArticleBody"/>
        <w:jc w:val="left"/>
      </w:pPr>
      <w:r>
        <w:rPr>
          <w:rFonts w:ascii="Times New Roman" w:hAnsi="Times New Roman" w:eastAsia="Times New Roman" w:cs="Times New Roman"/>
        </w:rPr>
        <w:t>La prière d’Esdras à la neuvième heure pour la séparation du blé et de l’ivraie, qui a lieu lors de la loi dominicale, s’accomplit alors, lorsque l’Église militante se transforme en l’Église triomphante. Elle doit aussi s’harmoniser avec le feu de Gédéon. Le feu consumant sur la première offrande d’Aaron, présentée après sept jours de consécration, au huitième jour, revint ce même jour et détruisit les deux fils impies d’Aaron. Lorsque le Saint-Esprit sera répandu sans mesure à la neuvième heure, lors de la loi dominicale, il y aura une séparation de deux classes de prêtres, et l’Église triomphante commencera l’œuvre représentée par le cheval blanc d’Éphèse, qui sort en vainqueur et pour vaincre. L’onction de l’Église triomphante trouve un second témoin dans le temple de Salomon.</w:t>
      </w:r>
    </w:p>
    <w:p>
      <w:pPr>
        <w:pStyle w:val="ArticleBody"/>
        <w:jc w:val="left"/>
      </w:pPr>
      <w:r>
        <w:rPr>
          <w:rFonts w:ascii="Times New Roman" w:hAnsi="Times New Roman" w:eastAsia="Times New Roman" w:cs="Times New Roman"/>
        </w:rPr>
        <w:t>Mi tsɔxɔnu si Solomon wɔ le 2 Kronikawo 7:1–3 me la, le Solomon ƒe gbedodoɖa megbe la, dzo tsoa dziƒo va ɖu sɔdzedzenuwo kple vɔsanuwo. Yehowa ƒe ŋutikɔkɔe yɔ xɔ la me, eye esia kplɔ amewo yi subɔsubɔ me be woagblɔ Mawu ƒe nyuie kple eƒe nublanuikpɔkpɔ mavɔ la. Le Kwasiɖagbe se la me la, woɖe hamea si dzɔ la ɖe dzi le towo katã tam na abe alɔnu kple dzesi ene, le Zekaria kple Yesaya nu. Esime dzo la ʋu va le Solomon ƒe xɔ la ƒe mi tsɔxɔnu la dzi la, Yehowa ƒe ŋutikɔkɔe yɔ xɔ la me, eye esia ƒo nu le dzesi me be kpẽ ene lia ƒe ɣliɣli la wu eƒe dɔ le Mawu ƒe amewo dzi xoxo, eye eɖo be yewoawu nenema ke le dɔwɔlawo siwo va le gaƒoƒo mamlɛa la dzi. Kpẽ ene lia tsɔ nuaɖeƒe la ɖo, si nye Mawu-nyenye kple amegbetɔ-nyenye ƒe haɖoƒe, si dzɔna ne Yesu kɔ eƒe ŋutikɔkɔe ƒe fiaɖuƒe ɖe dzi. Dzo ma si ʋu va le Mose ƒe agbadɔ kple Solomon ƒe xɔ la dzi la nye ʋɔnudɔdrɔ ƒe dzo hã na Aron ƒe vi la, abe alesi wònye hã na David ene.</w:t>
      </w:r>
    </w:p>
    <w:p>
      <w:pPr>
        <w:pStyle w:val="ArticleBody"/>
        <w:jc w:val="left"/>
      </w:pPr>
      <w:r>
        <w:rPr>
          <w:rFonts w:ascii="Times New Roman" w:hAnsi="Times New Roman" w:eastAsia="Times New Roman" w:cs="Times New Roman"/>
        </w:rPr>
        <w:t>Daudning 1 Solnomalar 21:26 da, Dovudning ro‘yxatga olishidan kelib chiqqan o‘lat davrida, Arauna/Ornonning xirmonida keltirgan qurbonligi osmondan qurbongoh ustiga tushgan olov bilan javob oldi; bu qabul qilinganining belgisi bo‘lib, o‘latni to‘xtatdi. Laodikiya o‘lati, Dovudning insoniy kuch va donolikka bo‘lgan tayanishining o‘latini to‘xtatish uchun keltirgan qurbonligi ustiga olov tushganda nihoyasiga yetadi. Insoniydan Ilohiy insoniylikka o‘tish kafforat bajo keltirilganda va jamoat bayroq singari ko‘tarilganda belgilab qo‘yiladi. O‘sha paytda, Sulaymonning ma’badiga muvofiq tarzda, ilohiylik insoniyat bilan birlashganda Rabbiyning ulug‘vorligi ma’badni to‘ldirdi.</w:t>
      </w:r>
    </w:p>
    <w:p>
      <w:pPr>
        <w:pStyle w:val="ArticleBody"/>
        <w:jc w:val="left"/>
      </w:pPr>
      <w:r>
        <w:rPr>
          <w:rFonts w:ascii="Times New Roman" w:hAnsi="Times New Roman" w:eastAsia="Times New Roman" w:cs="Times New Roman"/>
        </w:rPr>
        <w:t>Nous poursuivrons dans le prochain article notre examen de la période du Cri de Minuit, telle qu’elle est représentée par les troisième et neuvième heures.</w:t>
      </w:r>
    </w:p>
    <w:p>
      <w:pPr>
        <w:pStyle w:val="ArticleScripture"/>
        <w:jc w:val="left"/>
      </w:pPr>
      <w:r>
        <w:rPr>
          <w:rFonts w:ascii="Times New Roman" w:hAnsi="Times New Roman" w:eastAsia="Times New Roman" w:cs="Times New Roman"/>
        </w:rPr>
        <w:t>Na after sikis dei, Jisas i tekem Pita, Jems, mo Jon brata bilong hem, mo i tekem olketa igo antap long wanfala hae maunten we olketa stap seleva long hem. Mo hem i jenis long fes bilong olketa: mo fes bilong hem i saen olsem san, mo olketa klos bilong hem i waet olsem laet. Mo luk, Mosis mo Elaeja tufala kamap long olketa, tufala i toktok witim hem.</w:t>
      </w:r>
    </w:p>
    <w:p>
      <w:pPr>
        <w:pStyle w:val="ArticleScripture"/>
        <w:jc w:val="left"/>
      </w:pPr>
      <w:r>
        <w:rPr>
          <w:rFonts w:ascii="Times New Roman" w:hAnsi="Times New Roman" w:eastAsia="Times New Roman" w:cs="Times New Roman"/>
        </w:rPr>
        <w:t>Ku Petro a hlamula, a ku eka Yesu: Hosi, swa saseka leswaku hi va laha; loko u rhandza, a hi akeni laha minchacha yinharhu; wun’we i wa wena, wun’we i wa Muxe, wun’we i wa Eliya. Loko a ha vulavula, vonani, papa ro vonakala ri va funengeta; kutani, vonani, rito ri huma epapeni, ri ku: Loyi i N’wana wa mina la rhandzekaka, loyi ndzi tsakisiwaka hi yena; n’wi yingiseni.</w:t>
      </w:r>
    </w:p>
    <w:p>
      <w:pPr>
        <w:pStyle w:val="ArticleScripture"/>
        <w:jc w:val="left"/>
      </w:pPr>
      <w:r>
        <w:rPr>
          <w:rFonts w:ascii="Times New Roman" w:hAnsi="Times New Roman" w:eastAsia="Times New Roman" w:cs="Times New Roman"/>
        </w:rPr>
        <w:t>Ug nangdungog niini ang mga tinun-an, nanghapa sila ug nasulod sa hilabihang kahadlok. Ug miduol si Jesus ug gihikap sila, ug miingon, Tindog kamo, ug ayaw kahadlok.</w:t>
      </w:r>
    </w:p>
    <w:p>
      <w:pPr>
        <w:pStyle w:val="ArticleScripture"/>
        <w:jc w:val="left"/>
      </w:pPr>
      <w:r>
        <w:rPr>
          <w:rFonts w:ascii="Times New Roman" w:hAnsi="Times New Roman" w:eastAsia="Times New Roman" w:cs="Times New Roman"/>
        </w:rPr>
        <w:t>Et lorsqu’ils eurent levé les yeux, ils ne virent personne, si ce n’est Jésus seul. Et comme ils descendaient de la montagne, Jésus leur donna cet ordre, disant : Ne parlez à personne de cette vision, jusqu’à ce que le Fils de l’homme soit ressuscité d’entre les morts. Matthieu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Yoeli na Kanisa la Waadventista Wasabato wa Laodikia - Namba Thelathini na Mbili</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