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trente-cinq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Microsoft YaHei" w:hAnsi="Microsoft YaHei" w:eastAsia="Microsoft YaHei" w:cs="Microsoft YaHei"/>
        </w:rPr>
        <w:t>数三十五章</w:t>
      </w:r>
    </w:p>
    <w:p>
      <w:pPr>
        <w:pStyle w:val="ArticleBody"/>
        <w:jc w:val="left"/>
      </w:pPr>
      <w:r>
        <w:rPr>
          <w:rFonts w:ascii="Times New Roman" w:hAnsi="Times New Roman" w:eastAsia="Times New Roman" w:cs="Times New Roman"/>
        </w:rPr>
        <w:t>Ebaasa 81 ti Early Writings mu (na “81” yɛ agyiraehyɛde a ɛkyerɛ Ɔsoro Sɔfo Panyin baako ne asɔfo aduɔwɔtwe), wɔakyerɛw William Miller dae a ɛto so abien no. Sɛ Nebukadnesar teɛ no, William Miller nso nyaa nnae abien. Nebukadnesar dae a ɛto so abien no wɔ Daniel ti anan mu no, wɔde ato Moses “mprɛnson” a ɛwɔ Leviticus 26 no mu nsɛm ho tebea mu. Miller de Daniel ti anan yɛɛ mfatoho de kyerɛɛ Leviticus ti aduonu nsia “mprɛnson” no bere a ɔkyerɛkyerɛɛ 2,520 no ho no, nanso ɔfrɛɛ no “mprɛnson” no. Miller anhu sɛ wɔde no ayɛɛ Nebukadnesar ho nhwɛso, nanso Nebukadnesar nnae 2,520 a ɛwɔ ti anan no, wɔde asɛmfua “hwete” no ne nokwasɛm a ɛba ‘mprɛnson’ no nyinaa gyina hɔ ma, ansa na ɔbarima a ɔde aporoporow pra dɔte no bɛduu hɔ wɔ Miller dae no mu.</w:t>
      </w:r>
    </w:p>
    <w:p>
      <w:pPr>
        <w:pStyle w:val="ArticleBody"/>
        <w:jc w:val="left"/>
      </w:pPr>
      <w:r>
        <w:rPr>
          <w:rFonts w:ascii="Times New Roman" w:hAnsi="Times New Roman" w:eastAsia="Times New Roman" w:cs="Times New Roman"/>
        </w:rPr>
        <w:t>Miller Sister White ne “Father Miller” dikatawag, ngem saan a kas iti paganong wagas a kas iti aramiden dagiti Katoliko, no di ket iti patriarchal a wagas, a kas ken ama nga Abraham. Ni Miller ket maysa a simbolo; isu ket tao ti tulag, a mangitakder iti pagilian dagiti bibliko a simbolo iti dalan nga agturong iti maudi a tulag kadagiti sangagasut ket uppat a pulo ket uppat a ribo. Ipakdaar ni Joel kadatayo a kadagiti maudi nga aldaw, dagiti lallakay ket agtagtaginipto kadagiti tagtagainep, ket ni William Miller ket isu ti lallakay iti pakasaritaan tayo, ken kasta met ti mannalon a nangtungpal iti padto ni William Tyndale a kunana, “No ited kaniak ti Dios ti biagko, sakbay ti adu pay a tawtawen, pagbalinek a ti maysa nga ubing a mangiturong iti arado ket ammoenna ti ad-adu maipanggep iti Nasantoan a Surat ngem sika.”</w:t>
      </w:r>
    </w:p>
    <w:p>
      <w:pPr>
        <w:pStyle w:val="ArticleScripture"/>
        <w:jc w:val="left"/>
      </w:pPr>
      <w:r>
        <w:rPr>
          <w:rFonts w:ascii="Times New Roman" w:hAnsi="Times New Roman" w:eastAsia="Times New Roman" w:cs="Times New Roman"/>
        </w:rPr>
        <w:t>“Lutz sent sia Anio a mover sur le corde de un agricultor qui non habeva credite le Biblia, pro menar le a scrutar le prophetias. Le angelos de Deo visitava repetitemente ille electo, pro guidar su mente e aperir a su intelligentia prophetias que habeva semper essite obscure al populo de Deo. Le initio del catena del veritate esseva date a ille, e ille esseva conduseite a cercar anello post anello, usque ille contemplava con stupor e admiration le Parola de Deo. Ille videva ibi un catena perfecte de veritate. Illa Parola que ille habeva reputate como non inspirate se aperiva nunc ante su vision in su beltate e gloria. Ille videva que un portion del Scriptura explica un altere, e quando un passage esseva claus al su intelligentia, ille trovava in un altere parte del Parola aquello que lo explicava. Ille reguardava le sacre Parola de Deo con gaudio e con le plus profunde respect e pavor reverential.” Early Writings, 230.</w:t>
      </w:r>
    </w:p>
    <w:p>
      <w:pPr>
        <w:pStyle w:val="ArticleBody"/>
        <w:jc w:val="left"/>
      </w:pP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திண்டேலின்</w:t>
      </w:r>
      <w:r>
        <w:rPr>
          <w:rFonts w:ascii="Times New Roman" w:hAnsi="Times New Roman" w:eastAsia="Times New Roman" w:cs="Times New Roman"/>
        </w:rPr>
        <w:t xml:space="preserve"> </w:t>
      </w:r>
      <w:r>
        <w:rPr>
          <w:rFonts w:ascii="Nirmala UI" w:hAnsi="Nirmala UI" w:eastAsia="Nirmala UI" w:cs="Nirmala UI"/>
        </w:rPr>
        <w:t>தீர்க்கதரிசனத்தை</w:t>
      </w:r>
      <w:r>
        <w:rPr>
          <w:rFonts w:ascii="Times New Roman" w:hAnsi="Times New Roman" w:eastAsia="Times New Roman" w:cs="Times New Roman"/>
        </w:rPr>
        <w:t xml:space="preserve"> </w:t>
      </w:r>
      <w:r>
        <w:rPr>
          <w:rFonts w:ascii="Nirmala UI" w:hAnsi="Nirmala UI" w:eastAsia="Nirmala UI" w:cs="Nirmala UI"/>
        </w:rPr>
        <w:t>நிறைவேற்றிய</w:t>
      </w:r>
      <w:r>
        <w:rPr>
          <w:rFonts w:ascii="Times New Roman" w:hAnsi="Times New Roman" w:eastAsia="Times New Roman" w:cs="Times New Roman"/>
        </w:rPr>
        <w:t xml:space="preserve"> </w:t>
      </w:r>
      <w:r>
        <w:rPr>
          <w:rFonts w:ascii="Nirmala UI" w:hAnsi="Nirmala UI" w:eastAsia="Nirmala UI" w:cs="Nirmala UI"/>
        </w:rPr>
        <w:t>உழவர்</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8:14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முத்திரையிழப்பினால்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திரட்டியிருந்த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வெளியீடு</w:t>
      </w:r>
      <w:r>
        <w:rPr>
          <w:rFonts w:ascii="Times New Roman" w:hAnsi="Times New Roman" w:eastAsia="Times New Roman" w:cs="Times New Roman"/>
        </w:rPr>
        <w:t xml:space="preserve"> 1831-</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நிகழ்ந்தது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வேதாகமத்தின்</w:t>
      </w:r>
      <w:r>
        <w:rPr>
          <w:rFonts w:ascii="Times New Roman" w:hAnsi="Times New Roman" w:eastAsia="Times New Roman" w:cs="Times New Roman"/>
        </w:rPr>
        <w:t xml:space="preserve"> King James Version </w:t>
      </w:r>
      <w:r>
        <w:rPr>
          <w:rFonts w:ascii="Nirmala UI" w:hAnsi="Nirmala UI" w:eastAsia="Nirmala UI" w:cs="Nirmala UI"/>
        </w:rPr>
        <w:t>வெளியிடப்பட்டதிலிருந்து</w:t>
      </w:r>
      <w:r>
        <w:rPr>
          <w:rFonts w:ascii="Times New Roman" w:hAnsi="Times New Roman" w:eastAsia="Times New Roman" w:cs="Times New Roman"/>
        </w:rPr>
        <w:t xml:space="preserve"> </w:t>
      </w:r>
      <w:r>
        <w:rPr>
          <w:rFonts w:ascii="Nirmala UI" w:hAnsi="Nirmala UI" w:eastAsia="Nirmala UI" w:cs="Nirmala UI"/>
        </w:rPr>
        <w:t>இருநூற்று</w:t>
      </w:r>
      <w:r>
        <w:rPr>
          <w:rFonts w:ascii="Times New Roman" w:hAnsi="Times New Roman" w:eastAsia="Times New Roman" w:cs="Times New Roman"/>
        </w:rPr>
        <w:t xml:space="preserve"> </w:t>
      </w:r>
      <w:r>
        <w:rPr>
          <w:rFonts w:ascii="Nirmala UI" w:hAnsi="Nirmala UI" w:eastAsia="Nirmala UI" w:cs="Nirmala UI"/>
        </w:rPr>
        <w:t>இருபது</w:t>
      </w:r>
      <w:r>
        <w:rPr>
          <w:rFonts w:ascii="Times New Roman" w:hAnsi="Times New Roman" w:eastAsia="Times New Roman" w:cs="Times New Roman"/>
        </w:rPr>
        <w:t xml:space="preserve"> </w:t>
      </w:r>
      <w:r>
        <w:rPr>
          <w:rFonts w:ascii="Nirmala UI" w:hAnsi="Nirmala UI" w:eastAsia="Nirmala UI" w:cs="Nirmala UI"/>
        </w:rPr>
        <w:t>ஆண்டுகளுக்குப்</w:t>
      </w:r>
      <w:r>
        <w:rPr>
          <w:rFonts w:ascii="Times New Roman" w:hAnsi="Times New Roman" w:eastAsia="Times New Roman" w:cs="Times New Roman"/>
        </w:rPr>
        <w:t xml:space="preserve"> </w:t>
      </w:r>
      <w:r>
        <w:rPr>
          <w:rFonts w:ascii="Nirmala UI" w:hAnsi="Nirmala UI" w:eastAsia="Nirmala UI" w:cs="Nirmala UI"/>
        </w:rPr>
        <w:t>பின்பு</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ஜான்</w:t>
      </w:r>
      <w:r>
        <w:rPr>
          <w:rFonts w:ascii="Times New Roman" w:hAnsi="Times New Roman" w:eastAsia="Times New Roman" w:cs="Times New Roman"/>
        </w:rPr>
        <w:t xml:space="preserve"> </w:t>
      </w:r>
      <w:r>
        <w:rPr>
          <w:rFonts w:ascii="Nirmala UI" w:hAnsi="Nirmala UI" w:eastAsia="Nirmala UI" w:cs="Nirmala UI"/>
        </w:rPr>
        <w:t>விக்ளிப்</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திண்டேல்</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1611-</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King James </w:t>
      </w:r>
      <w:r>
        <w:rPr>
          <w:rFonts w:ascii="Nirmala UI" w:hAnsi="Nirmala UI" w:eastAsia="Nirmala UI" w:cs="Nirmala UI"/>
        </w:rPr>
        <w:t>வேதாகமத்தின்</w:t>
      </w:r>
      <w:r>
        <w:rPr>
          <w:rFonts w:ascii="Times New Roman" w:hAnsi="Times New Roman" w:eastAsia="Times New Roman" w:cs="Times New Roman"/>
        </w:rPr>
        <w:t xml:space="preserve"> </w:t>
      </w:r>
      <w:r>
        <w:rPr>
          <w:rFonts w:ascii="Nirmala UI" w:hAnsi="Nirmala UI" w:eastAsia="Nirmala UI" w:cs="Nirmala UI"/>
        </w:rPr>
        <w:t>வெளியீடு</w:t>
      </w:r>
      <w:r>
        <w:rPr>
          <w:rFonts w:ascii="Times New Roman" w:hAnsi="Times New Roman" w:eastAsia="Times New Roman" w:cs="Times New Roman"/>
        </w:rPr>
        <w:t xml:space="preserve"> </w:t>
      </w:r>
      <w:r>
        <w:rPr>
          <w:rFonts w:ascii="Nirmala UI" w:hAnsi="Nirmala UI" w:eastAsia="Nirmala UI" w:cs="Nirmala UI"/>
        </w:rPr>
        <w:t>ஆகியவை</w:t>
      </w:r>
      <w:r>
        <w:rPr>
          <w:rFonts w:ascii="Times New Roman" w:hAnsi="Times New Roman" w:eastAsia="Times New Roman" w:cs="Times New Roman"/>
        </w:rPr>
        <w:t xml:space="preserve">, </w:t>
      </w:r>
      <w:r>
        <w:rPr>
          <w:rFonts w:ascii="Nirmala UI" w:hAnsi="Nirmala UI" w:eastAsia="Nirmala UI" w:cs="Nirmala UI"/>
        </w:rPr>
        <w:t>இருநூற்று</w:t>
      </w:r>
      <w:r>
        <w:rPr>
          <w:rFonts w:ascii="Times New Roman" w:hAnsi="Times New Roman" w:eastAsia="Times New Roman" w:cs="Times New Roman"/>
        </w:rPr>
        <w:t xml:space="preserve"> </w:t>
      </w:r>
      <w:r>
        <w:rPr>
          <w:rFonts w:ascii="Nirmala UI" w:hAnsi="Nirmala UI" w:eastAsia="Nirmala UI" w:cs="Nirmala UI"/>
        </w:rPr>
        <w:t>இருபது</w:t>
      </w:r>
      <w:r>
        <w:rPr>
          <w:rFonts w:ascii="Times New Roman" w:hAnsi="Times New Roman" w:eastAsia="Times New Roman" w:cs="Times New Roman"/>
        </w:rPr>
        <w:t xml:space="preserve"> </w:t>
      </w:r>
      <w:r>
        <w:rPr>
          <w:rFonts w:ascii="Nirmala UI" w:hAnsi="Nirmala UI" w:eastAsia="Nirmala UI" w:cs="Nirmala UI"/>
        </w:rPr>
        <w:t>ஆண்டுகளைக்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தொடக்கத்தை</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வழிக்குறிகளாக</w:t>
      </w:r>
      <w:r>
        <w:rPr>
          <w:rFonts w:ascii="Times New Roman" w:hAnsi="Times New Roman" w:eastAsia="Times New Roman" w:cs="Times New Roman"/>
        </w:rPr>
        <w:t xml:space="preserve"> </w:t>
      </w:r>
      <w:r>
        <w:rPr>
          <w:rFonts w:ascii="Nirmala UI" w:hAnsi="Nirmala UI" w:eastAsia="Nirmala UI" w:cs="Nirmala UI"/>
        </w:rPr>
        <w:t>விளங்குகின்றன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திண்டேலின்</w:t>
      </w:r>
      <w:r>
        <w:rPr>
          <w:rFonts w:ascii="Times New Roman" w:hAnsi="Times New Roman" w:eastAsia="Times New Roman" w:cs="Times New Roman"/>
        </w:rPr>
        <w:t xml:space="preserve"> </w:t>
      </w:r>
      <w:r>
        <w:rPr>
          <w:rFonts w:ascii="Nirmala UI" w:hAnsi="Nirmala UI" w:eastAsia="Nirmala UI" w:cs="Nirmala UI"/>
        </w:rPr>
        <w:t>உழவர்</w:t>
      </w:r>
      <w:r>
        <w:rPr>
          <w:rFonts w:ascii="Times New Roman" w:hAnsi="Times New Roman" w:eastAsia="Times New Roman" w:cs="Times New Roman"/>
        </w:rPr>
        <w:t xml:space="preserve"> </w:t>
      </w:r>
      <w:r>
        <w:rPr>
          <w:rFonts w:ascii="Nirmala UI" w:hAnsi="Nirmala UI" w:eastAsia="Nirmala UI" w:cs="Nirmala UI"/>
        </w:rPr>
        <w:t>சிறுவன்</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செய்திக்குத்</w:t>
      </w:r>
      <w:r>
        <w:rPr>
          <w:rFonts w:ascii="Times New Roman" w:hAnsi="Times New Roman" w:eastAsia="Times New Roman" w:cs="Times New Roman"/>
        </w:rPr>
        <w:t xml:space="preserve"> </w:t>
      </w:r>
      <w:r>
        <w:rPr>
          <w:rFonts w:ascii="Nirmala UI" w:hAnsi="Nirmala UI" w:eastAsia="Nirmala UI" w:cs="Nirmala UI"/>
        </w:rPr>
        <w:t>திறப்பதன்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முடிவுறுகிறது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தூதர்கள்</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வேண்டியிருந்தது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1798-</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 xml:space="preserve">; </w:t>
      </w:r>
      <w:r>
        <w:rPr>
          <w:rFonts w:ascii="Nirmala UI" w:hAnsi="Nirmala UI" w:eastAsia="Nirmala UI" w:cs="Nirmala UI"/>
        </w:rPr>
        <w:t>மூன்றாவது</w:t>
      </w:r>
      <w:r>
        <w:rPr>
          <w:rFonts w:ascii="Times New Roman" w:hAnsi="Times New Roman" w:eastAsia="Times New Roman" w:cs="Times New Roman"/>
        </w:rPr>
        <w:t xml:space="preserve"> 1844-</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 xml:space="preserve">. </w:t>
      </w:r>
      <w:r>
        <w:rPr>
          <w:rFonts w:ascii="Nirmala UI" w:hAnsi="Nirmala UI" w:eastAsia="Nirmala UI" w:cs="Nirmala UI"/>
        </w:rPr>
        <w:t>விக்ளிப்</w:t>
      </w:r>
      <w:r>
        <w:rPr>
          <w:rFonts w:ascii="Times New Roman" w:hAnsi="Times New Roman" w:eastAsia="Times New Roman" w:cs="Times New Roman"/>
        </w:rPr>
        <w:t xml:space="preserve">, </w:t>
      </w:r>
      <w:r>
        <w:rPr>
          <w:rFonts w:ascii="Nirmala UI" w:hAnsi="Nirmala UI" w:eastAsia="Nirmala UI" w:cs="Nirmala UI"/>
        </w:rPr>
        <w:t>திண்டேல்</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King James </w:t>
      </w:r>
      <w:r>
        <w:rPr>
          <w:rFonts w:ascii="Nirmala UI" w:hAnsi="Nirmala UI" w:eastAsia="Nirmala UI" w:cs="Nirmala UI"/>
        </w:rPr>
        <w:t>ஆகியோர்</w:t>
      </w:r>
      <w:r>
        <w:rPr>
          <w:rFonts w:ascii="Times New Roman" w:hAnsi="Times New Roman" w:eastAsia="Times New Roman" w:cs="Times New Roman"/>
        </w:rPr>
        <w:t xml:space="preserve">, </w:t>
      </w:r>
      <w:r>
        <w:rPr>
          <w:rFonts w:ascii="Nirmala UI" w:hAnsi="Nirmala UI" w:eastAsia="Nirmala UI" w:cs="Nirmala UI"/>
        </w:rPr>
        <w:t>திண்டேலின்</w:t>
      </w:r>
      <w:r>
        <w:rPr>
          <w:rFonts w:ascii="Times New Roman" w:hAnsi="Times New Roman" w:eastAsia="Times New Roman" w:cs="Times New Roman"/>
        </w:rPr>
        <w:t xml:space="preserve"> </w:t>
      </w:r>
      <w:r>
        <w:rPr>
          <w:rFonts w:ascii="Nirmala UI" w:hAnsi="Nirmala UI" w:eastAsia="Nirmala UI" w:cs="Nirmala UI"/>
        </w:rPr>
        <w:t>முன்னறிவிப்பை</w:t>
      </w:r>
      <w:r>
        <w:rPr>
          <w:rFonts w:ascii="Times New Roman" w:hAnsi="Times New Roman" w:eastAsia="Times New Roman" w:cs="Times New Roman"/>
        </w:rPr>
        <w:t xml:space="preserve"> </w:t>
      </w:r>
      <w:r>
        <w:rPr>
          <w:rFonts w:ascii="Nirmala UI" w:hAnsi="Nirmala UI" w:eastAsia="Nirmala UI" w:cs="Nirmala UI"/>
        </w:rPr>
        <w:t>நிறைவேற்றவிருந்த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உழவருடன்</w:t>
      </w:r>
      <w:r>
        <w:rPr>
          <w:rFonts w:ascii="Times New Roman" w:hAnsi="Times New Roman" w:eastAsia="Times New Roman" w:cs="Times New Roman"/>
        </w:rPr>
        <w:t xml:space="preserve"> </w:t>
      </w:r>
      <w:r>
        <w:rPr>
          <w:rFonts w:ascii="Nirmala UI" w:hAnsi="Nirmala UI" w:eastAsia="Nirmala UI" w:cs="Nirmala UI"/>
        </w:rPr>
        <w:t>இணைக்கப்படுகின்றனர்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1798 </w:t>
      </w:r>
      <w:r>
        <w:rPr>
          <w:rFonts w:ascii="Nirmala UI" w:hAnsi="Nirmala UI" w:eastAsia="Nirmala UI" w:cs="Nirmala UI"/>
        </w:rPr>
        <w:t>முதல்</w:t>
      </w:r>
      <w:r>
        <w:rPr>
          <w:rFonts w:ascii="Times New Roman" w:hAnsi="Times New Roman" w:eastAsia="Times New Roman" w:cs="Times New Roman"/>
        </w:rPr>
        <w:t xml:space="preserve"> 1844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தூதர்களின்</w:t>
      </w:r>
      <w:r>
        <w:rPr>
          <w:rFonts w:ascii="Times New Roman" w:hAnsi="Times New Roman" w:eastAsia="Times New Roman" w:cs="Times New Roman"/>
        </w:rPr>
        <w:t xml:space="preserve"> </w:t>
      </w:r>
      <w:r>
        <w:rPr>
          <w:rFonts w:ascii="Nirmala UI" w:hAnsi="Nirmala UI" w:eastAsia="Nirmala UI" w:cs="Nirmala UI"/>
        </w:rPr>
        <w:t>வரலாற்றைச்</w:t>
      </w:r>
      <w:r>
        <w:rPr>
          <w:rFonts w:ascii="Times New Roman" w:hAnsi="Times New Roman" w:eastAsia="Times New Roman" w:cs="Times New Roman"/>
        </w:rPr>
        <w:t xml:space="preserve"> </w:t>
      </w:r>
      <w:r>
        <w:rPr>
          <w:rFonts w:ascii="Nirmala UI" w:hAnsi="Nirmala UI" w:eastAsia="Nirmala UI" w:cs="Nirmala UI"/>
        </w:rPr>
        <w:t>சின்னமாகக்</w:t>
      </w:r>
      <w:r>
        <w:rPr>
          <w:rFonts w:ascii="Times New Roman" w:hAnsi="Times New Roman" w:eastAsia="Times New Roman" w:cs="Times New Roman"/>
        </w:rPr>
        <w:t xml:space="preserve"> </w:t>
      </w:r>
      <w:r>
        <w:rPr>
          <w:rFonts w:ascii="Nirmala UI" w:hAnsi="Nirmala UI" w:eastAsia="Nirmala UI" w:cs="Nirmala UI"/>
        </w:rPr>
        <w:t>குறிக்கவிருந்தார்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découverte alpha de William Miller fut les 2 520 années de Lévitique vingt-six, et sa découverte oméga fut les 2 300 années de Daniel 8:14. La dispersion de Juda durant les 2 520 ans commença en 677 av. J.-C. et se termina en 1844. Les 2 300 années de Daniel 8:14 prirent fin en 1844. Toutes deux se terminèrent ensemble en 1844, et le point de départ des découvertes alpha et oméga de William Miller était séparé par deux cent vingt ans. « Deux cent vingt » est un symbole de William Miller, sur la base de deux témoins. Les découvertes alpha et oméga de Miller sont représentées par 1798 et 1844. La dispersion de 2 520 ans contre le royaume du nord prit fin en 1798, et quarante-six ans plus tard, en 1844, les 2 300 années prirent fin.</w:t>
      </w:r>
    </w:p>
    <w:p>
      <w:pPr>
        <w:pStyle w:val="ArticleBody"/>
        <w:jc w:val="left"/>
      </w:pPr>
      <w:r>
        <w:rPr>
          <w:rFonts w:ascii="Times New Roman" w:hAnsi="Times New Roman" w:eastAsia="Times New Roman" w:cs="Times New Roman"/>
        </w:rPr>
        <w:t>Les 2 520 ans qui se terminèrent en 1798 marquent cette date, et les 2 520 ans contre Juda, qui se terminèrent en 1844, produisent une période de deux cent vingt ans. Cela signifie que les 2 520 ans contre Israël produisent la période prophétique de quarante-six ans, et que les 2 520 ans contre Juda produisent la période prophétique de deux cent vingt ans. L’alpha de cette période est 677 av. J.-C. et l’oméga est 457 av. J.-C., ce qui signifie que l’alpha de la période de quarante-six ans et de la période de deux cent vingt ans est représenté par les 2 520, et que l’oméga des deux lignes est les 2 300. Les deux « dispersions » de 2 520 ans fournissent deux témoins d’une période qui commence avec les 2 520 et se termine avec les 2 300. Ces deux lignes identifient les découvertes alpha et oméga de William Miller.</w:t>
      </w:r>
    </w:p>
    <w:p>
      <w:pPr>
        <w:pStyle w:val="ArticleScripture"/>
        <w:jc w:val="left"/>
      </w:pPr>
      <w:r>
        <w:rPr>
          <w:rFonts w:ascii="Times New Roman" w:hAnsi="Times New Roman" w:eastAsia="Times New Roman" w:cs="Times New Roman"/>
        </w:rPr>
        <w:t>“Le Rêve de William Miller”</w:t>
      </w:r>
    </w:p>
    <w:p>
      <w:pPr>
        <w:pStyle w:val="ArticleScripture"/>
        <w:jc w:val="left"/>
      </w:pPr>
      <w:r>
        <w:rPr>
          <w:rFonts w:ascii="Times New Roman" w:hAnsi="Times New Roman" w:eastAsia="Times New Roman" w:cs="Times New Roman"/>
        </w:rPr>
        <w:t>“Mi sonĝis, ke Dio, per nevidebla mano, sendis al mi mirinde prilaboritan skatoleton, proksimume dek colojn longan kaj ses colojn larĝan kaj altan, faritan el ebono kaj perloj, arte inkrustitajn. Al la skatoleto estis alkroĉita ŝlosilo. Mi tuj prenis la ŝlosilon kaj malfermis la skatoleton; tiam, je mia miro kaj surprizo, mi trovis ĝin plenigita per ĉiaspecaj kaj ĉigrandaj juveloj, diamantoj, multekostaj ŝtonoj, kaj oraj kaj arĝentaj moneroj de ĉiu dimensio kaj valoro, bele aranĝitaj en siaj apartaj lokoj en la skatoleto; kaj tiel aranĝitaj ili reflektis lumon kaj gloron, egalatajn nur de la suno.</w:t>
      </w:r>
    </w:p>
    <w:p>
      <w:pPr>
        <w:pStyle w:val="ArticleScripture"/>
        <w:jc w:val="left"/>
      </w:pPr>
      <w:r>
        <w:rPr>
          <w:rFonts w:ascii="Times New Roman" w:hAnsi="Times New Roman" w:eastAsia="Times New Roman" w:cs="Times New Roman"/>
        </w:rPr>
        <w:t>“Mi pensis, ke ne estas mia devo ĝui tiun ĉi mirindan vidaĵon sola, kvankam mia koro superĝojis pro la brileco, beleco kaj valoro de ĝia enhavo. Tial mi metis ĝin sur mezan tablon en mia ĉambro kaj diskonigis, ke ĉiuj, kiuj havis deziron, povus veni kaj vidi la plej gloran kaj brilantan vidaĵon, kiun homo iam vidis en ĉi tiu vivo.</w:t>
      </w:r>
    </w:p>
    <w:p>
      <w:pPr>
        <w:pStyle w:val="ArticleScripture"/>
        <w:jc w:val="left"/>
      </w:pPr>
      <w:r>
        <w:rPr>
          <w:rFonts w:ascii="Times New Roman" w:hAnsi="Times New Roman" w:eastAsia="Times New Roman" w:cs="Times New Roman"/>
        </w:rPr>
        <w:t>“Watu walianza kuingia, mwanzoni wakiwa wachache, lakini idadi yao ikaongezeka hata kuwa umati. Walipoanza kwanza kutazama ndani ya sanduku, walistaajabu na kupaza sauti kwa furaha. Lakini watazamaji walipozidi kuongezeka, kila mmoja akaanza kuzisumbua zile vito, akizitoa katika sanduku na kuzitawanya juu ya meza.</w:t>
      </w:r>
    </w:p>
    <w:p>
      <w:pPr>
        <w:pStyle w:val="ArticleScripture"/>
        <w:jc w:val="left"/>
      </w:pPr>
      <w:r>
        <w:rPr>
          <w:rFonts w:ascii="Times New Roman" w:hAnsi="Times New Roman" w:eastAsia="Times New Roman" w:cs="Times New Roman"/>
        </w:rPr>
        <w:t>«أنا أخذت أفتكر إن صاحب الصندوق حيطلب مني التابوت والجواهر تاني من إيدي؛ ولو خليتهم يتبعثروا، ما كنتش حأقدر أرجّعهم لأماكنهم في التابوت زي الأول أبدًا؛ وحسّيت إني ما حأقدرش أواجه هذه المسؤولية، لأنها كانت هائلة. وبعد كده بدأت أرجو الناس ألّا يلمسوها، ولا يخرجوها من التابوت؛ لكن كل ما ترجّيت أكتر، كانوا يبعثروها أكتر؛ ودلوقتي كان باين إنهم بيبعثروها في كل أنحاء الغرفة، على الأرض وعلى كل قطعة من الأثاث في الغرفة.»</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ผมจึงเห็นว่า</w:t>
      </w:r>
      <w:r>
        <w:rPr>
          <w:rFonts w:ascii="Times New Roman" w:hAnsi="Times New Roman" w:eastAsia="Times New Roman" w:cs="Times New Roman"/>
        </w:rPr>
        <w:t xml:space="preserve"> </w:t>
      </w:r>
      <w:r>
        <w:rPr>
          <w:rFonts w:ascii="Leelawadee UI" w:hAnsi="Leelawadee UI" w:eastAsia="Leelawadee UI" w:cs="Leelawadee UI"/>
        </w:rPr>
        <w:t>ท่ามกลางอัญมณีแท้และเหรียญแท้ทั้งหลาย</w:t>
      </w:r>
      <w:r>
        <w:rPr>
          <w:rFonts w:ascii="Times New Roman" w:hAnsi="Times New Roman" w:eastAsia="Times New Roman" w:cs="Times New Roman"/>
        </w:rPr>
        <w:t xml:space="preserve"> </w:t>
      </w:r>
      <w:r>
        <w:rPr>
          <w:rFonts w:ascii="Leelawadee UI" w:hAnsi="Leelawadee UI" w:eastAsia="Leelawadee UI" w:cs="Leelawadee UI"/>
        </w:rPr>
        <w:t>พวกเขาได้โปรยอัญมณีปลอมและเหรียญปลอมเป็นจำนวนมากมายนับไม่ถ้วนไว้ด้วย</w:t>
      </w:r>
      <w:r>
        <w:rPr>
          <w:rFonts w:ascii="Times New Roman" w:hAnsi="Times New Roman" w:eastAsia="Times New Roman" w:cs="Times New Roman"/>
        </w:rPr>
        <w:t xml:space="preserve"> </w:t>
      </w:r>
      <w:r>
        <w:rPr>
          <w:rFonts w:ascii="Leelawadee UI" w:hAnsi="Leelawadee UI" w:eastAsia="Leelawadee UI" w:cs="Leelawadee UI"/>
        </w:rPr>
        <w:t>ข้าพเจ้ารู้สึกเดือดดาลอย่างยิ่งต่อความประพฤติอันเลวทรามและความอกตัญญูของพวกเขา</w:t>
      </w:r>
      <w:r>
        <w:rPr>
          <w:rFonts w:ascii="Times New Roman" w:hAnsi="Times New Roman" w:eastAsia="Times New Roman" w:cs="Times New Roman"/>
        </w:rPr>
        <w:t xml:space="preserve"> </w:t>
      </w:r>
      <w:r>
        <w:rPr>
          <w:rFonts w:ascii="Leelawadee UI" w:hAnsi="Leelawadee UI" w:eastAsia="Leelawadee UI" w:cs="Leelawadee UI"/>
        </w:rPr>
        <w:t>และได้กล่าวตำหนิและประณามพวกเขาเพราะการนั้น</w:t>
      </w:r>
      <w:r>
        <w:rPr>
          <w:rFonts w:ascii="Times New Roman" w:hAnsi="Times New Roman" w:eastAsia="Times New Roman" w:cs="Times New Roman"/>
        </w:rPr>
        <w:t xml:space="preserve"> </w:t>
      </w:r>
      <w:r>
        <w:rPr>
          <w:rFonts w:ascii="Leelawadee UI" w:hAnsi="Leelawadee UI" w:eastAsia="Leelawadee UI" w:cs="Leelawadee UI"/>
        </w:rPr>
        <w:t>แต่ยิ่งข้าพเจ้าตำหนิมากเท่าไร</w:t>
      </w:r>
      <w:r>
        <w:rPr>
          <w:rFonts w:ascii="Times New Roman" w:hAnsi="Times New Roman" w:eastAsia="Times New Roman" w:cs="Times New Roman"/>
        </w:rPr>
        <w:t xml:space="preserve"> </w:t>
      </w:r>
      <w:r>
        <w:rPr>
          <w:rFonts w:ascii="Leelawadee UI" w:hAnsi="Leelawadee UI" w:eastAsia="Leelawadee UI" w:cs="Leelawadee UI"/>
        </w:rPr>
        <w:t>พวกเขาก็ยิ่งโปรยอัญมณีปลอมและเหรียญเทียมปะปนอยู่ท่ามกลางของแท้มากขึ้นเท่านั้น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“Basi nikafadhaika rohoni mwangu wa asili na nikaanza kutumia nguvu za kimwili kuwasukuma watoke chumbani; lakini nilipokuwa nikimsukuma mmoja atoke, wengine watatu waliingia na kuleta uchafu na vipande vya kukwaruzwa na mchanga na kila namna ya takataka, hata wakavifunika kabisa vito vya kweli, almasi, na sarafu, hivi vyote vikafichwa visionekane. Tena walilivuruga sanduku langu vipande-vipande na kulisambaza katikati ya takataka. Nikaona kana kwamba hakuna mtu aliyejali huzuni yangu wala hasira yangu. Nikakata tamaa kabisa na kuvunjika moyo, nikaketi chini nikalia.”</w:t>
      </w:r>
    </w:p>
    <w:p>
      <w:pPr>
        <w:pStyle w:val="ArticleScripture"/>
        <w:jc w:val="left"/>
      </w:pPr>
      <w:r>
        <w:rPr>
          <w:rFonts w:ascii="Times New Roman" w:hAnsi="Times New Roman" w:eastAsia="Times New Roman" w:cs="Times New Roman"/>
        </w:rPr>
        <w:t>«Während ich so über meinen großen Verlust und meine Verantwortung weinte und trauerte, gedachte ich Gottes und betete inständig, dass Er mir Hilfe senden möge. »</w:t>
      </w:r>
    </w:p>
    <w:p>
      <w:pPr>
        <w:pStyle w:val="ArticleScripture"/>
        <w:jc w:val="left"/>
      </w:pPr>
      <w:r>
        <w:rPr>
          <w:rFonts w:ascii="Times New Roman" w:hAnsi="Times New Roman" w:eastAsia="Times New Roman" w:cs="Times New Roman"/>
        </w:rPr>
        <w:t>«Aussitôt la porte s’ouvrit, et un homme entra dans la pièce; alors tous les gens en sortirent; et lui, ayant en main une brosse à poussière, ouvrit les fenêtres et se mit à balayer hors de la pièce la poussière et les immondices. »</w:t>
      </w:r>
    </w:p>
    <w:p>
      <w:pPr>
        <w:pStyle w:val="ArticleScripture"/>
        <w:jc w:val="left"/>
      </w:pP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、思</w:t>
      </w:r>
      <w:r>
        <w:rPr>
          <w:rFonts w:ascii="MS Gothic" w:hAnsi="MS Gothic" w:eastAsia="MS Gothic" w:cs="MS Gothic"/>
        </w:rPr>
        <w:t>いとどまるようにと</w:t>
      </w:r>
      <w:r>
        <w:rPr>
          <w:rFonts w:ascii="Microsoft YaHei" w:hAnsi="Microsoft YaHei" w:eastAsia="Microsoft YaHei" w:cs="Microsoft YaHei"/>
        </w:rPr>
        <w:t>叫</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、瓦礫</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いくつかの</w:t>
      </w:r>
      <w:r>
        <w:rPr>
          <w:rFonts w:ascii="Microsoft YaHei" w:hAnsi="Microsoft YaHei" w:eastAsia="Microsoft YaHei" w:cs="Microsoft YaHei"/>
        </w:rPr>
        <w:t>尊</w:t>
      </w:r>
      <w:r>
        <w:rPr>
          <w:rFonts w:ascii="MS Gothic" w:hAnsi="MS Gothic" w:eastAsia="MS Gothic" w:cs="MS Gothic"/>
        </w:rPr>
        <w:t>い</w:t>
      </w:r>
      <w:r>
        <w:rPr>
          <w:rFonts w:ascii="Microsoft YaHei" w:hAnsi="Microsoft YaHei" w:eastAsia="Microsoft YaHei" w:cs="Microsoft YaHei"/>
        </w:rPr>
        <w:t>宝石</w:t>
      </w:r>
      <w:r>
        <w:rPr>
          <w:rFonts w:ascii="MS Gothic" w:hAnsi="MS Gothic" w:eastAsia="MS Gothic" w:cs="MS Gothic"/>
        </w:rPr>
        <w:t>が</w:t>
      </w:r>
      <w:r>
        <w:rPr>
          <w:rFonts w:ascii="Microsoft YaHei" w:hAnsi="Microsoft YaHei" w:eastAsia="Microsoft YaHei" w:cs="Microsoft YaHei"/>
        </w:rPr>
        <w:t>散</w:t>
      </w:r>
      <w:r>
        <w:rPr>
          <w:rFonts w:ascii="MS Gothic" w:hAnsi="MS Gothic" w:eastAsia="MS Gothic" w:cs="MS Gothic"/>
        </w:rPr>
        <w:t>らされていたからである</w:t>
      </w:r>
      <w:r>
        <w:rPr>
          <w:rFonts w:ascii="Times New Roman" w:hAnsi="Times New Roman" w:eastAsia="Times New Roman" w:cs="Times New Roman"/>
        </w:rPr>
        <w:t xml:space="preserve">. </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 Il me dit de “ne pas craindre”, car il “prendrait soin d’eux”. »</w:t>
      </w:r>
    </w:p>
    <w:p>
      <w:pPr>
        <w:pStyle w:val="ArticleScripture"/>
        <w:jc w:val="left"/>
      </w:pPr>
      <w:r>
        <w:rPr>
          <w:rFonts w:ascii="Times New Roman" w:hAnsi="Times New Roman" w:eastAsia="Times New Roman" w:cs="Times New Roman"/>
        </w:rPr>
        <w:t>« Puis, tandis qu’il balayait la poussière et les détritus, les faux joyaux et la monnaie contrefaite, tout cela s’éleva et sortit par la fenêtre comme un nuage, et le vent les emporta. Dans l’agitation, je fermai les yeux un instant ; lorsque je les rouvris, tous les détritus avaient disparu. Les joyaux précieux, les diamants, les pièces d’or et d’argent, gisaient épars en abondance dans toute la pièce. »</w:t>
      </w:r>
    </w:p>
    <w:p>
      <w:pPr>
        <w:pStyle w:val="ArticleScripture"/>
        <w:jc w:val="left"/>
      </w:pPr>
      <w:r>
        <w:rPr>
          <w:rFonts w:ascii="Times New Roman" w:hAnsi="Times New Roman" w:eastAsia="Times New Roman" w:cs="Times New Roman"/>
        </w:rPr>
        <w:t>Afei ha ɔpon no so adaka bi a esõ sen nea edi kan no kɛse na ɛyɛ fɛ koraa, na ɔde ne nsam boaboaa aboɔden aboɔ, diamond ahorow, ne sika mpɔw anoano, na ɔtow guu adaka no mu, kosii sɛ baako mpo anka hɔ, ɛwom sɛ na diamond no bi nyɛ kɛse sen pin tifi kɛkɛ.</w:t>
      </w:r>
    </w:p>
    <w:p>
      <w:pPr>
        <w:pStyle w:val="ArticleScripture"/>
        <w:jc w:val="left"/>
      </w:pPr>
      <w:r>
        <w:rPr>
          <w:rFonts w:ascii="Times New Roman" w:hAnsi="Times New Roman" w:eastAsia="Times New Roman" w:cs="Times New Roman"/>
        </w:rPr>
        <w:t>“Il m’appela alors à ‘venir et voir’. ”</w:t>
      </w:r>
    </w:p>
    <w:p>
      <w:pPr>
        <w:pStyle w:val="ArticleScripture"/>
        <w:jc w:val="left"/>
      </w:pPr>
      <w:r>
        <w:rPr>
          <w:rFonts w:ascii="Times New Roman" w:hAnsi="Times New Roman" w:eastAsia="Times New Roman" w:cs="Times New Roman"/>
        </w:rPr>
        <w:t>« Je regardai dans le coffret, mais mes yeux furent éblouis par ce que je vis. Ils resplendissaient d’une gloire dix fois plus grande qu’auparavant. Je pensais qu’ils avaient été frottés dans le sable par les pieds de ces personnes impies qui les avaient dispersés et foulés dans la poussière. Ils étaient disposés dans le coffret avec un ordre admirable, chacun à sa place, sans qu’on pût voir la moindre trace des efforts de l’homme qui les y avait jetés. Je poussai un cri de joie, et ce cri me réveilla. » Early Writings, 81–83.</w:t>
      </w:r>
    </w:p>
    <w:p>
      <w:pPr>
        <w:pStyle w:val="ArticleBody"/>
        <w:jc w:val="left"/>
      </w:pPr>
      <w:r>
        <w:rPr>
          <w:rFonts w:ascii="Times New Roman" w:hAnsi="Times New Roman" w:eastAsia="Times New Roman" w:cs="Times New Roman"/>
        </w:rPr>
        <w:t>À partir de la page « 81 », symbole des prêtres, le songe identifie l’histoire de l’œuvre de l’Église adventiste du septième jour laodicéenne consistant à détruire les vérités fondamentales rassemblées par la Divinité au moyen de l’humanité de William Miller. Cette histoire s’achève lorsque Miller « s’écria de joie » et que ce cri l’« éveilla ». L’histoire représentée dans le songe se conclut au grand cri du troisième ange, qui constitue le point culminant du Cri de Minuit. Le récit historique du songe de Miller représente aussi les balises de l’histoire millérite, et il représente donc également l’histoire parallèle du mouvement des cent quarante-quatre mille. Il est tout aussi significatif que la représentation historique du songe contienne aussi une fractale prophétique de l’histoire qui a commencé à se répéter en 2023.</w:t>
      </w:r>
    </w:p>
    <w:p>
      <w:pPr>
        <w:pStyle w:val="ArticleBody"/>
        <w:jc w:val="left"/>
      </w:pPr>
      <w:r>
        <w:rPr>
          <w:rFonts w:ascii="Times New Roman" w:hAnsi="Times New Roman" w:eastAsia="Times New Roman" w:cs="Times New Roman"/>
        </w:rPr>
        <w:t>Echte Steine der Wahrheit, die in der Geschichte der Hundertvierundvierzigtausend erkannt wurden, wurden im Jahr 2004 in das öffentliche Protokoll aufgenommen und sodann nochmals im Jahr 2012, als die Darstellung der Tafeln Habakuks eine Gruppe sammelte, die dazu bestimmt war, zerstreut zu werden. Diese Wahrheiten wurden im Jahr 2004 auf den Tisch gelegt, mit der ersten Darlegung der Wahrheiten, die 1989 entsiegelt worden waren. Damals beachteten „einige wenige“ die Botschaft, doch im Jahr 2012 brachte die Reihe von 95 Vorträgen mit dem Titel Die Tafeln Habakuks eine Menge herbei; denn „das Volk begann hereinzukommen, anfangs wenige an Zahl, doch zunehmend zu einer Menge“.</w:t>
      </w:r>
    </w:p>
    <w:p>
      <w:pPr>
        <w:pStyle w:val="ArticleBody"/>
        <w:jc w:val="left"/>
      </w:pPr>
      <w:r>
        <w:rPr>
          <w:rFonts w:ascii="Times New Roman" w:hAnsi="Times New Roman" w:eastAsia="Times New Roman" w:cs="Times New Roman"/>
        </w:rPr>
        <w:t>De 2012 jusqu’au 18 juillet 2020, ces vérités furent progressivement dispersées et recouvertes de décombres. Le 18 juillet 2020, les partisans du message des Tables d’Habacuc furent dispersés pendant une période de trois jours et demi.</w:t>
      </w:r>
    </w:p>
    <w:p>
      <w:pPr>
        <w:pStyle w:val="ArticleScripture"/>
        <w:jc w:val="left"/>
      </w:pPr>
      <w:r>
        <w:rPr>
          <w:rFonts w:ascii="Times New Roman" w:hAnsi="Times New Roman" w:eastAsia="Times New Roman" w:cs="Times New Roman"/>
        </w:rPr>
        <w:t>Et quand ils auront achevé leur témoignage, la bête qui monte de l’abîme leur fera la guerre, les vaincra et les tuera. Et leurs cadavres seront étendus dans la rue de la grande ville, qui, au sens spirituel, est appelée Sodome et Égypte, là même où aussi notre Seigneur a été crucifié. Et des peuples, des tribus, des langues et des nations verront leurs cadavres pendant trois jours et demi, et ne permettront pas qu’on les mette dans des tombeaux. Et les habitants de la terre se réjouiront à leur sujet, seront dans l’allégresse, et s’enverront des présents les uns aux autres, parce que ces deux prophètes avaient tourmenté les habitants de la terre. Apocalypse 11:7–10.</w:t>
      </w:r>
    </w:p>
    <w:p>
      <w:pPr>
        <w:pStyle w:val="ArticleBody"/>
        <w:jc w:val="left"/>
      </w:pPr>
      <w:r>
        <w:rPr>
          <w:rFonts w:ascii="Times New Roman" w:hAnsi="Times New Roman" w:eastAsia="Times New Roman" w:cs="Times New Roman"/>
        </w:rPr>
        <w:t>On Sabbath, 30 Desemba 2023 Future for America ikyatamu ku nama ya Zoom ku lw'ensonga y'ensisinkano yaayo ey'olukale esooka okuva nga 18 Julayi 2020. Nga 30 Desemba 2023 ziweddeyo ennaku 1,260 okuva nga 18 Julayi 2020, oba “ennaku ssatu n’ekitundu.” Nga Eriya ne Musa baali bafu mu luguudo, ekibiina ekirala kiri “kisanyuka.” Future for America yali eddiddeyo okufulumya obubaka obw’obunnabbi mu Julayi wa 2023, kubanga obubaka obwali obw’okugenda eri ensi yonna mu kiseera ekyo, olw’obwetaavu bw’obunnabbi, bwalina okuva mu “ddungu.” Ennaku ssatu n’ekitundu, oba ennaku 1,260, ddungu.</w:t>
      </w:r>
    </w:p>
    <w:p>
      <w:pPr>
        <w:pStyle w:val="ArticleScripture"/>
        <w:jc w:val="left"/>
      </w:pPr>
      <w:r>
        <w:rPr>
          <w:rFonts w:ascii="Times New Roman" w:hAnsi="Times New Roman" w:eastAsia="Times New Roman" w:cs="Times New Roman"/>
        </w:rPr>
        <w:t>Na muka ana i dro ki na vanua liwa, na vanua sa vakarautaki tu vua mai vua na Kalou, me ratou vakani koya kina e dua na udolu rua na drau kei na onosagavulu na siga. Vakatakila 12:6.</w:t>
      </w:r>
    </w:p>
    <w:p>
      <w:pPr>
        <w:pStyle w:val="ArticleBody"/>
        <w:jc w:val="left"/>
      </w:pPr>
      <w:r>
        <w:rPr>
          <w:rFonts w:ascii="Times New Roman" w:hAnsi="Times New Roman" w:eastAsia="Times New Roman" w:cs="Times New Roman"/>
        </w:rPr>
        <w:t>La « wilderness » correspond à « mille deux cent soixante jours », c’est-à-dire 1 260 jours, ce qui équivaut aussi à « trois jours et demi », comme cela est représenté dans Apocalypse 12:6, et « 126 » est la dîme de 1 260. L’une des vérités étonnantes qui furent alors descellées fut la nécessité de la repentance, en accomplissement de la prière des « sept temps » dans Lévitique vingt-six.</w:t>
      </w:r>
    </w:p>
    <w:p>
      <w:pPr>
        <w:pStyle w:val="ArticleBody"/>
        <w:jc w:val="left"/>
      </w:pPr>
      <w:r>
        <w:rPr>
          <w:rFonts w:ascii="Times New Roman" w:hAnsi="Times New Roman" w:eastAsia="Times New Roman" w:cs="Times New Roman"/>
        </w:rPr>
        <w:t>1 260 jours sont aussi un symbole de 2 520 jours. Les « sept temps » contre le royaume du Nord commencèrent en 723 av. J.-C. et prirent fin en 1798. Le point médian est 538, établissant ainsi 1 260 années durant lesquelles le paganisme foula aux pieds le sanctuaire et l’armée, suivies de 1 260 années durant lesquelles le papisme foula aux pieds le sanctuaire et l’armée. Cette structure prophétique s’accorde avec les 1 260 jours allant du baptême du Christ à la croix, suivis de 1 260 jours prophétiques jusqu’en l’an 34 apr. J.-C., lorsque l’Évangile fut porté aux Gentils. Ainsi, sur le témoignage de deux témoins, 1 260 fait partie des 2 520 jours, ou des « sept temps » de Moïse dans Lévitique vingt-six.</w:t>
      </w:r>
    </w:p>
    <w:p>
      <w:pPr>
        <w:pStyle w:val="ArticleBody"/>
        <w:jc w:val="left"/>
      </w:pPr>
      <w:r>
        <w:rPr>
          <w:rFonts w:ascii="Ebrima" w:hAnsi="Ebrima" w:eastAsia="Ebrima" w:cs="Ebrima"/>
        </w:rPr>
        <w:t>በሰንበት፣</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18 </w:t>
      </w:r>
      <w:r>
        <w:rPr>
          <w:rFonts w:ascii="Ebrima" w:hAnsi="Ebrima" w:eastAsia="Ebrima" w:cs="Ebrima"/>
        </w:rPr>
        <w:t>ቀን</w:t>
      </w:r>
      <w:r>
        <w:rPr>
          <w:rFonts w:ascii="Times New Roman" w:hAnsi="Times New Roman" w:eastAsia="Times New Roman" w:cs="Times New Roman"/>
        </w:rPr>
        <w:t xml:space="preserve"> 2020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ታኅሣሥ</w:t>
      </w:r>
      <w:r>
        <w:rPr>
          <w:rFonts w:ascii="Times New Roman" w:hAnsi="Times New Roman" w:eastAsia="Times New Roman" w:cs="Times New Roman"/>
        </w:rPr>
        <w:t xml:space="preserve"> 30 </w:t>
      </w:r>
      <w:r>
        <w:rPr>
          <w:rFonts w:ascii="Ebrima" w:hAnsi="Ebrima" w:eastAsia="Ebrima" w:cs="Ebrima"/>
        </w:rPr>
        <w:t>ቀን</w:t>
      </w:r>
      <w:r>
        <w:rPr>
          <w:rFonts w:ascii="Times New Roman" w:hAnsi="Times New Roman" w:eastAsia="Times New Roman" w:cs="Times New Roman"/>
        </w:rPr>
        <w:t xml:space="preserve"> 2023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የቆየው</w:t>
      </w:r>
      <w:r>
        <w:rPr>
          <w:rFonts w:ascii="Times New Roman" w:hAnsi="Times New Roman" w:eastAsia="Times New Roman" w:cs="Times New Roman"/>
        </w:rPr>
        <w:t xml:space="preserve"> </w:t>
      </w:r>
      <w:r>
        <w:rPr>
          <w:rFonts w:ascii="Ebrima" w:hAnsi="Ebrima" w:eastAsia="Ebrima" w:cs="Ebrima"/>
        </w:rPr>
        <w:t>የበረሃው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2023 </w:t>
      </w:r>
      <w:r>
        <w:rPr>
          <w:rFonts w:ascii="Ebrima" w:hAnsi="Ebrima" w:eastAsia="Ebrima" w:cs="Ebrima"/>
        </w:rPr>
        <w:t>ሐምሌ</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መጮኽ</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የበረሃው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በሰንበት፣</w:t>
      </w:r>
      <w:r>
        <w:rPr>
          <w:rFonts w:ascii="Times New Roman" w:hAnsi="Times New Roman" w:eastAsia="Times New Roman" w:cs="Times New Roman"/>
        </w:rPr>
        <w:t xml:space="preserve"> </w:t>
      </w:r>
      <w:r>
        <w:rPr>
          <w:rFonts w:ascii="Ebrima" w:hAnsi="Ebrima" w:eastAsia="Ebrima" w:cs="Ebrima"/>
        </w:rPr>
        <w:t>ታኅሣሥ</w:t>
      </w:r>
      <w:r>
        <w:rPr>
          <w:rFonts w:ascii="Times New Roman" w:hAnsi="Times New Roman" w:eastAsia="Times New Roman" w:cs="Times New Roman"/>
        </w:rPr>
        <w:t xml:space="preserve"> 30 </w:t>
      </w:r>
      <w:r>
        <w:rPr>
          <w:rFonts w:ascii="Ebrima" w:hAnsi="Ebrima" w:eastAsia="Ebrima" w:cs="Ebrima"/>
        </w:rPr>
        <w:t>ቀን</w:t>
      </w:r>
      <w:r>
        <w:rPr>
          <w:rFonts w:ascii="Times New Roman" w:hAnsi="Times New Roman" w:eastAsia="Times New Roman" w:cs="Times New Roman"/>
        </w:rPr>
        <w:t xml:space="preserve"> 2023 </w:t>
      </w:r>
      <w:r>
        <w:rPr>
          <w:rFonts w:ascii="Ebrima" w:hAnsi="Ebrima" w:eastAsia="Ebrima" w:cs="Ebrima"/>
        </w:rPr>
        <w:t>ሲያበቃ</w:t>
      </w:r>
      <w:r>
        <w:rPr>
          <w:rFonts w:ascii="Times New Roman" w:hAnsi="Times New Roman" w:eastAsia="Times New Roman" w:cs="Times New Roman"/>
        </w:rPr>
        <w:t xml:space="preserve"> </w:t>
      </w:r>
      <w:r>
        <w:rPr>
          <w:rFonts w:ascii="Ebrima" w:hAnsi="Ebrima" w:eastAsia="Ebrima" w:cs="Ebrima"/>
        </w:rPr>
        <w:t>የሙሴና</w:t>
      </w:r>
      <w:r>
        <w:rPr>
          <w:rFonts w:ascii="Times New Roman" w:hAnsi="Times New Roman" w:eastAsia="Times New Roman" w:cs="Times New Roman"/>
        </w:rPr>
        <w:t xml:space="preserve"> </w:t>
      </w: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ደረሰ።</w:t>
      </w:r>
      <w:r>
        <w:rPr>
          <w:rFonts w:ascii="Times New Roman" w:hAnsi="Times New Roman" w:eastAsia="Times New Roman" w:cs="Times New Roman"/>
        </w:rPr>
        <w:t xml:space="preserve"> </w:t>
      </w:r>
      <w:r>
        <w:rPr>
          <w:rFonts w:ascii="Ebrima" w:hAnsi="Ebrima" w:eastAsia="Ebrima" w:cs="Ebrima"/>
        </w:rPr>
        <w:t>የድምፁ</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በእያንዳንዱ</w:t>
      </w:r>
      <w:r>
        <w:rPr>
          <w:rFonts w:ascii="Times New Roman" w:hAnsi="Times New Roman" w:eastAsia="Times New Roman" w:cs="Times New Roman"/>
        </w:rPr>
        <w:t xml:space="preserve"> </w:t>
      </w:r>
      <w:r>
        <w:rPr>
          <w:rFonts w:ascii="Ebrima" w:hAnsi="Ebrima" w:eastAsia="Ebrima" w:cs="Ebrima"/>
        </w:rPr>
        <w:t>የተሃድሶ</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መቁረጦች</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የሐምሌ</w:t>
      </w:r>
      <w:r>
        <w:rPr>
          <w:rFonts w:ascii="Times New Roman" w:hAnsi="Times New Roman" w:eastAsia="Times New Roman" w:cs="Times New Roman"/>
        </w:rPr>
        <w:t xml:space="preserve"> 18 </w:t>
      </w:r>
      <w:r>
        <w:rPr>
          <w:rFonts w:ascii="Ebrima" w:hAnsi="Ebrima" w:eastAsia="Ebrima" w:cs="Ebrima"/>
        </w:rPr>
        <w:t>ቀን</w:t>
      </w:r>
      <w:r>
        <w:rPr>
          <w:rFonts w:ascii="Times New Roman" w:hAnsi="Times New Roman" w:eastAsia="Times New Roman" w:cs="Times New Roman"/>
        </w:rPr>
        <w:t xml:space="preserve"> 2020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ትንቢትን</w:t>
      </w:r>
      <w:r>
        <w:rPr>
          <w:rFonts w:ascii="Times New Roman" w:hAnsi="Times New Roman" w:eastAsia="Times New Roman" w:cs="Times New Roman"/>
        </w:rPr>
        <w:t xml:space="preserve"> </w:t>
      </w:r>
      <w:r>
        <w:rPr>
          <w:rFonts w:ascii="Ebrima" w:hAnsi="Ebrima" w:eastAsia="Ebrima" w:cs="Ebrima"/>
        </w:rPr>
        <w:t>በአሥሩ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እንደሚያብራራ</w:t>
      </w:r>
      <w:r>
        <w:rPr>
          <w:rFonts w:ascii="Times New Roman" w:hAnsi="Times New Roman" w:eastAsia="Times New Roman" w:cs="Times New Roman"/>
        </w:rPr>
        <w:t xml:space="preserve"> </w:t>
      </w:r>
      <w:r>
        <w:rPr>
          <w:rFonts w:ascii="Ebrima" w:hAnsi="Ebrima" w:eastAsia="Ebrima" w:cs="Ebrima"/>
        </w:rPr>
        <w:t>ለይቶ</w:t>
      </w:r>
      <w:r>
        <w:rPr>
          <w:rFonts w:ascii="Times New Roman" w:hAnsi="Times New Roman" w:eastAsia="Times New Roman" w:cs="Times New Roman"/>
        </w:rPr>
        <w:t xml:space="preserve"> </w:t>
      </w:r>
      <w:r>
        <w:rPr>
          <w:rFonts w:ascii="Ebrima" w:hAnsi="Ebrima" w:eastAsia="Ebrima" w:cs="Ebrima"/>
        </w:rPr>
        <w:t>አሳየ።</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ወንዶችንና</w:t>
      </w:r>
      <w:r>
        <w:rPr>
          <w:rFonts w:ascii="Times New Roman" w:hAnsi="Times New Roman" w:eastAsia="Times New Roman" w:cs="Times New Roman"/>
        </w:rPr>
        <w:t xml:space="preserve"> </w:t>
      </w:r>
      <w:r>
        <w:rPr>
          <w:rFonts w:ascii="Ebrima" w:hAnsi="Ebrima" w:eastAsia="Ebrima" w:cs="Ebrima"/>
        </w:rPr>
        <w:t>ሴቶችን</w:t>
      </w:r>
      <w:r>
        <w:rPr>
          <w:rFonts w:ascii="Times New Roman" w:hAnsi="Times New Roman" w:eastAsia="Times New Roman" w:cs="Times New Roman"/>
        </w:rPr>
        <w:t xml:space="preserve"> </w:t>
      </w:r>
      <w:r>
        <w:rPr>
          <w:rFonts w:ascii="Ebrima" w:hAnsi="Ebrima" w:eastAsia="Ebrima" w:cs="Ebrima"/>
        </w:rPr>
        <w:t>በዘሌዋውያን</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የተወከለውን</w:t>
      </w:r>
      <w:r>
        <w:rPr>
          <w:rFonts w:ascii="Times New Roman" w:hAnsi="Times New Roman" w:eastAsia="Times New Roman" w:cs="Times New Roman"/>
        </w:rPr>
        <w:t xml:space="preserve"> </w:t>
      </w:r>
      <w:r>
        <w:rPr>
          <w:rFonts w:ascii="Ebrima" w:hAnsi="Ebrima" w:eastAsia="Ebrima" w:cs="Ebrima"/>
        </w:rPr>
        <w:t>ንስሐ</w:t>
      </w:r>
      <w:r>
        <w:rPr>
          <w:rFonts w:ascii="Times New Roman" w:hAnsi="Times New Roman" w:eastAsia="Times New Roman" w:cs="Times New Roman"/>
        </w:rPr>
        <w:t xml:space="preserve"> </w:t>
      </w:r>
      <w:r>
        <w:rPr>
          <w:rFonts w:ascii="Ebrima" w:hAnsi="Ebrima" w:eastAsia="Ebrima" w:cs="Ebrima"/>
        </w:rPr>
        <w:t>እንዲገቡ</w:t>
      </w:r>
      <w:r>
        <w:rPr>
          <w:rFonts w:ascii="Times New Roman" w:hAnsi="Times New Roman" w:eastAsia="Times New Roman" w:cs="Times New Roman"/>
        </w:rPr>
        <w:t xml:space="preserve"> </w:t>
      </w:r>
      <w:r>
        <w:rPr>
          <w:rFonts w:ascii="Ebrima" w:hAnsi="Ebrima" w:eastAsia="Ebrima" w:cs="Ebrima"/>
        </w:rPr>
        <w:t>ጠራ።</w:t>
      </w:r>
      <w:r>
        <w:rPr>
          <w:rFonts w:ascii="Times New Roman" w:hAnsi="Times New Roman" w:eastAsia="Times New Roman" w:cs="Times New Roman"/>
        </w:rPr>
        <w:t xml:space="preserve"> </w:t>
      </w:r>
      <w:r>
        <w:rPr>
          <w:rFonts w:ascii="Ebrima" w:hAnsi="Ebrima" w:eastAsia="Ebrima" w:cs="Ebrima"/>
        </w:rPr>
        <w:t>የሚለር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ይህንኑ</w:t>
      </w:r>
      <w:r>
        <w:rPr>
          <w:rFonts w:ascii="Times New Roman" w:hAnsi="Times New Roman" w:eastAsia="Times New Roman" w:cs="Times New Roman"/>
        </w:rPr>
        <w:t xml:space="preserve"> </w:t>
      </w:r>
      <w:r>
        <w:rPr>
          <w:rFonts w:ascii="Ebrima" w:hAnsi="Ebrima" w:eastAsia="Ebrima" w:cs="Ebrima"/>
        </w:rPr>
        <w:t>ንስሐ</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በማለቱ፣</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ኪሳራዬና</w:t>
      </w:r>
      <w:r>
        <w:rPr>
          <w:rFonts w:ascii="Times New Roman" w:hAnsi="Times New Roman" w:eastAsia="Times New Roman" w:cs="Times New Roman"/>
        </w:rPr>
        <w:t xml:space="preserve"> </w:t>
      </w:r>
      <w:r>
        <w:rPr>
          <w:rFonts w:ascii="Ebrima" w:hAnsi="Ebrima" w:eastAsia="Ebrima" w:cs="Ebrima"/>
        </w:rPr>
        <w:t>ተጠያቂነቴ</w:t>
      </w:r>
      <w:r>
        <w:rPr>
          <w:rFonts w:ascii="Times New Roman" w:hAnsi="Times New Roman" w:eastAsia="Times New Roman" w:cs="Times New Roman"/>
        </w:rPr>
        <w:t xml:space="preserve"> </w:t>
      </w:r>
      <w:r>
        <w:rPr>
          <w:rFonts w:ascii="Ebrima" w:hAnsi="Ebrima" w:eastAsia="Ebrima" w:cs="Ebrima"/>
        </w:rPr>
        <w:t>እያለቀስሁ</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እያዘንሁ</w:t>
      </w:r>
      <w:r>
        <w:rPr>
          <w:rFonts w:ascii="Times New Roman" w:hAnsi="Times New Roman" w:eastAsia="Times New Roman" w:cs="Times New Roman"/>
        </w:rPr>
        <w:t xml:space="preserve"> </w:t>
      </w:r>
      <w:r>
        <w:rPr>
          <w:rFonts w:ascii="Ebrima" w:hAnsi="Ebrima" w:eastAsia="Ebrima" w:cs="Ebrima"/>
        </w:rPr>
        <w:t>ሳለሁ፣</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አስታወስሁ፥</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ረዳት</w:t>
      </w:r>
      <w:r>
        <w:rPr>
          <w:rFonts w:ascii="Times New Roman" w:hAnsi="Times New Roman" w:eastAsia="Times New Roman" w:cs="Times New Roman"/>
        </w:rPr>
        <w:t xml:space="preserve"> </w:t>
      </w:r>
      <w:r>
        <w:rPr>
          <w:rFonts w:ascii="Ebrima" w:hAnsi="Ebrima" w:eastAsia="Ebrima" w:cs="Ebrima"/>
        </w:rPr>
        <w:t>እንዲልክልኝ</w:t>
      </w:r>
      <w:r>
        <w:rPr>
          <w:rFonts w:ascii="Times New Roman" w:hAnsi="Times New Roman" w:eastAsia="Times New Roman" w:cs="Times New Roman"/>
        </w:rPr>
        <w:t xml:space="preserve"> </w:t>
      </w:r>
      <w:r>
        <w:rPr>
          <w:rFonts w:ascii="Ebrima" w:hAnsi="Ebrima" w:eastAsia="Ebrima" w:cs="Ebrima"/>
        </w:rPr>
        <w:t>ከልቤ</w:t>
      </w:r>
      <w:r>
        <w:rPr>
          <w:rFonts w:ascii="Times New Roman" w:hAnsi="Times New Roman" w:eastAsia="Times New Roman" w:cs="Times New Roman"/>
        </w:rPr>
        <w:t xml:space="preserve"> </w:t>
      </w:r>
      <w:r>
        <w:rPr>
          <w:rFonts w:ascii="Ebrima" w:hAnsi="Ebrima" w:eastAsia="Ebrima" w:cs="Ebrima"/>
        </w:rPr>
        <w:t>ጸለይሁ።</w:t>
      </w:r>
      <w:r>
        <w:rPr>
          <w:rFonts w:ascii="Times New Roman" w:hAnsi="Times New Roman" w:eastAsia="Times New Roman" w:cs="Times New Roman"/>
        </w:rPr>
        <w:t>”</w:t>
      </w:r>
    </w:p>
    <w:p>
      <w:pPr>
        <w:pStyle w:val="ArticleHeading"/>
        <w:jc w:val="left"/>
      </w:pPr>
      <w:r>
        <w:rPr>
          <w:rFonts w:ascii="Arial" w:hAnsi="Arial" w:eastAsia="Arial" w:cs="Arial"/>
        </w:rPr>
        <w:t>Bia mahwɛ</w:t>
      </w:r>
    </w:p>
    <w:p>
      <w:pPr>
        <w:pStyle w:val="ArticleBody"/>
        <w:jc w:val="left"/>
      </w:pPr>
      <w:r>
        <w:rPr>
          <w:rFonts w:ascii="Times New Roman" w:hAnsi="Times New Roman" w:eastAsia="Times New Roman" w:cs="Times New Roman"/>
        </w:rPr>
        <w:t>Le rêve de Miller est divisé par deux expressions de « viens et vois ». La première fois, c’est Miller qui invite les gens à « venir et voir », et la seconde, c’est « l’homme à la brosse » qui invite Miller à venir et voir. « Viens et vois » est un symbole prophétique qui désigne une vérité prophétique descellée. Les quatre premiers sceaux contiennent chacun l’ordre : « Viens et vois ».</w:t>
      </w:r>
    </w:p>
    <w:p>
      <w:pPr>
        <w:pStyle w:val="ArticleScripture"/>
        <w:jc w:val="left"/>
      </w:pPr>
      <w:r>
        <w:rPr>
          <w:rFonts w:ascii="Times New Roman" w:hAnsi="Times New Roman" w:eastAsia="Times New Roman" w:cs="Times New Roman"/>
        </w:rPr>
        <w:t>Et je vis, lorsque l’Agneau ouvrit l’un des sceaux, et j’entendis comme un bruit de tonnerre l’un des quatre êtres vivants disant : Viens et vois. … Et lorsqu’il eut ouvert le deuxième sceau, j’entendis le deuxième être vivant dire : Viens et vois. … Et lorsqu’il eut ouvert le troisième sceau, j’entendis le troisième être vivant dire : Viens et vois. … Et lorsqu’il eut ouvert le quatrième sceau, j’entendis la voix du quatrième être vivant dire : Viens et vois. Apocalypse 6:1, 3, 5, 7.</w:t>
      </w:r>
    </w:p>
    <w:p>
      <w:pPr>
        <w:pStyle w:val="ArticleBody"/>
        <w:jc w:val="left"/>
      </w:pPr>
      <w:r>
        <w:rPr>
          <w:rFonts w:ascii="Nirmala UI" w:hAnsi="Nirmala UI" w:eastAsia="Nirmala UI" w:cs="Nirmala UI"/>
        </w:rPr>
        <w:t>ରାନ୍ଦରଙ୍କ</w:t>
      </w:r>
      <w:r>
        <w:rPr>
          <w:rFonts w:ascii="Times New Roman" w:hAnsi="Times New Roman" w:eastAsia="Times New Roman" w:cs="Times New Roman"/>
        </w:rPr>
        <w:t xml:space="preserve"> </w:t>
      </w:r>
      <w:r>
        <w:rPr>
          <w:rFonts w:ascii="Nirmala UI" w:hAnsi="Nirmala UI" w:eastAsia="Nirmala UI" w:cs="Nirmala UI"/>
        </w:rPr>
        <w:t>ସ୍ୱପ୍ନର</w:t>
      </w:r>
      <w:r>
        <w:rPr>
          <w:rFonts w:ascii="Times New Roman" w:hAnsi="Times New Roman" w:eastAsia="Times New Roman" w:cs="Times New Roman"/>
        </w:rPr>
        <w:t xml:space="preserve"> </w:t>
      </w:r>
      <w:r>
        <w:rPr>
          <w:rFonts w:ascii="Nirmala UI" w:hAnsi="Nirmala UI" w:eastAsia="Nirmala UI" w:cs="Nirmala UI"/>
        </w:rPr>
        <w:t>ଆରମ୍ଭରେ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ଆଲଫା</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ଓମେଗା।</w:t>
      </w:r>
      <w:r>
        <w:rPr>
          <w:rFonts w:ascii="Times New Roman" w:hAnsi="Times New Roman" w:eastAsia="Times New Roman" w:cs="Times New Roman"/>
        </w:rPr>
        <w:t xml:space="preserve"> </w:t>
      </w:r>
      <w:r>
        <w:rPr>
          <w:rFonts w:ascii="Nirmala UI" w:hAnsi="Nirmala UI" w:eastAsia="Nirmala UI" w:cs="Nirmala UI"/>
        </w:rPr>
        <w:t>ସ୍ୱପ୍ନଟି</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ସ୍ୱପ୍ନର</w:t>
      </w:r>
      <w:r>
        <w:rPr>
          <w:rFonts w:ascii="Times New Roman" w:hAnsi="Times New Roman" w:eastAsia="Times New Roman" w:cs="Times New Roman"/>
        </w:rPr>
        <w:t xml:space="preserve"> </w:t>
      </w:r>
      <w:r>
        <w:rPr>
          <w:rFonts w:ascii="Nirmala UI" w:hAnsi="Nirmala UI" w:eastAsia="Nirmala UI" w:cs="Nirmala UI"/>
        </w:rPr>
        <w:t>ଆରମ୍ଭରେ</w:t>
      </w:r>
      <w:r>
        <w:rPr>
          <w:rFonts w:ascii="Times New Roman" w:hAnsi="Times New Roman" w:eastAsia="Times New Roman" w:cs="Times New Roman"/>
        </w:rPr>
        <w:t xml:space="preserve"> </w:t>
      </w:r>
      <w:r>
        <w:rPr>
          <w:rFonts w:ascii="Nirmala UI" w:hAnsi="Nirmala UI" w:eastAsia="Nirmala UI" w:cs="Nirmala UI"/>
        </w:rPr>
        <w:t>ଯେଉଁ</w:t>
      </w:r>
      <w:r>
        <w:rPr>
          <w:rFonts w:ascii="Times New Roman" w:hAnsi="Times New Roman" w:eastAsia="Times New Roman" w:cs="Times New Roman"/>
        </w:rPr>
        <w:t xml:space="preserve"> </w:t>
      </w:r>
      <w:r>
        <w:rPr>
          <w:rFonts w:ascii="Nirmala UI" w:hAnsi="Nirmala UI" w:eastAsia="Nirmala UI" w:cs="Nirmala UI"/>
        </w:rPr>
        <w:t>ଅନାବୃତି</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ରତ୍ନମାଣିକ୍ୟର</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ପାଏ</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ସଜାଯାଇଥିବା</w:t>
      </w:r>
      <w:r>
        <w:rPr>
          <w:rFonts w:ascii="Times New Roman" w:hAnsi="Times New Roman" w:eastAsia="Times New Roman" w:cs="Times New Roman"/>
        </w:rPr>
        <w:t xml:space="preserve"> </w:t>
      </w:r>
      <w:r>
        <w:rPr>
          <w:rFonts w:ascii="Nirmala UI" w:hAnsi="Nirmala UI" w:eastAsia="Nirmala UI" w:cs="Nirmala UI"/>
        </w:rPr>
        <w:t>ବେଳେ</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ମହିମା</w:t>
      </w:r>
      <w:r>
        <w:rPr>
          <w:rFonts w:ascii="Times New Roman" w:hAnsi="Times New Roman" w:eastAsia="Times New Roman" w:cs="Times New Roman"/>
        </w:rPr>
        <w:t xml:space="preserve"> </w:t>
      </w:r>
      <w:r>
        <w:rPr>
          <w:rFonts w:ascii="Nirmala UI" w:hAnsi="Nirmala UI" w:eastAsia="Nirmala UI" w:cs="Nirmala UI"/>
        </w:rPr>
        <w:t>ପ୍ରତିଫଳିତ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ସୂର୍ଯ୍ୟ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ସମତୁଳ୍ୟ</w:t>
      </w:r>
      <w:r>
        <w:rPr>
          <w:rFonts w:ascii="Times New Roman" w:hAnsi="Times New Roman" w:eastAsia="Times New Roman" w:cs="Times New Roman"/>
        </w:rPr>
        <w:t xml:space="preserve"> </w:t>
      </w:r>
      <w:r>
        <w:rPr>
          <w:rFonts w:ascii="Nirmala UI" w:hAnsi="Nirmala UI" w:eastAsia="Nirmala UI" w:cs="Nirmala UI"/>
        </w:rPr>
        <w:t>କରାଯାଇପାରେ।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ରାନ୍ଦରଙ୍କୁ</w:t>
      </w:r>
      <w:r>
        <w:rPr>
          <w:rFonts w:ascii="Times New Roman" w:hAnsi="Times New Roman" w:eastAsia="Times New Roman" w:cs="Times New Roman"/>
        </w:rPr>
        <w:t xml:space="preserve"> </w:t>
      </w:r>
      <w:r>
        <w:rPr>
          <w:rFonts w:ascii="Nirmala UI" w:hAnsi="Nirmala UI" w:eastAsia="Nirmala UI" w:cs="Nirmala UI"/>
        </w:rPr>
        <w:t>ଓମେଗାକୁ</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ଆମନ୍ତ୍ରଣ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ରାନ୍ଦର</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ଦୃଶ୍ୟ</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ଚକ୍ଷୁ</w:t>
      </w:r>
      <w:r>
        <w:rPr>
          <w:rFonts w:ascii="Times New Roman" w:hAnsi="Times New Roman" w:eastAsia="Times New Roman" w:cs="Times New Roman"/>
        </w:rPr>
        <w:t xml:space="preserve"> </w:t>
      </w:r>
      <w:r>
        <w:rPr>
          <w:rFonts w:ascii="Nirmala UI" w:hAnsi="Nirmala UI" w:eastAsia="Nirmala UI" w:cs="Nirmala UI"/>
        </w:rPr>
        <w:t>ଚମକିଉଠିଲା।</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ପୂର୍ବତନ</w:t>
      </w:r>
      <w:r>
        <w:rPr>
          <w:rFonts w:ascii="Times New Roman" w:hAnsi="Times New Roman" w:eastAsia="Times New Roman" w:cs="Times New Roman"/>
        </w:rPr>
        <w:t xml:space="preserve"> </w:t>
      </w:r>
      <w:r>
        <w:rPr>
          <w:rFonts w:ascii="Nirmala UI" w:hAnsi="Nirmala UI" w:eastAsia="Nirmala UI" w:cs="Nirmala UI"/>
        </w:rPr>
        <w:t>ମହିମାଠାରୁ</w:t>
      </w:r>
      <w:r>
        <w:rPr>
          <w:rFonts w:ascii="Times New Roman" w:hAnsi="Times New Roman" w:eastAsia="Times New Roman" w:cs="Times New Roman"/>
        </w:rPr>
        <w:t xml:space="preserve"> </w:t>
      </w:r>
      <w:r>
        <w:rPr>
          <w:rFonts w:ascii="Nirmala UI" w:hAnsi="Nirmala UI" w:eastAsia="Nirmala UI" w:cs="Nirmala UI"/>
        </w:rPr>
        <w:t>ଦଶଗୁଣ</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ଉଜ୍ଜ୍ୱଳ</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ଆଲଫାର</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ସୂର୍ଯ୍ୟ</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ଓମେଗାର</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ସୂର୍ଯ୍ୟରୁ</w:t>
      </w:r>
      <w:r>
        <w:rPr>
          <w:rFonts w:ascii="Times New Roman" w:hAnsi="Times New Roman" w:eastAsia="Times New Roman" w:cs="Times New Roman"/>
        </w:rPr>
        <w:t xml:space="preserve"> </w:t>
      </w:r>
      <w:r>
        <w:rPr>
          <w:rFonts w:ascii="Nirmala UI" w:hAnsi="Nirmala UI" w:eastAsia="Nirmala UI" w:cs="Nirmala UI"/>
        </w:rPr>
        <w:t>ଦଶଗୁଣ</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ଥିଲା।</w:t>
      </w:r>
    </w:p>
    <w:p>
      <w:pPr>
        <w:pStyle w:val="ArticleHeading"/>
        <w:jc w:val="left"/>
      </w:pPr>
      <w:r>
        <w:rPr>
          <w:rFonts w:ascii="Arial" w:hAnsi="Arial" w:eastAsia="Arial" w:cs="Arial"/>
        </w:rPr>
        <w:t>Éparpiller</w:t>
      </w:r>
    </w:p>
    <w:p>
      <w:pPr>
        <w:pStyle w:val="ArticleBody"/>
        <w:jc w:val="left"/>
      </w:pPr>
      <w:r>
        <w:rPr>
          <w:rFonts w:ascii="Times New Roman" w:hAnsi="Times New Roman" w:eastAsia="Times New Roman" w:cs="Times New Roman"/>
        </w:rPr>
        <w:t>Lamentasyon ak repantans Miller yo reprezante nan fen peryòd ki te kòmanse avèk premye “vin wè”, epi avèk dènye “vin wè” a. Nan peryòd ki kòmanse lè Miller louvri yon mesaj pou pèp la epi ki fini lè Kris la louvri yon mesaj pou Miller, mo “gaye” a reprezante “sèt fwa.” Miller pral sèvi ak mo sa a ankò, men ant premye ak dènye ouvèti a, “gaye” eksprime “sèt fwa.” Bib la idantifye jijman “sèt fwa” yo avèk mo “gaye” a.</w:t>
      </w:r>
    </w:p>
    <w:p>
      <w:pPr>
        <w:pStyle w:val="ArticleScripture"/>
        <w:jc w:val="left"/>
      </w:pPr>
      <w:r>
        <w:rPr>
          <w:rFonts w:ascii="Times New Roman" w:hAnsi="Times New Roman" w:eastAsia="Times New Roman" w:cs="Times New Roman"/>
        </w:rPr>
        <w:t>Et je vous disperserai parmi les nations, et je tirerai l’épée après vous; et votre pays sera dévasté, et vos villes seront en ruines. Lévitique 26:33.</w:t>
      </w:r>
    </w:p>
    <w:p>
      <w:pPr>
        <w:pStyle w:val="ArticleBody"/>
        <w:jc w:val="left"/>
      </w:pPr>
      <w:r>
        <w:rPr>
          <w:rFonts w:ascii="Times New Roman" w:hAnsi="Times New Roman" w:eastAsia="Times New Roman" w:cs="Times New Roman"/>
        </w:rPr>
        <w:t>Lɛ kɔɔrɔɔl la, tɛmu tɛm tɔɔrɔɔrɔ Miller yé sɔrɔ ye Leviticus saraa-mɛna fila ni kelen (chapitre 26) la “wakti wolonwula” ye; ani a sɔgɔma-jirin na, sanfɛlɛ ka bɛɛ Miller ka kuma bɔ ka kɛrɛnkɛrɛn, ani sanfɛlɛ ka bɛɛ Krista ka kuma fana bɔ ka kɛrɛnkɛrɛn, sisan ka sira dɔw bɛɛ minnu bɛ taamala William Miller ka baara la, olu bɛna datugunin ani wari-jɛgɛntigɛ-falenw la, minnu bɔ theologianw ye Laodicea Seventh-day Adventism kɔnɔ. O banbali ye, min kɛra kɔfɛ sira dɔw la, bɛ jira i n’a fɔ a ye “sankalan wolonwula” ye, minnu bɛ kɛ taariiki la alpha ni omega cɛmancɛ. “Wakti wolonwula” ye William Miller ka baara dɔgɔkun dɔ ye; o fana ye Seventh-day Adventism ka dɔw-labanw ye, minnu kɔnɔ Daniel 8:14 ka tile 2,300 ye o laban bɛɛ ka sɔrɔ-sen-kun ye. Min o bɛ dɔrɔn jira ye ko, san 2,520 ka sankalan min tun ye William Miller ka sɔrɔli fɔlɔ, walima alpha sɔrɔli, o ye waati dɔ daminɛ ye, min laban na William Miller ka sɔrɔli omega la, o min tun ye tile 2,300 ye.</w:t>
      </w:r>
    </w:p>
    <w:p>
      <w:pPr>
        <w:pStyle w:val="ArticleBody"/>
        <w:jc w:val="left"/>
      </w:pPr>
      <w:r>
        <w:rPr>
          <w:rFonts w:ascii="Times New Roman" w:hAnsi="Times New Roman" w:eastAsia="Times New Roman" w:cs="Times New Roman"/>
        </w:rPr>
        <w:t>Når det laodikeiske syvendedagsadventismen la til side «de sju tider» i 1863, la de til side William Millers første oppdagelse, som var hans alfa-oppdagelse og hans grunnleggende oppdagelse. Den siste av Millers oppdagelser var de 2 300 dager, som var hans omega-oppdagelse og hans kronende oppdagelse. «De sju tider», som endte i 1798, markerte de 2 520, og de 2 300 dager ble markert i 1844.</w:t>
      </w:r>
    </w:p>
    <w:p>
      <w:pPr>
        <w:pStyle w:val="ArticleBody"/>
        <w:jc w:val="left"/>
      </w:pPr>
      <w:r>
        <w:rPr>
          <w:rFonts w:ascii="Times New Roman" w:hAnsi="Times New Roman" w:eastAsia="Times New Roman" w:cs="Times New Roman"/>
        </w:rPr>
        <w:t>Ni mtu wa mswaki wa vumbi anayekusanya vito baada ya kutawanywa kwa mara saba. Ndipo kisanduku huwa kikubwa zaidi na kizuri zaidi, nacho hung’aa mara kumi zaidi kuliko jua. Kumi ni ishara ya jaribu, na kwa hiyo vito hivyo hung’aa katika jaribu juu ya siku ya jua; hivyo ndoto ya Miller huanza mwaka 1798 na kumalizika katika kilio kikuu cha malaika wa tatu wakati wa sheria ya Jumapili.</w:t>
      </w:r>
    </w:p>
    <w:p>
      <w:pPr>
        <w:pStyle w:val="ArticleBody"/>
        <w:jc w:val="left"/>
      </w:pPr>
      <w:r>
        <w:rPr>
          <w:rFonts w:ascii="Times New Roman" w:hAnsi="Times New Roman" w:eastAsia="Times New Roman" w:cs="Times New Roman"/>
        </w:rPr>
        <w:t>L’histoire des millérites de 1798 à 1863 est aussi l’histoire de 1798 jusqu’à la loi dominicale imminente. L’histoire représentée dans le songe de William Miller, qui s’étend depuis le moment où Miller dit « viens et vois » jusqu’à celui où l’homme à la brosse de terre dit « viens et vois », est à la fois la période de 1798 à 1863, et aussi la période de 1798 jusqu’à la loi dominicale. La ligne qui s’achève en 1863 est une fractale prophétique de la ligne qui commence en 1798 et s’achève à la loi dominicale. Ces deux lignes sont représentées dans le songe de Miller.</w:t>
      </w:r>
    </w:p>
    <w:p>
      <w:pPr>
        <w:pStyle w:val="ArticleBody"/>
        <w:jc w:val="left"/>
      </w:pPr>
      <w:r>
        <w:rPr>
          <w:rFonts w:ascii="Times New Roman" w:hAnsi="Times New Roman" w:eastAsia="Times New Roman" w:cs="Times New Roman"/>
        </w:rPr>
        <w:t>Lehëëra e mbyllur më 22 tetor 1844 paraqet në mënyrë tipologjike lehërën e mbyllur në kohën e ligjit të së dielës. Profecia prej 2.300 vjetësh, e cila u përmbush në vitin 1844, paraqet në mënyrë tipologjike ligjin e së dielës.</w:t>
      </w:r>
    </w:p>
    <w:p>
      <w:pPr>
        <w:pStyle w:val="ArticleScripture"/>
        <w:jc w:val="left"/>
      </w:pPr>
      <w:r>
        <w:rPr>
          <w:rFonts w:ascii="Times New Roman" w:hAnsi="Times New Roman" w:eastAsia="Times New Roman" w:cs="Times New Roman"/>
        </w:rPr>
        <w:t>„</w:t>
      </w:r>
      <w:r>
        <w:rPr>
          <w:rFonts w:ascii="Sylfaen" w:hAnsi="Sylfaen" w:eastAsia="Sylfaen" w:cs="Sylfaen"/>
        </w:rPr>
        <w:t>ჰრისტეს</w:t>
      </w:r>
      <w:r>
        <w:rPr>
          <w:rFonts w:ascii="Times New Roman" w:hAnsi="Times New Roman" w:eastAsia="Times New Roman" w:cs="Times New Roman"/>
        </w:rPr>
        <w:t xml:space="preserve"> </w:t>
      </w:r>
      <w:r>
        <w:rPr>
          <w:rFonts w:ascii="Sylfaen" w:hAnsi="Sylfaen" w:eastAsia="Sylfaen" w:cs="Sylfaen"/>
        </w:rPr>
        <w:t>მოსვლა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ჩვენი</w:t>
      </w:r>
      <w:r>
        <w:rPr>
          <w:rFonts w:ascii="Times New Roman" w:hAnsi="Times New Roman" w:eastAsia="Times New Roman" w:cs="Times New Roman"/>
        </w:rPr>
        <w:t xml:space="preserve"> </w:t>
      </w:r>
      <w:r>
        <w:rPr>
          <w:rFonts w:ascii="Sylfaen" w:hAnsi="Sylfaen" w:eastAsia="Sylfaen" w:cs="Sylfaen"/>
        </w:rPr>
        <w:t>მღვდელმთავრისა</w:t>
      </w:r>
      <w:r>
        <w:rPr>
          <w:rFonts w:ascii="Times New Roman" w:hAnsi="Times New Roman" w:eastAsia="Times New Roman" w:cs="Times New Roman"/>
        </w:rPr>
        <w:t xml:space="preserve">, </w:t>
      </w:r>
      <w:r>
        <w:rPr>
          <w:rFonts w:ascii="Sylfaen" w:hAnsi="Sylfaen" w:eastAsia="Sylfaen" w:cs="Sylfaen"/>
        </w:rPr>
        <w:t>უწმიდესში</w:t>
      </w:r>
      <w:r>
        <w:rPr>
          <w:rFonts w:ascii="Times New Roman" w:hAnsi="Times New Roman" w:eastAsia="Times New Roman" w:cs="Times New Roman"/>
        </w:rPr>
        <w:t xml:space="preserve">, </w:t>
      </w:r>
      <w:r>
        <w:rPr>
          <w:rFonts w:ascii="Sylfaen" w:hAnsi="Sylfaen" w:eastAsia="Sylfaen" w:cs="Sylfaen"/>
        </w:rPr>
        <w:t>საწმიდარის</w:t>
      </w:r>
      <w:r>
        <w:rPr>
          <w:rFonts w:ascii="Times New Roman" w:hAnsi="Times New Roman" w:eastAsia="Times New Roman" w:cs="Times New Roman"/>
        </w:rPr>
        <w:t xml:space="preserve"> </w:t>
      </w:r>
      <w:r>
        <w:rPr>
          <w:rFonts w:ascii="Sylfaen" w:hAnsi="Sylfaen" w:eastAsia="Sylfaen" w:cs="Sylfaen"/>
        </w:rPr>
        <w:t>განწმენდისათვის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დანიელ</w:t>
      </w:r>
      <w:r>
        <w:rPr>
          <w:rFonts w:ascii="Times New Roman" w:hAnsi="Times New Roman" w:eastAsia="Times New Roman" w:cs="Times New Roman"/>
        </w:rPr>
        <w:t xml:space="preserve"> 8:14-</w:t>
      </w:r>
      <w:r>
        <w:rPr>
          <w:rFonts w:ascii="Sylfaen" w:hAnsi="Sylfaen" w:eastAsia="Sylfaen" w:cs="Sylfaen"/>
        </w:rPr>
        <w:t>შია</w:t>
      </w:r>
      <w:r>
        <w:rPr>
          <w:rFonts w:ascii="Times New Roman" w:hAnsi="Times New Roman" w:eastAsia="Times New Roman" w:cs="Times New Roman"/>
        </w:rPr>
        <w:t xml:space="preserve"> </w:t>
      </w:r>
      <w:r>
        <w:rPr>
          <w:rFonts w:ascii="Sylfaen" w:hAnsi="Sylfaen" w:eastAsia="Sylfaen" w:cs="Sylfaen"/>
        </w:rPr>
        <w:t>წარმოჩენილი</w:t>
      </w:r>
      <w:r>
        <w:rPr>
          <w:rFonts w:ascii="Times New Roman" w:hAnsi="Times New Roman" w:eastAsia="Times New Roman" w:cs="Times New Roman"/>
        </w:rPr>
        <w:t xml:space="preserve">; </w:t>
      </w:r>
      <w:r>
        <w:rPr>
          <w:rFonts w:ascii="Sylfaen" w:hAnsi="Sylfaen" w:eastAsia="Sylfaen" w:cs="Sylfaen"/>
        </w:rPr>
        <w:t>კაცის</w:t>
      </w:r>
      <w:r>
        <w:rPr>
          <w:rFonts w:ascii="Times New Roman" w:hAnsi="Times New Roman" w:eastAsia="Times New Roman" w:cs="Times New Roman"/>
        </w:rPr>
        <w:t xml:space="preserve"> </w:t>
      </w:r>
      <w:r>
        <w:rPr>
          <w:rFonts w:ascii="Sylfaen" w:hAnsi="Sylfaen" w:eastAsia="Sylfaen" w:cs="Sylfaen"/>
        </w:rPr>
        <w:t>ძის</w:t>
      </w:r>
      <w:r>
        <w:rPr>
          <w:rFonts w:ascii="Times New Roman" w:hAnsi="Times New Roman" w:eastAsia="Times New Roman" w:cs="Times New Roman"/>
        </w:rPr>
        <w:t xml:space="preserve"> </w:t>
      </w:r>
      <w:r>
        <w:rPr>
          <w:rFonts w:ascii="Sylfaen" w:hAnsi="Sylfaen" w:eastAsia="Sylfaen" w:cs="Sylfaen"/>
        </w:rPr>
        <w:t>მისვლა</w:t>
      </w:r>
      <w:r>
        <w:rPr>
          <w:rFonts w:ascii="Times New Roman" w:hAnsi="Times New Roman" w:eastAsia="Times New Roman" w:cs="Times New Roman"/>
        </w:rPr>
        <w:t xml:space="preserve"> </w:t>
      </w:r>
      <w:r>
        <w:rPr>
          <w:rFonts w:ascii="Sylfaen" w:hAnsi="Sylfaen" w:eastAsia="Sylfaen" w:cs="Sylfaen"/>
        </w:rPr>
        <w:t>ძველთაძველთან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დანიელ</w:t>
      </w:r>
      <w:r>
        <w:rPr>
          <w:rFonts w:ascii="Times New Roman" w:hAnsi="Times New Roman" w:eastAsia="Times New Roman" w:cs="Times New Roman"/>
        </w:rPr>
        <w:t xml:space="preserve"> 7:13-</w:t>
      </w:r>
      <w:r>
        <w:rPr>
          <w:rFonts w:ascii="Sylfaen" w:hAnsi="Sylfaen" w:eastAsia="Sylfaen" w:cs="Sylfaen"/>
        </w:rPr>
        <w:t>შია</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მისვლა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ტაძარში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მალაქიას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წინასწარმეტყველებული</w:t>
      </w:r>
      <w:r>
        <w:rPr>
          <w:rFonts w:ascii="Times New Roman" w:hAnsi="Times New Roman" w:eastAsia="Times New Roman" w:cs="Times New Roman"/>
        </w:rPr>
        <w:t xml:space="preserve">, — </w:t>
      </w:r>
      <w:r>
        <w:rPr>
          <w:rFonts w:ascii="Sylfaen" w:hAnsi="Sylfaen" w:eastAsia="Sylfaen" w:cs="Sylfaen"/>
        </w:rPr>
        <w:t>ერთსა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მოვლენას</w:t>
      </w:r>
      <w:r>
        <w:rPr>
          <w:rFonts w:ascii="Times New Roman" w:hAnsi="Times New Roman" w:eastAsia="Times New Roman" w:cs="Times New Roman"/>
        </w:rPr>
        <w:t xml:space="preserve"> </w:t>
      </w:r>
      <w:r>
        <w:rPr>
          <w:rFonts w:ascii="Sylfaen" w:hAnsi="Sylfaen" w:eastAsia="Sylfaen" w:cs="Sylfaen"/>
        </w:rPr>
        <w:t>აღწერს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სიძის</w:t>
      </w:r>
      <w:r>
        <w:rPr>
          <w:rFonts w:ascii="Times New Roman" w:hAnsi="Times New Roman" w:eastAsia="Times New Roman" w:cs="Times New Roman"/>
        </w:rPr>
        <w:t xml:space="preserve"> </w:t>
      </w:r>
      <w:r>
        <w:rPr>
          <w:rFonts w:ascii="Sylfaen" w:hAnsi="Sylfaen" w:eastAsia="Sylfaen" w:cs="Sylfaen"/>
        </w:rPr>
        <w:t>ქორწილში</w:t>
      </w:r>
      <w:r>
        <w:rPr>
          <w:rFonts w:ascii="Times New Roman" w:hAnsi="Times New Roman" w:eastAsia="Times New Roman" w:cs="Times New Roman"/>
        </w:rPr>
        <w:t xml:space="preserve"> </w:t>
      </w:r>
      <w:r>
        <w:rPr>
          <w:rFonts w:ascii="Sylfaen" w:hAnsi="Sylfaen" w:eastAsia="Sylfaen" w:cs="Sylfaen"/>
        </w:rPr>
        <w:t>მისვლით</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ქრისტემ</w:t>
      </w:r>
      <w:r>
        <w:rPr>
          <w:rFonts w:ascii="Times New Roman" w:hAnsi="Times New Roman" w:eastAsia="Times New Roman" w:cs="Times New Roman"/>
        </w:rPr>
        <w:t xml:space="preserve"> </w:t>
      </w:r>
      <w:r>
        <w:rPr>
          <w:rFonts w:ascii="Sylfaen" w:hAnsi="Sylfaen" w:eastAsia="Sylfaen" w:cs="Sylfaen"/>
        </w:rPr>
        <w:t>აღწერა</w:t>
      </w:r>
      <w:r>
        <w:rPr>
          <w:rFonts w:ascii="Times New Roman" w:hAnsi="Times New Roman" w:eastAsia="Times New Roman" w:cs="Times New Roman"/>
        </w:rPr>
        <w:t xml:space="preserve"> </w:t>
      </w:r>
      <w:r>
        <w:rPr>
          <w:rFonts w:ascii="Sylfaen" w:hAnsi="Sylfaen" w:eastAsia="Sylfaen" w:cs="Sylfaen"/>
        </w:rPr>
        <w:t>მათეს</w:t>
      </w:r>
      <w:r>
        <w:rPr>
          <w:rFonts w:ascii="Times New Roman" w:hAnsi="Times New Roman" w:eastAsia="Times New Roman" w:cs="Times New Roman"/>
        </w:rPr>
        <w:t xml:space="preserve"> 25-</w:t>
      </w:r>
      <w:r>
        <w:rPr>
          <w:rFonts w:ascii="Sylfaen" w:hAnsi="Sylfaen" w:eastAsia="Sylfaen" w:cs="Sylfaen"/>
        </w:rPr>
        <w:t>ში</w:t>
      </w:r>
      <w:r>
        <w:rPr>
          <w:rFonts w:ascii="Times New Roman" w:hAnsi="Times New Roman" w:eastAsia="Times New Roman" w:cs="Times New Roman"/>
        </w:rPr>
        <w:t xml:space="preserve">, </w:t>
      </w:r>
      <w:r>
        <w:rPr>
          <w:rFonts w:ascii="Sylfaen" w:hAnsi="Sylfaen" w:eastAsia="Sylfaen" w:cs="Sylfaen"/>
        </w:rPr>
        <w:t>ათი</w:t>
      </w:r>
      <w:r>
        <w:rPr>
          <w:rFonts w:ascii="Times New Roman" w:hAnsi="Times New Roman" w:eastAsia="Times New Roman" w:cs="Times New Roman"/>
        </w:rPr>
        <w:t xml:space="preserve"> </w:t>
      </w:r>
      <w:r>
        <w:rPr>
          <w:rFonts w:ascii="Sylfaen" w:hAnsi="Sylfaen" w:eastAsia="Sylfaen" w:cs="Sylfaen"/>
        </w:rPr>
        <w:t>ქალწულის</w:t>
      </w:r>
      <w:r>
        <w:rPr>
          <w:rFonts w:ascii="Times New Roman" w:hAnsi="Times New Roman" w:eastAsia="Times New Roman" w:cs="Times New Roman"/>
        </w:rPr>
        <w:t xml:space="preserve"> </w:t>
      </w:r>
      <w:r>
        <w:rPr>
          <w:rFonts w:ascii="Sylfaen" w:hAnsi="Sylfaen" w:eastAsia="Sylfaen" w:cs="Sylfaen"/>
        </w:rPr>
        <w:t>იგავში</w:t>
      </w:r>
      <w:r>
        <w:rPr>
          <w:rFonts w:ascii="Times New Roman" w:hAnsi="Times New Roman" w:eastAsia="Times New Roman" w:cs="Times New Roman"/>
        </w:rPr>
        <w:t>.“ The Great Controversy, 426.</w:t>
      </w:r>
    </w:p>
    <w:p>
      <w:pPr>
        <w:pStyle w:val="ArticleHeading"/>
        <w:jc w:val="left"/>
      </w:pPr>
      <w:r>
        <w:rPr>
          <w:rFonts w:ascii="Arial" w:hAnsi="Arial" w:eastAsia="Arial" w:cs="Arial"/>
        </w:rPr>
        <w:t>Lignes</w:t>
      </w:r>
    </w:p>
    <w:p>
      <w:pPr>
        <w:pStyle w:val="ArticleBody"/>
        <w:jc w:val="left"/>
      </w:pP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ऑफ़</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डिस्कवरीज़</w:t>
      </w:r>
      <w:r>
        <w:rPr>
          <w:rFonts w:ascii="Times New Roman" w:hAnsi="Times New Roman" w:eastAsia="Times New Roman" w:cs="Times New Roman"/>
        </w:rPr>
        <w:t xml:space="preserve"> 2,300-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1844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2,300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2,520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2,300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2,520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मिलराइट्स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1863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फ्रैक्टल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शीर्ष</w:t>
      </w:r>
      <w:r>
        <w:rPr>
          <w:rFonts w:ascii="Times New Roman" w:hAnsi="Times New Roman" w:eastAsia="Times New Roman" w:cs="Times New Roman"/>
        </w:rPr>
        <w:t>-</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फ्रैक्टल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At 9/11, God a appelé Son peuple à revenir aux anciens sentiers de Jérémie, lesquels sont les fondements, eux-mêmes représentés par le messager de l’histoire fondatrice, lequel est à son tour représenté par sa découverte alpha fondatrice des « sept temps ». Les « sept temps » sont le symbole des fondements des cent quarante-quatre mille, et à 9/11 le scellement de ce groupe a commencé avec le message éprouvant des fondements, représenté par la toute première vérité fondamentale de William Miller et de l’adventisme. À 9/11, le temps du scellement a commencé, et lors de la loi dominicale qui vient bientôt, le temps du scellement des cent quarante-quatre mille s’achève.</w:t>
      </w:r>
    </w:p>
    <w:p>
      <w:pPr>
        <w:pStyle w:val="ArticleBody"/>
        <w:jc w:val="left"/>
      </w:pPr>
      <w:r>
        <w:rPr>
          <w:rFonts w:ascii="Times New Roman" w:hAnsi="Times New Roman" w:eastAsia="Times New Roman" w:cs="Times New Roman"/>
        </w:rPr>
        <w:t>Cette histoire est un fractal qui commence par 2 520 et s’achève par 2 300, et cette histoire est donc la troisième ligne de l’histoire prophétique représentée dans le songe de William Miller. Les 2 520 se sont accomplis en 1798 et les 2 300 en 1844. L’œuvre représentée par les deux lignes est l’œuvre du Christ consistant à unir Sa divinité à notre humanité. C’est l’œuvre qui transforme un pécheur en saint, en rétablissant la nature supérieure sur son trône légitime au-dessus de la nature inférieure. C’est pourquoi le corps humain met 2 520 jours à reproduire totalement chaque cellule du corps, et ce même corps est fondé sur 23 chromosomes mâles unis à 23 chromosomes femelles. Ensemble, ils produisent un temple vivant, représenté par le nombre « 46 », lequel correspond à la période de 1798 à 1844, période du songe de William Miller allant des 2 520 en 1798 jusqu’aux 2 300 en 1844.</w:t>
      </w:r>
    </w:p>
    <w:p>
      <w:pPr>
        <w:pStyle w:val="ArticleBody"/>
        <w:jc w:val="left"/>
      </w:pPr>
      <w:r>
        <w:rPr>
          <w:rFonts w:ascii="Times New Roman" w:hAnsi="Times New Roman" w:eastAsia="Times New Roman" w:cs="Times New Roman"/>
        </w:rPr>
        <w:t>Le rêve de William Miller contient également un autre fractal digne d’attention. De 9/11 jusqu’à la loi du dimanche se trouve un fractal de 1798 jusqu’à la loi du dimanche, comme de 1798 jusqu’à 1863. De 2023 jusqu’à la loi du dimanche se trouve un fractal de 9/11 jusqu’à la loi du dimanche, et c’est l’histoire vers laquelle convergent toutes les lignes contenues dans le rêve de Miller comme leur oméga à toutes. C’est la période où les vérités originelles sont magnifiées dix fois comme le soleil.</w:t>
      </w:r>
    </w:p>
    <w:p>
      <w:pPr>
        <w:pStyle w:val="ArticleHeading"/>
        <w:jc w:val="left"/>
      </w:pPr>
      <w:r>
        <w:rPr>
          <w:rFonts w:ascii="Arial" w:hAnsi="Arial" w:eastAsia="Arial" w:cs="Arial"/>
        </w:rPr>
        <w:t>Deux tournures</w:t>
      </w:r>
    </w:p>
    <w:p>
      <w:pPr>
        <w:pStyle w:val="ArticleBody"/>
        <w:jc w:val="left"/>
      </w:pPr>
      <w:r>
        <w:rPr>
          <w:rFonts w:ascii="Times New Roman" w:hAnsi="Times New Roman" w:eastAsia="Times New Roman" w:cs="Times New Roman"/>
        </w:rPr>
        <w:t>Dans les années 1840, le mot « bustle » (comme nom) signifiait communément une activité énergique, affairée ou bruyante — souvent avec une nuance d’agitation, d’excitation, de hâte ou d’empressement. Il désignait un mouvement animé, un remue-ménage ou un va-et-vient affairé, que ce soit dans une foule, un foyer, un marché, ou lors d’un événement particulier. Le « bustle » du rêve de Miller décrirait donc l’effervescence immédiate d’activité, d’excitation ou d’affaires urgentes qui se produisait précisément à ce moment-là — l’agitation ou le tumulte passager de la situation ou de l’occasion présente.</w:t>
      </w:r>
    </w:p>
    <w:p>
      <w:pPr>
        <w:pStyle w:val="ArticleBody"/>
        <w:jc w:val="left"/>
      </w:pPr>
      <w:r>
        <w:rPr>
          <w:rFonts w:ascii="Times New Roman" w:hAnsi="Times New Roman" w:eastAsia="Times New Roman" w:cs="Times New Roman"/>
        </w:rPr>
        <w:t>Miller déclare : « Puis, tandis qu’il balayait la poussière et les immondices, les faux joyaux et la monnaie contrefaite, tout cela s’éleva et sortit par la fenêtre comme un nuage, et le vent les emporta. Dans l’agitation, je fermai les yeux un instant ; quand je les ouvris, tous les détritus avaient disparu. »</w:t>
      </w:r>
    </w:p>
    <w:p>
      <w:pPr>
        <w:pStyle w:val="ArticleBody"/>
        <w:jc w:val="left"/>
      </w:pPr>
      <w:r>
        <w:rPr>
          <w:rFonts w:ascii="Times New Roman" w:hAnsi="Times New Roman" w:eastAsia="Times New Roman" w:cs="Times New Roman"/>
        </w:rPr>
        <w:t>Le « tumulte » désigne deux moments dans le rêve de Miller : le premier, lorsque la foule disperse les joyaux, et ensuite lorsque l’homme au balai ouvre les fenêtres et commence à balayer les faux joyaux. Le premier tumulte, l’alpha, est le recouvrement des joyaux, et le second tumulte, l’oméga, est la restauration des joyaux. Pendant le tumulte, Miller ferma les yeux. Miller fut mis au repos en 1849, précisément au moment où le Christ étendait Sa main une seconde fois pour rassembler le reste de Son peuple. Miller ferma alors les yeux, et en 1850 ses vérités furent de nouveau placées sur une table, en accomplissement de l’ordre d’Habakuk d’écrire la vision et de la rendre claire. Durant cette période de tumulte, Miller ferme les yeux, et lorsqu’il se réveille, les joyaux sont en voie d’être restaurés.</w:t>
      </w:r>
    </w:p>
    <w:p>
      <w:pPr>
        <w:pStyle w:val="ArticleBody"/>
        <w:jc w:val="left"/>
      </w:pPr>
      <w:r>
        <w:rPr>
          <w:rFonts w:ascii="Times New Roman" w:hAnsi="Times New Roman" w:eastAsia="Times New Roman" w:cs="Times New Roman"/>
        </w:rPr>
        <w:t>Dans son rêve, la seconde agitation a lieu lorsque l’étendard des cent quarante-quatre mille est en train d’être ressuscité, purgé et purifié, en tant qu’étendard que Zacharie identifie comme des joyaux sur une couronne.</w:t>
      </w:r>
    </w:p>
    <w:p>
      <w:pPr>
        <w:pStyle w:val="ArticleScripture"/>
        <w:jc w:val="left"/>
      </w:pPr>
      <w:r>
        <w:rPr>
          <w:rFonts w:ascii="Times New Roman" w:hAnsi="Times New Roman" w:eastAsia="Times New Roman" w:cs="Times New Roman"/>
        </w:rPr>
        <w:t>Et l’Éternel, leur Dieu, les sauvera en ce jour-là, comme le troupeau de son peuple; car ils seront comme les pierres d’une couronne, élevées comme un étendard sur son pays. Car que sa bonté est grande, et que sa beauté est grande! Le froment réjouira les jeunes hommes, et le moût les jeunes filles. Demandez à l’Éternel la pluie au temps de la pluie de l’arrière-saison; l’Éternel produira des nuées éclatantes, et leur donnera des averses de pluie, à chacun de l’herbe dans le champ. Car les idoles ont proféré la vanité, et les devins ont vu le mensonge, et ont raconté de faux songes; ils consolent en vain. C’est pourquoi ils s’en sont allés comme un troupeau, ils ont été affligés, parce qu’il n’y avait pas de berger. Ma colère s’est enflammée contre les bergers, et j’ai châtié les boucs; car l’Éternel des armées a visité son troupeau, la maison de Juda, et il les a rendus comme son cheval de gloire dans la bataille. Zacharie 9:16–10:3.</w:t>
      </w:r>
    </w:p>
    <w:p>
      <w:pPr>
        <w:pStyle w:val="ArticleBody"/>
        <w:jc w:val="left"/>
      </w:pPr>
      <w:r>
        <w:rPr>
          <w:rFonts w:ascii="Times New Roman" w:hAnsi="Times New Roman" w:eastAsia="Times New Roman" w:cs="Times New Roman"/>
        </w:rPr>
        <w:t>His people’s flock are both an ensign and stones (jewels) upon a crown. His people’s flock are identified during the latter rain, for the command is to ask for the latter rain in the time of the latter rain. The flock is contrasted with the “flock” that went their own way, rather than the way of Jeremiah’s old paths. In the time of the latter rain, the jewels that are His flock will be His goodly horse in the battle. That “goodly horse” is the church triumphant, represented in the first Christian bride, symbolized by Peter who, as a white horse in the period of the first seal, went forth conquering and to conquer.</w:t>
      </w:r>
    </w:p>
    <w:p>
      <w:pPr>
        <w:pStyle w:val="ArticleScripture"/>
        <w:jc w:val="left"/>
      </w:pPr>
      <w:r>
        <w:rPr>
          <w:rFonts w:ascii="Times New Roman" w:hAnsi="Times New Roman" w:eastAsia="Times New Roman" w:cs="Times New Roman"/>
        </w:rPr>
        <w:t>Na nikatazama Mwana-Kondoo alipofungua mojawapo ya mihuri, nami nikasikia, kana kwamba ni sauti ya ngurumo, mmoja wa wale viumbe wanne akisema, Njoo uone. Nami nikatazama, na tazama, farasi mweupe; naye aliyempanda alikuwa na upinde; naye akapewa taji; naye akatoka akishinda, na ili ashinde. Ufunuo 6:1, 2.</w:t>
      </w:r>
    </w:p>
    <w:p>
      <w:pPr>
        <w:pStyle w:val="ArticleBody"/>
        <w:jc w:val="left"/>
      </w:pPr>
      <w:r>
        <w:rPr>
          <w:rFonts w:ascii="Times New Roman" w:hAnsi="Times New Roman" w:eastAsia="Times New Roman" w:cs="Times New Roman"/>
        </w:rPr>
        <w:t>En conséquence, Pierre est le symbole de la première Église chrétienne des apôtres lors de l’effusion pentecôtiste de la pluie, et le symbole de la dernière Église chrétienne durant la pluie de l’arrière-saison, qui était préfigurée par l’effusion pentecôtiste.</w:t>
      </w:r>
    </w:p>
    <w:p>
      <w:pPr>
        <w:pStyle w:val="ArticleScripture"/>
        <w:jc w:val="left"/>
      </w:pPr>
      <w:r>
        <w:rPr>
          <w:rFonts w:ascii="Times New Roman" w:hAnsi="Times New Roman" w:eastAsia="Times New Roman" w:cs="Times New Roman"/>
        </w:rPr>
        <w:t>Wa argan samii baname, ak gis xool, faras bu weex feeñ; te ki koy waroon, tudd nañu ko Ku Sax ak Ku Dëgg, te ci njub gi lay àtte ak a xeex. Bëtam dafa mel ni safara gu tàkk, te ci boppam am na ay kaalag yu bare; te dafa yoroon tur wuñ bind, wu kenn xamul, kudul moom rekk. Soloon na mbubb mu ñuuloo deret, te turam lañuy wax Kàddug Yàlla. Te mbooloom xarekat yi nekkoon ci asamaan topp ko ci ay faras yu weex, sol yére yu baax, yu weex te set. Peeñug Yowaana 19:11–14.</w:t>
      </w:r>
    </w:p>
    <w:p>
      <w:pPr>
        <w:pStyle w:val="ArticleBody"/>
        <w:jc w:val="left"/>
      </w:pPr>
      <w:r>
        <w:rPr>
          <w:rFonts w:ascii="Times New Roman" w:hAnsi="Times New Roman" w:eastAsia="Times New Roman" w:cs="Times New Roman"/>
        </w:rPr>
        <w:t>Les chevaux blancs représentent l’armée du Christ ressuscitée dans Ézéchiel 37, et ils sont l’Église triomphante, et ils sont des pierres dans une couronne, car le Christ établit Son royaume de gloire au temps de la pluie de l’arrière-saison. En tant que représentants de Son royaume, les cent quarante-quatre mille sont des joyaux sur la couronne, laquelle est le symbole du royaume qu’Il reçoit à la conclusion des 2 300 jours, laquelle fut le 22 octobre 1844 et le sera de nouveau lors de la loi du dimanche. Ce royaume de chevaux blancs est suscité pendant la pluie de l’arrière-saison, lorsque les écluses du ciel sont ouvertes, car Jean vit le cheval blanc lorsque le ciel fut ouvert.</w:t>
      </w:r>
    </w:p>
    <w:p>
      <w:pPr>
        <w:pStyle w:val="ArticleBody"/>
        <w:jc w:val="left"/>
      </w:pPr>
      <w:r>
        <w:rPr>
          <w:rFonts w:ascii="Times New Roman" w:hAnsi="Times New Roman" w:eastAsia="Times New Roman" w:cs="Times New Roman"/>
        </w:rPr>
        <w:t>Дар ғалаёни алфаи соли 1849, Миллер барои лаҳзае кӯтоҳ чашмони худро дар марг баст. Миллер Илёс буд, ва Илёс 18 июли соли 2020 вафот кард, ва ӯ 1,260 рӯз дар кӯча хобида монд, то ба ғалаёни омега расид ва сипас бедор карда шуд. Бедоршавии ӯ ҳамчун фаро расидан нишон дода мешавад, вақте ки марди ҷорӯби хок тирезаи осмонро кушод, то хасу хошокро берун бирӯбад. Лашкари аспҳои сафед ҳангоме барангехта мешавад, ки тирезаи осмон кушода гардад, ва вақте ки ин рӯй медиҳад, ҷудоии ҳақиқӣ ва дурӯғин муайян мегардад. Ин ҷудоӣ ҳамчунин дар китоби Малокӣ муайян карда шудааст.</w:t>
      </w:r>
    </w:p>
    <w:p>
      <w:pPr>
        <w:pStyle w:val="ArticleScripture"/>
        <w:jc w:val="left"/>
      </w:pPr>
      <w:r>
        <w:rPr>
          <w:rFonts w:ascii="Times New Roman" w:hAnsi="Times New Roman" w:eastAsia="Times New Roman" w:cs="Times New Roman"/>
        </w:rPr>
        <w:t>“Letani zakachumi zonse m’nyumba yosungiramo, kuti m’nyumba mwanga mukhale chakudya; ndipo mundiyese tsopano pa ichi,” ati Yehova wa makamu, “ngati sindidzakutsegulirani mazenera a kumwamba, ndi kukutsanulirani mdalitso, kufikira pakusowa malo owulandirira.” Malaki 3:10.</w:t>
      </w:r>
    </w:p>
    <w:p>
      <w:pPr>
        <w:pStyle w:val="ArticleBody"/>
        <w:jc w:val="left"/>
      </w:pPr>
      <w:r>
        <w:rPr>
          <w:rFonts w:ascii="Times New Roman" w:hAnsi="Times New Roman" w:eastAsia="Times New Roman" w:cs="Times New Roman"/>
        </w:rPr>
        <w:t>روح‌های انبیا مطیع انبیا هستند، و یوحنا در مکاشفه، رؤیای میلر و ملاکی سه شاهد را دربارهٔ زمانی فراهم می‌آورند که پنجره‌های آسمان گشوده می‌شوند. در رؤیای میلر، این زمان در امگای دعوتِ «بیا و ببین» است. هیاهو در آلفا هنگامی بود که پراکندگی آغاز شد، و امگا زمانی است که گردآوری آغاز می‌شود.</w:t>
      </w:r>
    </w:p>
    <w:p>
      <w:pPr>
        <w:pStyle w:val="ArticleBody"/>
        <w:jc w:val="left"/>
      </w:pPr>
      <w:r>
        <w:rPr>
          <w:rFonts w:ascii="Times New Roman" w:hAnsi="Times New Roman" w:eastAsia="Times New Roman" w:cs="Times New Roman"/>
        </w:rPr>
        <w:t>Tou nou al pli lwen nan rev Miller la, nou vle mete kòmantè James White sou rev la. James White idantifye vrè bijou yo kòm vrè pèp Bondye a, epi fo bijou yo kòm mechan yo. Mwen idantifye bijou yo kòm verite yo an kontrast ak erè. Bijou yo ak fo bijou yo se ni mesaj la ni mesaje yo, an kontrast ak erè ak fo mesaje yo.</w:t>
      </w:r>
    </w:p>
    <w:p>
      <w:pPr>
        <w:pStyle w:val="ArticleScripture"/>
        <w:jc w:val="left"/>
      </w:pPr>
      <w:r>
        <w:rPr>
          <w:rFonts w:ascii="Times New Roman" w:hAnsi="Times New Roman" w:eastAsia="Times New Roman" w:cs="Times New Roman"/>
        </w:rPr>
        <w:t>«LE RÊVE DU FRÈRE MILLER»</w:t>
      </w:r>
    </w:p>
    <w:p>
      <w:pPr>
        <w:pStyle w:val="ArticleScripture"/>
        <w:jc w:val="left"/>
      </w:pPr>
      <w:r>
        <w:rPr>
          <w:rFonts w:ascii="Times New Roman" w:hAnsi="Times New Roman" w:eastAsia="Times New Roman" w:cs="Times New Roman"/>
        </w:rPr>
        <w:t>«Le rêve suivant a été publié dans l’Advent Herald il y a plus de deux ans. J’ai alors vu qu’il retraçait clairement notre expérience passée du second avènement, et que Dieu avait donné ce rêve pour le bien du troupeau dispersé. »</w:t>
      </w:r>
    </w:p>
    <w:p>
      <w:pPr>
        <w:pStyle w:val="ArticleScripture"/>
        <w:jc w:val="left"/>
      </w:pPr>
      <w:r>
        <w:rPr>
          <w:rFonts w:ascii="Times New Roman" w:hAnsi="Times New Roman" w:eastAsia="Times New Roman" w:cs="Times New Roman"/>
        </w:rPr>
        <w:t>« Pami bann siy ki montre gran zour Senyer-la, enn zour bien pre ek terib, Bondie finn met bann rev. Get Joel 2:28–31; Actes 2:17–20. Bann rev kapav vini dan trwa fason; premie, “atraver kantite zafer ek lokipasion lavi.” Get Ecclesiastes 5:3. Deziem, bann ki anba lespri imond ek sediksion Satan, kapav gagn bann rev atraver so linflians. Get Deuteronomy 8:1–5; Jeremiah 23:25–28; 27:9; 29:8; Zechariah 10:2; Jude 8. Ek trwaziem, Bondie finn touletan ansenn, ek li ankor pe ansenn so pep, plis ou mwins par bann rev, ki vini atraver minister bann anz ek Lespri Sin. Bann ki tini ferm dan lalimier kler laverite pou kone kan Bondie donn zot enn rev; ek sa bann-la pa pou les zot tronpe ni detourne par bann fo rev. »</w:t>
      </w:r>
    </w:p>
    <w:p>
      <w:pPr>
        <w:pStyle w:val="ArticleScripture"/>
        <w:jc w:val="left"/>
      </w:pPr>
      <w:r>
        <w:rPr>
          <w:rFonts w:ascii="Times New Roman" w:hAnsi="Times New Roman" w:eastAsia="Times New Roman" w:cs="Times New Roman"/>
        </w:rPr>
        <w:t>“‘Na Ase kae se, Muntie me nsɛm yi; sɛ odiyifo bi wɔ mo mu a, me Awurade mɛda me ho adi akyerɛ no wɔ anisoadehunu mu, na mɛkasa akyerɛ no wɔ dae mu.’ Numeri 12:6. Yakob kae sɛ, ‘Awurade bɔfo no kasa kyerɛɛ me wɔ dae mu.’ Genesis 31:11. ‘Na Onyankopɔn baa Laban, Siria-ni no, nkyerɛkyerɛwee mu anadwo.’ Genesis 31:24. Monkenkan Yosef adaeso no, [Genesis 37:5–9,] na afei monkenkan wɔn mmamu ho anigyeɛ ne nwonwasoɔ abakɔsɛm a ɛkɔɔ so wɔ Misraim. ‘Wɔ Gibeon no, Awurade yii ne ho adi kyerɛɛ Solomon wɔ dae mu anadwo.’ 1 Ahemfo 3:5. Honam kɛse a ɛho hia paa a ɛwɔ Daniel ti a ɛto so abien no, wɔde maa no wɔ dae mu; saa ara nso na mmoa anan no ne nea aka a ɛwɔ ti a ɛto so ason no. Bere a Herode hwehwɛɛ sɛ ɔbɛsɛe Agyenkwa no a ɔyɛ abofra no, wɔbɔɔ Yosef kɔkɔ wɔ dae mu sɛ onguan nkɔ Misraim. Mateo 2:13.”</w:t>
      </w:r>
    </w:p>
    <w:p>
      <w:pPr>
        <w:pStyle w:val="ArticleScripture"/>
        <w:jc w:val="left"/>
      </w:pPr>
      <w:r>
        <w:rPr>
          <w:rFonts w:ascii="Times New Roman" w:hAnsi="Times New Roman" w:eastAsia="Times New Roman" w:cs="Times New Roman"/>
        </w:rPr>
        <w:t>«“En de laatste dagen zal het geschieden, zegt God, dat Ik zal uitstorten van Mijn Geest op alle vlees; en uw zonen en uw dochters zullen profeteren, en uw jongemannen zullen gezichten zien, en uw ouden zullen dromen dromen.” Handelingen 2:17.»</w:t>
      </w:r>
    </w:p>
    <w:p>
      <w:pPr>
        <w:pStyle w:val="ArticleScripture"/>
        <w:jc w:val="left"/>
      </w:pPr>
      <w:r>
        <w:rPr>
          <w:rFonts w:ascii="Times New Roman" w:hAnsi="Times New Roman" w:eastAsia="Times New Roman" w:cs="Times New Roman"/>
        </w:rPr>
        <w:t>“Le don de prophétie, par les rêves et les visions, est ici le fruit du Saint-Esprit, et dans les derniers jours il doit se manifester de manière suffisante pour constituer un signe. C’est l’un des dons de l’Église de l’Évangile.</w:t>
      </w:r>
    </w:p>
    <w:p>
      <w:pPr>
        <w:pStyle w:val="ArticleScripture"/>
        <w:jc w:val="left"/>
      </w:pPr>
      <w:r>
        <w:rPr>
          <w:rFonts w:ascii="Times New Roman" w:hAnsi="Times New Roman" w:eastAsia="Times New Roman" w:cs="Times New Roman"/>
        </w:rPr>
        <w:t>« Et il a donné les uns comme apôtres, les autres comme PROPHÈTES, les autres comme évangélistes, les autres comme pasteurs et docteurs, pour le perfectionnement des saints, pour l’œuvre du ministère, pour l’édification du corps de Christ. » Éphésiens 4:11, 12.</w:t>
      </w:r>
    </w:p>
    <w:p>
      <w:pPr>
        <w:pStyle w:val="ArticleScripture"/>
        <w:jc w:val="left"/>
      </w:pPr>
      <w:r>
        <w:rPr>
          <w:rFonts w:ascii="Times New Roman" w:hAnsi="Times New Roman" w:eastAsia="Times New Roman" w:cs="Times New Roman"/>
        </w:rPr>
        <w:t>“‘</w:t>
      </w:r>
      <w:r>
        <w:rPr>
          <w:rFonts w:ascii="Sylfaen" w:hAnsi="Sylfaen" w:eastAsia="Sylfaen" w:cs="Sylfaen"/>
        </w:rPr>
        <w:t>ღმერთმა</w:t>
      </w:r>
      <w:r>
        <w:rPr>
          <w:rFonts w:ascii="Times New Roman" w:hAnsi="Times New Roman" w:eastAsia="Times New Roman" w:cs="Times New Roman"/>
        </w:rPr>
        <w:t xml:space="preserve"> </w:t>
      </w:r>
      <w:r>
        <w:rPr>
          <w:rFonts w:ascii="Sylfaen" w:hAnsi="Sylfaen" w:eastAsia="Sylfaen" w:cs="Sylfaen"/>
        </w:rPr>
        <w:t>ეკლესიაში</w:t>
      </w:r>
      <w:r>
        <w:rPr>
          <w:rFonts w:ascii="Times New Roman" w:hAnsi="Times New Roman" w:eastAsia="Times New Roman" w:cs="Times New Roman"/>
        </w:rPr>
        <w:t xml:space="preserve"> </w:t>
      </w:r>
      <w:r>
        <w:rPr>
          <w:rFonts w:ascii="Sylfaen" w:hAnsi="Sylfaen" w:eastAsia="Sylfaen" w:cs="Sylfaen"/>
        </w:rPr>
        <w:t>ზოგი</w:t>
      </w:r>
      <w:r>
        <w:rPr>
          <w:rFonts w:ascii="Times New Roman" w:hAnsi="Times New Roman" w:eastAsia="Times New Roman" w:cs="Times New Roman"/>
        </w:rPr>
        <w:t xml:space="preserve"> </w:t>
      </w:r>
      <w:r>
        <w:rPr>
          <w:rFonts w:ascii="Sylfaen" w:hAnsi="Sylfaen" w:eastAsia="Sylfaen" w:cs="Sylfaen"/>
        </w:rPr>
        <w:t>დაადგინა</w:t>
      </w:r>
      <w:r>
        <w:rPr>
          <w:rFonts w:ascii="Times New Roman" w:hAnsi="Times New Roman" w:eastAsia="Times New Roman" w:cs="Times New Roman"/>
        </w:rPr>
        <w:t xml:space="preserve">, </w:t>
      </w:r>
      <w:r>
        <w:rPr>
          <w:rFonts w:ascii="Sylfaen" w:hAnsi="Sylfaen" w:eastAsia="Sylfaen" w:cs="Sylfaen"/>
        </w:rPr>
        <w:t>ჯერ</w:t>
      </w:r>
      <w:r>
        <w:rPr>
          <w:rFonts w:ascii="Times New Roman" w:hAnsi="Times New Roman" w:eastAsia="Times New Roman" w:cs="Times New Roman"/>
        </w:rPr>
        <w:t xml:space="preserve"> </w:t>
      </w:r>
      <w:r>
        <w:rPr>
          <w:rFonts w:ascii="Sylfaen" w:hAnsi="Sylfaen" w:eastAsia="Sylfaen" w:cs="Sylfaen"/>
        </w:rPr>
        <w:t>მოციქულებად</w:t>
      </w:r>
      <w:r>
        <w:rPr>
          <w:rFonts w:ascii="Times New Roman" w:hAnsi="Times New Roman" w:eastAsia="Times New Roman" w:cs="Times New Roman"/>
        </w:rPr>
        <w:t xml:space="preserve">, </w:t>
      </w:r>
      <w:r>
        <w:rPr>
          <w:rFonts w:ascii="Sylfaen" w:hAnsi="Sylfaen" w:eastAsia="Sylfaen" w:cs="Sylfaen"/>
        </w:rPr>
        <w:t>მერე</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წინასწარმეტყველებად</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სხვ</w:t>
      </w:r>
      <w:r>
        <w:rPr>
          <w:rFonts w:ascii="Times New Roman" w:hAnsi="Times New Roman" w:eastAsia="Times New Roman" w:cs="Times New Roman"/>
        </w:rPr>
        <w:t xml:space="preserve">. 1 </w:t>
      </w:r>
      <w:r>
        <w:rPr>
          <w:rFonts w:ascii="Sylfaen" w:hAnsi="Sylfaen" w:eastAsia="Sylfaen" w:cs="Sylfaen"/>
        </w:rPr>
        <w:t>კორინთელთა</w:t>
      </w:r>
      <w:r>
        <w:rPr>
          <w:rFonts w:ascii="Times New Roman" w:hAnsi="Times New Roman" w:eastAsia="Times New Roman" w:cs="Times New Roman"/>
        </w:rPr>
        <w:t xml:space="preserve"> 12:28. ‘</w:t>
      </w:r>
      <w:r>
        <w:rPr>
          <w:rFonts w:ascii="Sylfaen" w:hAnsi="Sylfaen" w:eastAsia="Sylfaen" w:cs="Sylfaen"/>
        </w:rPr>
        <w:t>წინასწარმეტყველებანი</w:t>
      </w:r>
      <w:r>
        <w:rPr>
          <w:rFonts w:ascii="Times New Roman" w:hAnsi="Times New Roman" w:eastAsia="Times New Roman" w:cs="Times New Roman"/>
        </w:rPr>
        <w:t xml:space="preserve"> </w:t>
      </w:r>
      <w:r>
        <w:rPr>
          <w:rFonts w:ascii="Sylfaen" w:hAnsi="Sylfaen" w:eastAsia="Sylfaen" w:cs="Sylfaen"/>
        </w:rPr>
        <w:t>ნუ</w:t>
      </w:r>
      <w:r>
        <w:rPr>
          <w:rFonts w:ascii="Times New Roman" w:hAnsi="Times New Roman" w:eastAsia="Times New Roman" w:cs="Times New Roman"/>
        </w:rPr>
        <w:t xml:space="preserve"> </w:t>
      </w:r>
      <w:r>
        <w:rPr>
          <w:rFonts w:ascii="Sylfaen" w:hAnsi="Sylfaen" w:eastAsia="Sylfaen" w:cs="Sylfaen"/>
        </w:rPr>
        <w:t>შეურაცხჰყოფთ</w:t>
      </w:r>
      <w:r>
        <w:rPr>
          <w:rFonts w:ascii="Times New Roman" w:hAnsi="Times New Roman" w:eastAsia="Times New Roman" w:cs="Times New Roman"/>
        </w:rPr>
        <w:t xml:space="preserve">.’ 1 </w:t>
      </w:r>
      <w:r>
        <w:rPr>
          <w:rFonts w:ascii="Sylfaen" w:hAnsi="Sylfaen" w:eastAsia="Sylfaen" w:cs="Sylfaen"/>
        </w:rPr>
        <w:t>თესალონიკელთა</w:t>
      </w:r>
      <w:r>
        <w:rPr>
          <w:rFonts w:ascii="Times New Roman" w:hAnsi="Times New Roman" w:eastAsia="Times New Roman" w:cs="Times New Roman"/>
        </w:rPr>
        <w:t xml:space="preserve"> 5:20. </w:t>
      </w:r>
      <w:r>
        <w:rPr>
          <w:rFonts w:ascii="Sylfaen" w:hAnsi="Sylfaen" w:eastAsia="Sylfaen" w:cs="Sylfaen"/>
        </w:rPr>
        <w:t>იხილეთ</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საქმეები</w:t>
      </w:r>
      <w:r>
        <w:rPr>
          <w:rFonts w:ascii="Times New Roman" w:hAnsi="Times New Roman" w:eastAsia="Times New Roman" w:cs="Times New Roman"/>
        </w:rPr>
        <w:t xml:space="preserve"> 13:1; 21:9; </w:t>
      </w:r>
      <w:r>
        <w:rPr>
          <w:rFonts w:ascii="Sylfaen" w:hAnsi="Sylfaen" w:eastAsia="Sylfaen" w:cs="Sylfaen"/>
        </w:rPr>
        <w:t>რომაელთა</w:t>
      </w:r>
      <w:r>
        <w:rPr>
          <w:rFonts w:ascii="Times New Roman" w:hAnsi="Times New Roman" w:eastAsia="Times New Roman" w:cs="Times New Roman"/>
        </w:rPr>
        <w:t xml:space="preserve"> 7:6; 1 </w:t>
      </w:r>
      <w:r>
        <w:rPr>
          <w:rFonts w:ascii="Sylfaen" w:hAnsi="Sylfaen" w:eastAsia="Sylfaen" w:cs="Sylfaen"/>
        </w:rPr>
        <w:t>კორინთელთა</w:t>
      </w:r>
      <w:r>
        <w:rPr>
          <w:rFonts w:ascii="Times New Roman" w:hAnsi="Times New Roman" w:eastAsia="Times New Roman" w:cs="Times New Roman"/>
        </w:rPr>
        <w:t xml:space="preserve"> 14:1, 24, 39. </w:t>
      </w:r>
      <w:r>
        <w:rPr>
          <w:rFonts w:ascii="Sylfaen" w:hAnsi="Sylfaen" w:eastAsia="Sylfaen" w:cs="Sylfaen"/>
        </w:rPr>
        <w:t>წინასწარმეტყველნი</w:t>
      </w:r>
      <w:r>
        <w:rPr>
          <w:rFonts w:ascii="Times New Roman" w:hAnsi="Times New Roman" w:eastAsia="Times New Roman" w:cs="Times New Roman"/>
        </w:rPr>
        <w:t xml:space="preserve">, </w:t>
      </w:r>
      <w:r>
        <w:rPr>
          <w:rFonts w:ascii="Sylfaen" w:hAnsi="Sylfaen" w:eastAsia="Sylfaen" w:cs="Sylfaen"/>
        </w:rPr>
        <w:t>ანუ</w:t>
      </w:r>
      <w:r>
        <w:rPr>
          <w:rFonts w:ascii="Times New Roman" w:hAnsi="Times New Roman" w:eastAsia="Times New Roman" w:cs="Times New Roman"/>
        </w:rPr>
        <w:t xml:space="preserve"> </w:t>
      </w:r>
      <w:r>
        <w:rPr>
          <w:rFonts w:ascii="Sylfaen" w:hAnsi="Sylfaen" w:eastAsia="Sylfaen" w:cs="Sylfaen"/>
        </w:rPr>
        <w:t>წინასწარმეტყველებანი</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ეკლესიის</w:t>
      </w:r>
      <w:r>
        <w:rPr>
          <w:rFonts w:ascii="Times New Roman" w:hAnsi="Times New Roman" w:eastAsia="Times New Roman" w:cs="Times New Roman"/>
        </w:rPr>
        <w:t xml:space="preserve"> </w:t>
      </w:r>
      <w:r>
        <w:rPr>
          <w:rFonts w:ascii="Sylfaen" w:hAnsi="Sylfaen" w:eastAsia="Sylfaen" w:cs="Sylfaen"/>
        </w:rPr>
        <w:t>აღსაშენებლად</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სიტყვიდან</w:t>
      </w:r>
      <w:r>
        <w:rPr>
          <w:rFonts w:ascii="Times New Roman" w:hAnsi="Times New Roman" w:eastAsia="Times New Roman" w:cs="Times New Roman"/>
        </w:rPr>
        <w:t xml:space="preserve"> </w:t>
      </w:r>
      <w:r>
        <w:rPr>
          <w:rFonts w:ascii="Sylfaen" w:hAnsi="Sylfaen" w:eastAsia="Sylfaen" w:cs="Sylfaen"/>
        </w:rPr>
        <w:t>ვერავითარი</w:t>
      </w:r>
      <w:r>
        <w:rPr>
          <w:rFonts w:ascii="Times New Roman" w:hAnsi="Times New Roman" w:eastAsia="Times New Roman" w:cs="Times New Roman"/>
        </w:rPr>
        <w:t xml:space="preserve"> </w:t>
      </w:r>
      <w:r>
        <w:rPr>
          <w:rFonts w:ascii="Sylfaen" w:hAnsi="Sylfaen" w:eastAsia="Sylfaen" w:cs="Sylfaen"/>
        </w:rPr>
        <w:t>მტკიცებულება</w:t>
      </w:r>
      <w:r>
        <w:rPr>
          <w:rFonts w:ascii="Times New Roman" w:hAnsi="Times New Roman" w:eastAsia="Times New Roman" w:cs="Times New Roman"/>
        </w:rPr>
        <w:t xml:space="preserve"> </w:t>
      </w:r>
      <w:r>
        <w:rPr>
          <w:rFonts w:ascii="Sylfaen" w:hAnsi="Sylfaen" w:eastAsia="Sylfaen" w:cs="Sylfaen"/>
        </w:rPr>
        <w:t>ვერ</w:t>
      </w:r>
      <w:r>
        <w:rPr>
          <w:rFonts w:ascii="Times New Roman" w:hAnsi="Times New Roman" w:eastAsia="Times New Roman" w:cs="Times New Roman"/>
        </w:rPr>
        <w:t xml:space="preserve"> </w:t>
      </w:r>
      <w:r>
        <w:rPr>
          <w:rFonts w:ascii="Sylfaen" w:hAnsi="Sylfaen" w:eastAsia="Sylfaen" w:cs="Sylfaen"/>
        </w:rPr>
        <w:t>მოიპოვება</w:t>
      </w:r>
      <w:r>
        <w:rPr>
          <w:rFonts w:ascii="Times New Roman" w:hAnsi="Times New Roman" w:eastAsia="Times New Roman" w:cs="Times New Roman"/>
        </w:rPr>
        <w:t xml:space="preserve"> </w:t>
      </w:r>
      <w:r>
        <w:rPr>
          <w:rFonts w:ascii="Sylfaen" w:hAnsi="Sylfaen" w:eastAsia="Sylfaen" w:cs="Sylfaen"/>
        </w:rPr>
        <w:t>იმისა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შეწყვეტილიყვნენ</w:t>
      </w:r>
      <w:r>
        <w:rPr>
          <w:rFonts w:ascii="Times New Roman" w:hAnsi="Times New Roman" w:eastAsia="Times New Roman" w:cs="Times New Roman"/>
        </w:rPr>
        <w:t xml:space="preserve"> </w:t>
      </w:r>
      <w:r>
        <w:rPr>
          <w:rFonts w:ascii="Sylfaen" w:hAnsi="Sylfaen" w:eastAsia="Sylfaen" w:cs="Sylfaen"/>
        </w:rPr>
        <w:t>მანამდე</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მახარებელნი</w:t>
      </w:r>
      <w:r>
        <w:rPr>
          <w:rFonts w:ascii="Times New Roman" w:hAnsi="Times New Roman" w:eastAsia="Times New Roman" w:cs="Times New Roman"/>
        </w:rPr>
        <w:t xml:space="preserve">, </w:t>
      </w:r>
      <w:r>
        <w:rPr>
          <w:rFonts w:ascii="Sylfaen" w:hAnsi="Sylfaen" w:eastAsia="Sylfaen" w:cs="Sylfaen"/>
        </w:rPr>
        <w:t>მწყემსნი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მოძღვარნი</w:t>
      </w:r>
      <w:r>
        <w:rPr>
          <w:rFonts w:ascii="Times New Roman" w:hAnsi="Times New Roman" w:eastAsia="Times New Roman" w:cs="Times New Roman"/>
        </w:rPr>
        <w:t xml:space="preserve"> </w:t>
      </w:r>
      <w:r>
        <w:rPr>
          <w:rFonts w:ascii="Sylfaen" w:hAnsi="Sylfaen" w:eastAsia="Sylfaen" w:cs="Sylfaen"/>
        </w:rPr>
        <w:t>შეწყვეტდნენ</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შემწინააღმდეგებელი</w:t>
      </w:r>
      <w:r>
        <w:rPr>
          <w:rFonts w:ascii="Times New Roman" w:hAnsi="Times New Roman" w:eastAsia="Times New Roman" w:cs="Times New Roman"/>
        </w:rPr>
        <w:t>, ‘</w:t>
      </w:r>
      <w:r>
        <w:rPr>
          <w:rFonts w:ascii="Sylfaen" w:hAnsi="Sylfaen" w:eastAsia="Sylfaen" w:cs="Sylfaen"/>
        </w:rPr>
        <w:t>იმდენი</w:t>
      </w:r>
      <w:r>
        <w:rPr>
          <w:rFonts w:ascii="Times New Roman" w:hAnsi="Times New Roman" w:eastAsia="Times New Roman" w:cs="Times New Roman"/>
        </w:rPr>
        <w:t xml:space="preserve"> </w:t>
      </w:r>
      <w:r>
        <w:rPr>
          <w:rFonts w:ascii="Sylfaen" w:hAnsi="Sylfaen" w:eastAsia="Sylfaen" w:cs="Sylfaen"/>
        </w:rPr>
        <w:t>ცრუ</w:t>
      </w:r>
      <w:r>
        <w:rPr>
          <w:rFonts w:ascii="Times New Roman" w:hAnsi="Times New Roman" w:eastAsia="Times New Roman" w:cs="Times New Roman"/>
        </w:rPr>
        <w:t xml:space="preserve"> </w:t>
      </w:r>
      <w:r>
        <w:rPr>
          <w:rFonts w:ascii="Sylfaen" w:hAnsi="Sylfaen" w:eastAsia="Sylfaen" w:cs="Sylfaen"/>
        </w:rPr>
        <w:t>ხილვა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სიზმარი</w:t>
      </w:r>
      <w:r>
        <w:rPr>
          <w:rFonts w:ascii="Times New Roman" w:hAnsi="Times New Roman" w:eastAsia="Times New Roman" w:cs="Times New Roman"/>
        </w:rPr>
        <w:t xml:space="preserve"> </w:t>
      </w:r>
      <w:r>
        <w:rPr>
          <w:rFonts w:ascii="Sylfaen" w:hAnsi="Sylfaen" w:eastAsia="Sylfaen" w:cs="Sylfaen"/>
        </w:rPr>
        <w:t>ყოფილა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ამგვარ</w:t>
      </w:r>
      <w:r>
        <w:rPr>
          <w:rFonts w:ascii="Times New Roman" w:hAnsi="Times New Roman" w:eastAsia="Times New Roman" w:cs="Times New Roman"/>
        </w:rPr>
        <w:t xml:space="preserve"> </w:t>
      </w:r>
      <w:r>
        <w:rPr>
          <w:rFonts w:ascii="Sylfaen" w:hAnsi="Sylfaen" w:eastAsia="Sylfaen" w:cs="Sylfaen"/>
        </w:rPr>
        <w:t>რამეზე</w:t>
      </w:r>
      <w:r>
        <w:rPr>
          <w:rFonts w:ascii="Times New Roman" w:hAnsi="Times New Roman" w:eastAsia="Times New Roman" w:cs="Times New Roman"/>
        </w:rPr>
        <w:t xml:space="preserve"> </w:t>
      </w:r>
      <w:r>
        <w:rPr>
          <w:rFonts w:ascii="Sylfaen" w:hAnsi="Sylfaen" w:eastAsia="Sylfaen" w:cs="Sylfaen"/>
        </w:rPr>
        <w:t>ნდობა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შემიძლია</w:t>
      </w:r>
      <w:r>
        <w:rPr>
          <w:rFonts w:ascii="Times New Roman" w:hAnsi="Times New Roman" w:eastAsia="Times New Roman" w:cs="Times New Roman"/>
        </w:rPr>
        <w:t xml:space="preserve">.’ </w:t>
      </w:r>
      <w:r>
        <w:rPr>
          <w:rFonts w:ascii="Sylfaen" w:hAnsi="Sylfaen" w:eastAsia="Sylfaen" w:cs="Sylfaen"/>
        </w:rPr>
        <w:t>ჭეშმარიტია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სატანას</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ყალბიც</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ყოველთვის</w:t>
      </w:r>
      <w:r>
        <w:rPr>
          <w:rFonts w:ascii="Times New Roman" w:hAnsi="Times New Roman" w:eastAsia="Times New Roman" w:cs="Times New Roman"/>
        </w:rPr>
        <w:t xml:space="preserve"> </w:t>
      </w:r>
      <w:r>
        <w:rPr>
          <w:rFonts w:ascii="Sylfaen" w:hAnsi="Sylfaen" w:eastAsia="Sylfaen" w:cs="Sylfaen"/>
        </w:rPr>
        <w:t>ჰყავდა</w:t>
      </w:r>
      <w:r>
        <w:rPr>
          <w:rFonts w:ascii="Times New Roman" w:hAnsi="Times New Roman" w:eastAsia="Times New Roman" w:cs="Times New Roman"/>
        </w:rPr>
        <w:t xml:space="preserve"> </w:t>
      </w:r>
      <w:r>
        <w:rPr>
          <w:rFonts w:ascii="Sylfaen" w:hAnsi="Sylfaen" w:eastAsia="Sylfaen" w:cs="Sylfaen"/>
        </w:rPr>
        <w:t>ცრუწინასწარმეტყველნი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უთუოდ</w:t>
      </w:r>
      <w:r>
        <w:rPr>
          <w:rFonts w:ascii="Times New Roman" w:hAnsi="Times New Roman" w:eastAsia="Times New Roman" w:cs="Times New Roman"/>
        </w:rPr>
        <w:t xml:space="preserve"> </w:t>
      </w:r>
      <w:r>
        <w:rPr>
          <w:rFonts w:ascii="Sylfaen" w:hAnsi="Sylfaen" w:eastAsia="Sylfaen" w:cs="Sylfaen"/>
        </w:rPr>
        <w:t>ახლაც</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ველოდეთ</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მოტყუებისა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ტრიუმფის</w:t>
      </w:r>
      <w:r>
        <w:rPr>
          <w:rFonts w:ascii="Times New Roman" w:hAnsi="Times New Roman" w:eastAsia="Times New Roman" w:cs="Times New Roman"/>
        </w:rPr>
        <w:t xml:space="preserve"> </w:t>
      </w:r>
      <w:r>
        <w:rPr>
          <w:rFonts w:ascii="Sylfaen" w:hAnsi="Sylfaen" w:eastAsia="Sylfaen" w:cs="Sylfaen"/>
        </w:rPr>
        <w:t>ჟამს</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ასეთ</w:t>
      </w:r>
      <w:r>
        <w:rPr>
          <w:rFonts w:ascii="Times New Roman" w:hAnsi="Times New Roman" w:eastAsia="Times New Roman" w:cs="Times New Roman"/>
        </w:rPr>
        <w:t xml:space="preserve"> </w:t>
      </w:r>
      <w:r>
        <w:rPr>
          <w:rFonts w:ascii="Sylfaen" w:hAnsi="Sylfaen" w:eastAsia="Sylfaen" w:cs="Sylfaen"/>
        </w:rPr>
        <w:t>განსაკუთრებულ</w:t>
      </w:r>
      <w:r>
        <w:rPr>
          <w:rFonts w:ascii="Times New Roman" w:hAnsi="Times New Roman" w:eastAsia="Times New Roman" w:cs="Times New Roman"/>
        </w:rPr>
        <w:t xml:space="preserve"> </w:t>
      </w:r>
      <w:r>
        <w:rPr>
          <w:rFonts w:ascii="Sylfaen" w:hAnsi="Sylfaen" w:eastAsia="Sylfaen" w:cs="Sylfaen"/>
        </w:rPr>
        <w:t>გამოცხადებებს</w:t>
      </w:r>
      <w:r>
        <w:rPr>
          <w:rFonts w:ascii="Times New Roman" w:hAnsi="Times New Roman" w:eastAsia="Times New Roman" w:cs="Times New Roman"/>
        </w:rPr>
        <w:t xml:space="preserve"> </w:t>
      </w:r>
      <w:r>
        <w:rPr>
          <w:rFonts w:ascii="Sylfaen" w:hAnsi="Sylfaen" w:eastAsia="Sylfaen" w:cs="Sylfaen"/>
        </w:rPr>
        <w:t>უარყოფენ</w:t>
      </w:r>
      <w:r>
        <w:rPr>
          <w:rFonts w:ascii="Times New Roman" w:hAnsi="Times New Roman" w:eastAsia="Times New Roman" w:cs="Times New Roman"/>
        </w:rPr>
        <w:t xml:space="preserve"> </w:t>
      </w:r>
      <w:r>
        <w:rPr>
          <w:rFonts w:ascii="Sylfaen" w:hAnsi="Sylfaen" w:eastAsia="Sylfaen" w:cs="Sylfaen"/>
        </w:rPr>
        <w:t>იმიტომ</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ყალბი</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საფუძვლით</w:t>
      </w:r>
      <w:r>
        <w:rPr>
          <w:rFonts w:ascii="Times New Roman" w:hAnsi="Times New Roman" w:eastAsia="Times New Roman" w:cs="Times New Roman"/>
        </w:rPr>
        <w:t xml:space="preserve"> </w:t>
      </w:r>
      <w:r>
        <w:rPr>
          <w:rFonts w:ascii="Sylfaen" w:hAnsi="Sylfaen" w:eastAsia="Sylfaen" w:cs="Sylfaen"/>
        </w:rPr>
        <w:t>შეიძლება</w:t>
      </w:r>
      <w:r>
        <w:rPr>
          <w:rFonts w:ascii="Times New Roman" w:hAnsi="Times New Roman" w:eastAsia="Times New Roman" w:cs="Times New Roman"/>
        </w:rPr>
        <w:t xml:space="preserve"> </w:t>
      </w:r>
      <w:r>
        <w:rPr>
          <w:rFonts w:ascii="Sylfaen" w:hAnsi="Sylfaen" w:eastAsia="Sylfaen" w:cs="Sylfaen"/>
        </w:rPr>
        <w:t>კიდევ</w:t>
      </w:r>
      <w:r>
        <w:rPr>
          <w:rFonts w:ascii="Times New Roman" w:hAnsi="Times New Roman" w:eastAsia="Times New Roman" w:cs="Times New Roman"/>
        </w:rPr>
        <w:t xml:space="preserve"> </w:t>
      </w:r>
      <w:r>
        <w:rPr>
          <w:rFonts w:ascii="Sylfaen" w:hAnsi="Sylfaen" w:eastAsia="Sylfaen" w:cs="Sylfaen"/>
        </w:rPr>
        <w:t>ცოტა</w:t>
      </w:r>
      <w:r>
        <w:rPr>
          <w:rFonts w:ascii="Times New Roman" w:hAnsi="Times New Roman" w:eastAsia="Times New Roman" w:cs="Times New Roman"/>
        </w:rPr>
        <w:t xml:space="preserve"> </w:t>
      </w:r>
      <w:r>
        <w:rPr>
          <w:rFonts w:ascii="Sylfaen" w:hAnsi="Sylfaen" w:eastAsia="Sylfaen" w:cs="Sylfaen"/>
        </w:rPr>
        <w:t>შორსაც</w:t>
      </w:r>
      <w:r>
        <w:rPr>
          <w:rFonts w:ascii="Times New Roman" w:hAnsi="Times New Roman" w:eastAsia="Times New Roman" w:cs="Times New Roman"/>
        </w:rPr>
        <w:t xml:space="preserve"> </w:t>
      </w:r>
      <w:r>
        <w:rPr>
          <w:rFonts w:ascii="Sylfaen" w:hAnsi="Sylfaen" w:eastAsia="Sylfaen" w:cs="Sylfaen"/>
        </w:rPr>
        <w:t>წავიდნენ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უარყონ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ღმერთს</w:t>
      </w:r>
      <w:r>
        <w:rPr>
          <w:rFonts w:ascii="Times New Roman" w:hAnsi="Times New Roman" w:eastAsia="Times New Roman" w:cs="Times New Roman"/>
        </w:rPr>
        <w:t xml:space="preserve"> </w:t>
      </w:r>
      <w:r>
        <w:rPr>
          <w:rFonts w:ascii="Sylfaen" w:hAnsi="Sylfaen" w:eastAsia="Sylfaen" w:cs="Sylfaen"/>
        </w:rPr>
        <w:t>ოდესმე</w:t>
      </w:r>
      <w:r>
        <w:rPr>
          <w:rFonts w:ascii="Times New Roman" w:hAnsi="Times New Roman" w:eastAsia="Times New Roman" w:cs="Times New Roman"/>
        </w:rPr>
        <w:t xml:space="preserve"> </w:t>
      </w:r>
      <w:r>
        <w:rPr>
          <w:rFonts w:ascii="Sylfaen" w:hAnsi="Sylfaen" w:eastAsia="Sylfaen" w:cs="Sylfaen"/>
        </w:rPr>
        <w:t>სიზმრით</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ხილვით</w:t>
      </w:r>
      <w:r>
        <w:rPr>
          <w:rFonts w:ascii="Times New Roman" w:hAnsi="Times New Roman" w:eastAsia="Times New Roman" w:cs="Times New Roman"/>
        </w:rPr>
        <w:t xml:space="preserve"> </w:t>
      </w:r>
      <w:r>
        <w:rPr>
          <w:rFonts w:ascii="Sylfaen" w:hAnsi="Sylfaen" w:eastAsia="Sylfaen" w:cs="Sylfaen"/>
        </w:rPr>
        <w:t>გამოეცხადებინა</w:t>
      </w:r>
      <w:r>
        <w:rPr>
          <w:rFonts w:ascii="Times New Roman" w:hAnsi="Times New Roman" w:eastAsia="Times New Roman" w:cs="Times New Roman"/>
        </w:rPr>
        <w:t xml:space="preserve"> </w:t>
      </w:r>
      <w:r>
        <w:rPr>
          <w:rFonts w:ascii="Sylfaen" w:hAnsi="Sylfaen" w:eastAsia="Sylfaen" w:cs="Sylfaen"/>
        </w:rPr>
        <w:t>თავი</w:t>
      </w:r>
      <w:r>
        <w:rPr>
          <w:rFonts w:ascii="Times New Roman" w:hAnsi="Times New Roman" w:eastAsia="Times New Roman" w:cs="Times New Roman"/>
        </w:rPr>
        <w:t xml:space="preserve"> </w:t>
      </w:r>
      <w:r>
        <w:rPr>
          <w:rFonts w:ascii="Sylfaen" w:hAnsi="Sylfaen" w:eastAsia="Sylfaen" w:cs="Sylfaen"/>
        </w:rPr>
        <w:t>ადამიანისთვის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ყალბი</w:t>
      </w:r>
      <w:r>
        <w:rPr>
          <w:rFonts w:ascii="Times New Roman" w:hAnsi="Times New Roman" w:eastAsia="Times New Roman" w:cs="Times New Roman"/>
        </w:rPr>
        <w:t xml:space="preserve"> </w:t>
      </w:r>
      <w:r>
        <w:rPr>
          <w:rFonts w:ascii="Sylfaen" w:hAnsi="Sylfaen" w:eastAsia="Sylfaen" w:cs="Sylfaen"/>
        </w:rPr>
        <w:t>ყოველთვის</w:t>
      </w:r>
      <w:r>
        <w:rPr>
          <w:rFonts w:ascii="Times New Roman" w:hAnsi="Times New Roman" w:eastAsia="Times New Roman" w:cs="Times New Roman"/>
        </w:rPr>
        <w:t xml:space="preserve"> </w:t>
      </w:r>
      <w:r>
        <w:rPr>
          <w:rFonts w:ascii="Sylfaen" w:hAnsi="Sylfaen" w:eastAsia="Sylfaen" w:cs="Sylfaen"/>
        </w:rPr>
        <w:t>არსებობდა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“Ndoto na maono ni njia ambayo kwa hiyo Mungu amejifunua mwenyewe kwa mwanadamu. Kwa njia hii alisema na manabii; ameweka karama ya unabii miongoni mwa karama za kanisa la injili, na ameiweka ndoto na maono pamoja na ishara nyingine za ‘SIKU ZA MWISHO.’ Amina.</w:t>
      </w:r>
    </w:p>
    <w:p>
      <w:pPr>
        <w:pStyle w:val="ArticleScripture"/>
        <w:jc w:val="left"/>
      </w:pPr>
      <w:r>
        <w:rPr>
          <w:rFonts w:ascii="Times New Roman" w:hAnsi="Times New Roman" w:eastAsia="Times New Roman" w:cs="Times New Roman"/>
        </w:rPr>
        <w:t>“Mi objeto en las observaciones anteriores ha sido eliminar las objeciones de una manera escrituraria, y preparar la mente del lector para lo que sigue.</w:t>
      </w:r>
    </w:p>
    <w:p>
      <w:pPr>
        <w:pStyle w:val="ArticleScripture"/>
        <w:jc w:val="left"/>
      </w:pPr>
      <w:r>
        <w:rPr>
          <w:rFonts w:ascii="Times New Roman" w:hAnsi="Times New Roman" w:eastAsia="Times New Roman" w:cs="Times New Roman"/>
        </w:rPr>
        <w:t>« WM. MILLER, »</w:t>
      </w:r>
    </w:p>
    <w:p>
      <w:pPr>
        <w:pStyle w:val="ArticleScripture"/>
        <w:jc w:val="left"/>
      </w:pPr>
      <w:r>
        <w:rPr>
          <w:rFonts w:ascii="Times New Roman" w:hAnsi="Times New Roman" w:eastAsia="Times New Roman" w:cs="Times New Roman"/>
        </w:rPr>
        <w:t>«Low Hampton, N. Y., 3 décembre 1847.» James White, Le Songe de frère Miller, 1–6.</w:t>
      </w:r>
    </w:p>
    <w:p>
      <w:pPr>
        <w:pStyle w:val="ArticleScripture"/>
        <w:jc w:val="left"/>
      </w:pPr>
      <w:r>
        <w:rPr>
          <w:rFonts w:ascii="Times New Roman" w:hAnsi="Times New Roman" w:eastAsia="Times New Roman" w:cs="Times New Roman"/>
        </w:rPr>
        <w:t>“1. Le ‘casket’ représente les grandes vérités de la Bible relatives au second avènement de notre Seigneur Jésus-Christ, lesquelles ont été confiées à Brother Miller pour être publiées au monde.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២</w:t>
      </w:r>
      <w:r>
        <w:rPr>
          <w:rFonts w:ascii="Times New Roman" w:hAnsi="Times New Roman" w:eastAsia="Times New Roman" w:cs="Times New Roman"/>
        </w:rPr>
        <w:t>. ‘</w:t>
      </w:r>
      <w:r>
        <w:rPr>
          <w:rFonts w:ascii="Leelawadee UI" w:hAnsi="Leelawadee UI" w:eastAsia="Leelawadee UI" w:cs="Leelawadee UI"/>
        </w:rPr>
        <w:t>សោដែលភ្ជាប់មកជាមួយ</w:t>
      </w:r>
      <w:r>
        <w:rPr>
          <w:rFonts w:ascii="Times New Roman" w:hAnsi="Times New Roman" w:eastAsia="Times New Roman" w:cs="Times New Roman"/>
        </w:rPr>
        <w:t xml:space="preserve">’ </w:t>
      </w:r>
      <w:r>
        <w:rPr>
          <w:rFonts w:ascii="Leelawadee UI" w:hAnsi="Leelawadee UI" w:eastAsia="Leelawadee UI" w:cs="Leelawadee UI"/>
        </w:rPr>
        <w:t>គឺជាវិធីដែលគាត់បកស្រាយព្រះបន្ទូលទំនាយ</w:t>
      </w:r>
      <w:r>
        <w:rPr>
          <w:rFonts w:ascii="Times New Roman" w:hAnsi="Times New Roman" w:eastAsia="Times New Roman" w:cs="Times New Roman"/>
        </w:rPr>
        <w:t>—</w:t>
      </w:r>
      <w:r>
        <w:rPr>
          <w:rFonts w:ascii="Leelawadee UI" w:hAnsi="Leelawadee UI" w:eastAsia="Leelawadee UI" w:cs="Leelawadee UI"/>
        </w:rPr>
        <w:t>ដោយប្រៀបធៀបបទគម្ពីរនឹងបទគម្ពីរ</w:t>
      </w:r>
      <w:r>
        <w:rPr>
          <w:rFonts w:ascii="Times New Roman" w:hAnsi="Times New Roman" w:eastAsia="Times New Roman" w:cs="Times New Roman"/>
        </w:rPr>
        <w:t>—</w:t>
      </w:r>
      <w:r>
        <w:rPr>
          <w:rFonts w:ascii="Leelawadee UI" w:hAnsi="Leelawadee UI" w:eastAsia="Leelawadee UI" w:cs="Leelawadee UI"/>
        </w:rPr>
        <w:t>ព្រះគម្ពីរបកស្រាយខ្លួនវាឯង។</w:t>
      </w:r>
      <w:r>
        <w:rPr>
          <w:rFonts w:ascii="Times New Roman" w:hAnsi="Times New Roman" w:eastAsia="Times New Roman" w:cs="Times New Roman"/>
        </w:rPr>
        <w:t xml:space="preserve"> </w:t>
      </w:r>
      <w:r>
        <w:rPr>
          <w:rFonts w:ascii="Leelawadee UI" w:hAnsi="Leelawadee UI" w:eastAsia="Leelawadee UI" w:cs="Leelawadee UI"/>
        </w:rPr>
        <w:t>ដោយសោនេះ</w:t>
      </w:r>
      <w:r>
        <w:rPr>
          <w:rFonts w:ascii="Times New Roman" w:hAnsi="Times New Roman" w:eastAsia="Times New Roman" w:cs="Times New Roman"/>
        </w:rPr>
        <w:t xml:space="preserve"> </w:t>
      </w:r>
      <w:r>
        <w:rPr>
          <w:rFonts w:ascii="Leelawadee UI" w:hAnsi="Leelawadee UI" w:eastAsia="Leelawadee UI" w:cs="Leelawadee UI"/>
        </w:rPr>
        <w:t>បងប្អូន</w:t>
      </w:r>
      <w:r>
        <w:rPr>
          <w:rFonts w:ascii="Times New Roman" w:hAnsi="Times New Roman" w:eastAsia="Times New Roman" w:cs="Times New Roman"/>
        </w:rPr>
        <w:t xml:space="preserve"> Miller </w:t>
      </w:r>
      <w:r>
        <w:rPr>
          <w:rFonts w:ascii="Leelawadee UI" w:hAnsi="Leelawadee UI" w:eastAsia="Leelawadee UI" w:cs="Leelawadee UI"/>
        </w:rPr>
        <w:t>បានបើក</w:t>
      </w:r>
      <w:r>
        <w:rPr>
          <w:rFonts w:ascii="Times New Roman" w:hAnsi="Times New Roman" w:eastAsia="Times New Roman" w:cs="Times New Roman"/>
        </w:rPr>
        <w:t xml:space="preserve"> ‘</w:t>
      </w:r>
      <w:r>
        <w:rPr>
          <w:rFonts w:ascii="Leelawadee UI" w:hAnsi="Leelawadee UI" w:eastAsia="Leelawadee UI" w:cs="Leelawadee UI"/>
        </w:rPr>
        <w:t>ហិប</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សេចក្តីពិតដ៏មហិមាអំពីការយាងមកវិញ</w:t>
      </w:r>
      <w:r>
        <w:rPr>
          <w:rFonts w:ascii="Times New Roman" w:hAnsi="Times New Roman" w:eastAsia="Times New Roman" w:cs="Times New Roman"/>
        </w:rPr>
        <w:t xml:space="preserve"> </w:t>
      </w:r>
      <w:r>
        <w:rPr>
          <w:rFonts w:ascii="Leelawadee UI" w:hAnsi="Leelawadee UI" w:eastAsia="Leelawadee UI" w:cs="Leelawadee UI"/>
        </w:rPr>
        <w:t>ដល់ពិភពលោក។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«3. Les “joyaux, diamants, etc.” de “toutes sortes et de toutes tailles”, “si magnifiquement disposés chacun à sa place dans l’écrin”, représentent les enfants de Dieu, [Malachie 3:17,] issus de toutes les Églises, et de presque toutes les conditions et situations de la vie, qui reçurent la foi adventiste, et que l’on vit prendre une ferme position dans leurs divers postes, pour la sainte cause de la vérité. En avançant dans cet ordre, chacun s’attachant à son propre devoir, et marchant humblement devant Dieu, “ils réfléchissaient une lumière et une gloire” vers le monde, auxquelles seule l’Église aux jours des apôtres pouvait être comparée. Le message, [Apocalypse 14:6,7,] alla, pour ainsi dire, sur les ailes du vent, et l’invitation, “Venez, car tout est déjà prêt”, [Luc 14:17.] se répandit avec puissance et avec effet.»</w:t>
      </w:r>
    </w:p>
    <w:p>
      <w:pPr>
        <w:pStyle w:val="ArticleScripture"/>
        <w:jc w:val="left"/>
      </w:pPr>
      <w:r>
        <w:rPr>
          <w:rFonts w:ascii="Times New Roman" w:hAnsi="Times New Roman" w:eastAsia="Times New Roman" w:cs="Times New Roman"/>
        </w:rPr>
        <w:t>«4. “Die Leute begannen hereinzukommen, anfangs nur wenige an Zahl, doch es wuchs zu einer Menge an.” Als die Adventlehre zuerst von Bruder Miller und einigen sehr wenigen anderen gepredigt wurde, hatte sie nur geringe Wirkung, und nur sehr wenige wurden dadurch aufgeweckt; aber von 1840 bis 1844 wurde überall, wo sie gepredigt wurde, die ganze Gemeinschaft aufgerüttelt. »</w:t>
      </w:r>
    </w:p>
    <w:p>
      <w:pPr>
        <w:pStyle w:val="ArticleScripture"/>
        <w:jc w:val="left"/>
      </w:pPr>
      <w:r>
        <w:rPr>
          <w:rFonts w:ascii="Times New Roman" w:hAnsi="Times New Roman" w:eastAsia="Times New Roman" w:cs="Times New Roman"/>
        </w:rPr>
        <w:t>“5. Lorsque l’ange qui volait [Apocalypse 14:6–7] commença d’abord à prêcher la bonne nouvelle éternelle : « Craignez Dieu, et donnez-lui gloire, car l’heure de son jugement est venue », beaucoup poussèrent des cris de joie à la perspective de la venue de Jésus et du rétablissement, eux qui, par la suite, s’opposèrent à la vérité, s’en moquèrent et la tournèrent en dérision, alors qu’un peu auparavant elle les remplissait de joie. Ils troublèrent et dispersèrent les joyaux. Cela nous amène à l’automne de 1844, lorsque commença le temps de la dispersion. ”</w:t>
      </w:r>
    </w:p>
    <w:p>
      <w:pPr>
        <w:pStyle w:val="ArticleScripture"/>
        <w:jc w:val="left"/>
      </w:pPr>
      <w:r>
        <w:rPr>
          <w:rFonts w:ascii="Times New Roman" w:hAnsi="Times New Roman" w:eastAsia="Times New Roman" w:cs="Times New Roman"/>
        </w:rPr>
        <w:t>“Observez ceci : ce furent ceux qui, autrefois, ‘poussaient des cris de joie’, qui ont troublé et dispersé les joyaux. Et depuis 1844, nul n’a dispersé le troupeau ni ne l’a égaré aussi efficacement que ceux qui prêchaient autrefois la vérité et s’en réjouissaient, mais qui ont depuis renié l’œuvre de Dieu et l’accomplissement de la prophétie dans notre expérience adventiste passée.</w:t>
      </w:r>
    </w:p>
    <w:p>
      <w:pPr>
        <w:pStyle w:val="ArticleScripture"/>
        <w:jc w:val="left"/>
      </w:pPr>
      <w:r>
        <w:rPr>
          <w:rFonts w:ascii="Times New Roman" w:hAnsi="Times New Roman" w:eastAsia="Times New Roman" w:cs="Times New Roman"/>
        </w:rPr>
        <w:t>«6. Les “bijoux falsifiés et la monnaie contrefaite” qui étaient dispersés parmi les authentiques représentent clairement de faux convertis, ou des “enfants étrangers” [Osée 5:7], depuis que la porte a été fermée en 1844. »</w:t>
      </w:r>
    </w:p>
    <w:p>
      <w:pPr>
        <w:pStyle w:val="ArticleScripture"/>
        <w:jc w:val="left"/>
      </w:pPr>
      <w:r>
        <w:rPr>
          <w:rFonts w:ascii="Times New Roman" w:hAnsi="Times New Roman" w:eastAsia="Times New Roman" w:cs="Times New Roman"/>
        </w:rPr>
        <w:t>«7. La “terre et les copeaux, le sable et toutes sortes d’ordures” représentent les erreurs diverses et nombreuses qui ont été introduites parmi les croyants au second avènement depuis l’automne de 1844. J’en signalerai ici quelques-unes. »</w:t>
      </w:r>
    </w:p>
    <w:p>
      <w:pPr>
        <w:pStyle w:val="ArticleScripture"/>
        <w:jc w:val="left"/>
      </w:pPr>
      <w:r>
        <w:rPr>
          <w:rFonts w:ascii="Times New Roman" w:hAnsi="Times New Roman" w:eastAsia="Times New Roman" w:cs="Times New Roman"/>
        </w:rPr>
        <w:t>«1. موقفی را که برخی از «شبّان» بی‌پروا بلافاصله پس از داده‌شدنِ ندای نیمه‌شب اتخاذ کردند، این بود که آن قدرتِ جِدّی و دل‌گدازِ روح‌القدس که حرکتِ ماهِ هفتم را همراهی می‌کرد، نفوذی مِسْمِری بود. جرج استورس از نخستین کسانی بود که این موضع را گرفت. نوشته‌های او را در بخش پایانی سال 1844، در نشریهٔ Midnight-Cry که آن زمان در شهر نیویورک منتشر می‌شد، بنگرید. ج. و. هایمز، در کنفرانس آلبانی در بهار 1845، گفت که حرکتِ ماهِ هفتم، مِسْمِریسمی به عمق هفت پا پدید آورد. این را کسی که حاضر بود و آن سخن را شنید، به من گفته است. دیگرانی نیز که در ندای ماهِ هفتم نقشی فعال داشتند، از آن زمان به بعد آن حرکت را کارِ ابلیس اعلام کرده‌اند. نسبت‌دادنِ کارِ مسیح و روح‌القدس به ابلیس، در ایامِ نجات‌دهندهٔ ما کفر بود، و اکنون نیز کفر است. 2. آزمایش‌های بسیار دربارهٔ زمانِ معیّن. از آنجا که 2300 روز در 1844 پایان یافت، افراد گوناگون بارها زمان‌های متعددی را برای پایان‌یافتنِ آنها تعیین کرده‌اند. با این کار، آنان «نشانه‌های مرزی» را برداشته‌اند و بر سراسرِ جنبشِ ادونتی، تاریکی و تردید افکنده‌اند. 3. اسپیریتیسم با همهٔ خیالات و افراط‌هایش. این حیلهٔ ابلیس، که کارِ هولناکی از مرگ به بار آورده است، به‌درستی با «پوشال چوب» و «هرگونه خاشاک» نمایش داده شده است. بسیاری از کسانی که زهرِ اسپیریتیسم را فروبردند، حقانیتِ تجربهٔ گذشتهٔ ادونتیِ ما را پذیرفتند، و از همین واقعیت، بسیاری به این باور کشانده شده‌اند که اسپیریتیسم ثمرهٔ طبیعیِ این اعتقاد بود که خدا هدایت‌کنندهٔ جنبش‌های بزرگ ادونتی در 1843 و 1844 بوده است. پطرس، دربارهٔ کسانی که «بدعت‌های هلاک‌کننده را پنهانی خواهند آورد، و حتی خداوندی را که ایشان را خریده است انکار خواهند کرد»، می‌گوید: «به سببِ ایشان، طریقِ حق موردِ بدگویی قرار خواهد گرفت.» 4. اس. اس. اسنو که ادعا می‌کرد «ایلیای نبی» است. این مرد نیز در سیرِ شگفت و افسارگسیختهٔ خود، نقش خویش را در این کارِ مرگ ایفا کرده است، و روش او گرایشی پدید آورده است که جایگاهِ راستینِ مقدسانِ منتظر را در ذهنِ بسیاری از جان‌های صادق، به بدنامی کشاند.»</w:t>
      </w:r>
    </w:p>
    <w:p>
      <w:pPr>
        <w:pStyle w:val="ArticleScripture"/>
        <w:jc w:val="left"/>
      </w:pPr>
      <w:r>
        <w:rPr>
          <w:rFonts w:ascii="Times New Roman" w:hAnsi="Times New Roman" w:eastAsia="Times New Roman" w:cs="Times New Roman"/>
        </w:rPr>
        <w:t>“Kwa orodha hii ya makosa ningeweza kuongeza mengi zaidi, kama vile ile ‘miaka elfu’ ya Ufunuo 20:4, 7, kuwa katika wakati uliopita, wale 144,000 wa Ufunuo 7:4; 14:1, wale ‘waliofufuka, wakatoka makaburini’ baada ya ufufuo wa Kristo, fundisho la kutofanya kazi, fundisho la kuangamizwa kwa watoto wachanga, n.k. n.k. Makosa haya yalienezwa kwa bidii kubwa sana, na kusisitizwa kwa kundi lililokuwa likingoja, hata kwamba, wakati ule Ndugu Miller alipoota ndoto ile, johari za kweli zilikuwa ‘zimefichwa zisionekane,’ na maneno ya nabii yalikuwa ya kutumika—‘Na hukumu imerudishwa nyuma, na haki imesimama mbali,’ n.k. n.k. Tazama Isaya 56:14.”</w:t>
      </w:r>
    </w:p>
    <w:p>
      <w:pPr>
        <w:pStyle w:val="ArticleScripture"/>
        <w:jc w:val="left"/>
      </w:pPr>
      <w:r>
        <w:rPr>
          <w:rFonts w:ascii="Times New Roman" w:hAnsi="Times New Roman" w:eastAsia="Times New Roman" w:cs="Times New Roman"/>
        </w:rPr>
        <w:t>“Ko ha taimi ko ia, naʻe ʻikai ha pepa ʻAtiveni ʻe taha ʻi he fonua naʻe poupou ki he taumuʻa ʻo e moʻoni ʻo e taimi ní. Ko e ‘Day-Dawn’ ko e pepa fakaʻosi ia naʻá ne maluʻi ʻa e tuʻuanga moʻoni ʻa e fanga-siʻi; ka naʻe mate ia ʻi ha ngaahi māhina lahi kimuʻa pea foaki ʻe he ʻEiki ki he Tokoua ko Miller ʻa e misi ko ení; pea ʻi hono fāinga fakaʻosi ʻi heʻene mate, naʻá ne fakahinohino ʻa e kau mātuʻaki ʻosikiavelenga mo mapuhoi ki he 1877, ʻa ia ʻi he taimi ko iá naʻe kei mamaʻo ʻi he taʻu ʻe tolungofulu, ko e taimi ʻo ʻenau fakahaofi fakaʻosi. ʻAue! ʻAue! ʻIkai ko e meʻa fakaʻohovale ai ke pehē, ʻi heʻene misi, naʻe ‘tangutu hifo ʻo tangi’ ʻa e Tokoua ko Miller koeʻuhi ko e tuʻunga mamahi ko eni ʻo e ngaahi meʻá.”</w:t>
      </w:r>
    </w:p>
    <w:p>
      <w:pPr>
        <w:pStyle w:val="ArticleScripture"/>
        <w:jc w:val="left"/>
      </w:pPr>
      <w:r>
        <w:rPr>
          <w:rFonts w:ascii="Times New Roman" w:hAnsi="Times New Roman" w:eastAsia="Times New Roman" w:cs="Times New Roman"/>
        </w:rPr>
        <w:t>“8. Kivor, reprezante laverite lo lavennman ki Frer Miller ti pibliye devan lemonn antye, parey sa in ganny dekrir dan parabol dis vyerz. Matye 25:1–11. Premyerman letan an, 1843, dezyenmman letan reto a, trwazyenmman kri a minwi, dan setyenm mwan, 1844, e katriyenmman, laport fermen. Personn ki’n lir bann zournal Dezyenm Lavennman depi 1843 pa pou kapab krwar ki Frer Miller in soutir sa kat pwen enportan dan listwar lavennman. Sa sistenm laverite annarmoni ouswa sa ‘kivor’ in ganny desir an morso, e gaye parmi bann debri par bann ki’n rezet zot prop leksperyans, e ki’n renye bann menm laverite ki zot, ansanm avek Frer Miller, ti pres avek bokou kouraz devan lemonn.”</w:t>
      </w:r>
    </w:p>
    <w:p>
      <w:pPr>
        <w:pStyle w:val="ArticleScripture"/>
        <w:jc w:val="left"/>
      </w:pPr>
      <w:r>
        <w:rPr>
          <w:rFonts w:ascii="Times New Roman" w:hAnsi="Times New Roman" w:eastAsia="Times New Roman" w:cs="Times New Roman"/>
        </w:rPr>
        <w:t xml:space="preserve">«9.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जससँग</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 xml:space="preserve"> </w:t>
      </w:r>
      <w:r>
        <w:rPr>
          <w:rFonts w:ascii="Nirmala UI" w:hAnsi="Nirmala UI" w:eastAsia="Nirmala UI" w:cs="Nirmala UI"/>
        </w:rPr>
        <w:t>झार्ने</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ज्योतिलाई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सन्देशद्वारा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14:9–12,]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अवशेषबाट</w:t>
      </w:r>
      <w:r>
        <w:rPr>
          <w:rFonts w:ascii="Times New Roman" w:hAnsi="Times New Roman" w:eastAsia="Times New Roman" w:cs="Times New Roman"/>
        </w:rPr>
        <w:t xml:space="preserve"> </w:t>
      </w:r>
      <w:r>
        <w:rPr>
          <w:rFonts w:ascii="Nirmala UI" w:hAnsi="Nirmala UI" w:eastAsia="Nirmala UI" w:cs="Nirmala UI"/>
        </w:rPr>
        <w:t>भूलहरूलाई</w:t>
      </w:r>
      <w:r>
        <w:rPr>
          <w:rFonts w:ascii="Times New Roman" w:hAnsi="Times New Roman" w:eastAsia="Times New Roman" w:cs="Times New Roman"/>
        </w:rPr>
        <w:t xml:space="preserve"> </w:t>
      </w:r>
      <w:r>
        <w:rPr>
          <w:rFonts w:ascii="Nirmala UI" w:hAnsi="Nirmala UI" w:eastAsia="Nirmala UI" w:cs="Nirmala UI"/>
        </w:rPr>
        <w:t>हटाइरहेको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वसन्त</w:t>
      </w:r>
      <w:r>
        <w:rPr>
          <w:rFonts w:ascii="Times New Roman" w:hAnsi="Times New Roman" w:eastAsia="Times New Roman" w:cs="Times New Roman"/>
        </w:rPr>
        <w:t xml:space="preserve"> </w:t>
      </w:r>
      <w:r>
        <w:rPr>
          <w:rFonts w:ascii="Nirmala UI" w:hAnsi="Nirmala UI" w:eastAsia="Nirmala UI" w:cs="Nirmala UI"/>
        </w:rPr>
        <w:t>ऋतुमा</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अहिलेसम्म</w:t>
      </w:r>
      <w:r>
        <w:rPr>
          <w:rFonts w:ascii="Times New Roman" w:hAnsi="Times New Roman" w:eastAsia="Times New Roman" w:cs="Times New Roman"/>
        </w:rPr>
        <w:t xml:space="preserve"> </w:t>
      </w:r>
      <w:r>
        <w:rPr>
          <w:rFonts w:ascii="Nirmala UI" w:hAnsi="Nirmala UI" w:eastAsia="Nirmala UI" w:cs="Nirmala UI"/>
        </w:rPr>
        <w:t>उठ्दै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 xml:space="preserve"> </w:t>
      </w:r>
      <w:r>
        <w:rPr>
          <w:rFonts w:ascii="Nirmala UI" w:hAnsi="Nirmala UI" w:eastAsia="Nirmala UI" w:cs="Nirmala UI"/>
        </w:rPr>
        <w:t>झार्ने</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चलिरहेको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ज्योतिअगाडि</w:t>
      </w:r>
      <w:r>
        <w:rPr>
          <w:rFonts w:ascii="Times New Roman" w:hAnsi="Times New Roman" w:eastAsia="Times New Roman" w:cs="Times New Roman"/>
        </w:rPr>
        <w:t xml:space="preserve"> </w:t>
      </w:r>
      <w:r>
        <w:rPr>
          <w:rFonts w:ascii="Nirmala UI" w:hAnsi="Nirmala UI" w:eastAsia="Nirmala UI" w:cs="Nirmala UI"/>
        </w:rPr>
        <w:t>भूलहरू</w:t>
      </w:r>
      <w:r>
        <w:rPr>
          <w:rFonts w:ascii="Times New Roman" w:hAnsi="Times New Roman" w:eastAsia="Times New Roman" w:cs="Times New Roman"/>
        </w:rPr>
        <w:t xml:space="preserve"> </w:t>
      </w:r>
      <w:r>
        <w:rPr>
          <w:rFonts w:ascii="Nirmala UI" w:hAnsi="Nirmala UI" w:eastAsia="Nirmala UI" w:cs="Nirmala UI"/>
        </w:rPr>
        <w:t>हट्दै</w:t>
      </w:r>
      <w:r>
        <w:rPr>
          <w:rFonts w:ascii="Times New Roman" w:hAnsi="Times New Roman" w:eastAsia="Times New Roman" w:cs="Times New Roman"/>
        </w:rPr>
        <w:t xml:space="preserve"> </w:t>
      </w:r>
      <w:r>
        <w:rPr>
          <w:rFonts w:ascii="Nirmala UI" w:hAnsi="Nirmala UI" w:eastAsia="Nirmala UI" w:cs="Nirmala UI"/>
        </w:rPr>
        <w:t>गएका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अल्पकाल</w:t>
      </w:r>
      <w:r>
        <w:rPr>
          <w:rFonts w:ascii="Times New Roman" w:hAnsi="Times New Roman" w:eastAsia="Times New Roman" w:cs="Times New Roman"/>
        </w:rPr>
        <w:t xml:space="preserve"> </w:t>
      </w:r>
      <w:r>
        <w:rPr>
          <w:rFonts w:ascii="Nirmala UI" w:hAnsi="Nirmala UI" w:eastAsia="Nirmala UI" w:cs="Nirmala UI"/>
        </w:rPr>
        <w:t>अघिसम्म</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भूलद्वारा</w:t>
      </w:r>
      <w:r>
        <w:rPr>
          <w:rFonts w:ascii="Times New Roman" w:hAnsi="Times New Roman" w:eastAsia="Times New Roman" w:cs="Times New Roman"/>
        </w:rPr>
        <w:t xml:space="preserve"> </w:t>
      </w:r>
      <w:r>
        <w:rPr>
          <w:rFonts w:ascii="Nirmala UI" w:hAnsi="Nirmala UI" w:eastAsia="Nirmala UI" w:cs="Nirmala UI"/>
        </w:rPr>
        <w:t>ढाकिएका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दृष्टिबाट</w:t>
      </w:r>
      <w:r>
        <w:rPr>
          <w:rFonts w:ascii="Times New Roman" w:hAnsi="Times New Roman" w:eastAsia="Times New Roman" w:cs="Times New Roman"/>
        </w:rPr>
        <w:t xml:space="preserve"> </w:t>
      </w:r>
      <w:r>
        <w:rPr>
          <w:rFonts w:ascii="Nirmala UI" w:hAnsi="Nirmala UI" w:eastAsia="Nirmala UI" w:cs="Nirmala UI"/>
        </w:rPr>
        <w:t>ओझेलमा</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ज्योतिमा</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“Jewel ena ba no dema yi mu ne mfomso a wɔretew afi hɔ yi reyɛ ntɛmntɛm ara na ɛrenya ahoɔden kɛse bere biara, kosi sɛ wɔbɛhwehwɛ ahotefo no nyinaa mu wie, na wɔanya Onyankopɔn teasefo no nsɔano no. Fa eyi toto Hesekiel ti aduasa anan no ho, na wubehu sɛ Onyankopɔn ahyɛ bɔ sɛ ɔbɛboaboa ne nguankuw a wɔabɔ wɔn apete wɔ sum ne omununkum da yi mu no ano, efi afe 1844. Ansa na Yesu bɛba no, wɔbɛboaboa “nguankuw ketewa” no ano aba “gyidi no mu biakoyɛ” mu. Yesu redwira “ɔman soronko bi ama ne ho, a wɔyɛ nnwuma pa ho mmɔdenfo” seesei, na sɛ ɔba a, obehu ne “asafo a enni nkekae, anaasɛ nkekaw, anaasɛ biribi a ɛte saa.” “Ne awietewgua wɔ ne nsam, na ɔbɛtew ne pia no ho yiye pasaa, na wabɔ ne atoko no ano agu ne adekorabea mu, ne nea aka no.” Mateo 3:12.</w:t>
      </w:r>
    </w:p>
    <w:p>
      <w:pPr>
        <w:pStyle w:val="ArticleScripture"/>
        <w:jc w:val="left"/>
      </w:pPr>
      <w:r>
        <w:rPr>
          <w:rFonts w:ascii="Times New Roman" w:hAnsi="Times New Roman" w:eastAsia="Times New Roman" w:cs="Times New Roman"/>
        </w:rPr>
        <w:t>“10. Lɔfɔ sa gbãtɔ ji ‘truhãgã gã wu eye wònyo wu tã la’ si me wowɔ xexe ‘dzizɔ,’ ‘diamɔd’ kple ga siwo kpɔe ɖe afima, fia nyateƒe si le agbe me fifia la ƒe gbedoxɔ hãhã si me woaƒo alẽha si keklẽ ɖe afisiafi la nu, eyae nye 144,000, ame sia ame xɔ Mawu gbagbe la ƒe dzesi. Diamɔd xɔasi aɖeke magblɔ ɖe viviti me o. Ne hã wo dometɔ aɖewo menye gã wu atike ta kpɔɖeŋu o la, womakpɔ wo be meɖe o, eye womagblɔ wo ɖe go le ŋkeke sia me si Mawu le Eƒe dzizɔwo ƒom nu la. [Malaki 3:16–18] Ate ŋu dɔ Eƒe dɔla mawudɔlawo ɖa eye wòawɔ be woado go le ma enumake, abe alesi wòdo Lot go tso Sodom ene. ‘Aƒetu dɔ via aɖe le anyigba dzi la, Aƒetɔ la awɔe.’ ‘Atsi ta na e le dzɔdzɔenyenye me.’ Kpɔ Roma-tɔwo 9:28.” James White, Nyaŋɔŋlɔ siwo le nɔvi Miller ƒe Kuɖe la 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trente-cinq</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