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 Thelathini na Nane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Nirmala UI" w:hAnsi="Nirmala UI" w:eastAsia="Nirmala UI" w:cs="Nirmala UI"/>
        </w:rPr>
        <w:t>ত্রিশ</w:t>
      </w:r>
      <w:r>
        <w:rPr>
          <w:rFonts w:ascii="Arial" w:hAnsi="Arial" w:eastAsia="Arial" w:cs="Arial"/>
        </w:rPr>
        <w:t>-</w:t>
      </w:r>
      <w:r>
        <w:rPr>
          <w:rFonts w:ascii="Nirmala UI" w:hAnsi="Nirmala UI" w:eastAsia="Nirmala UI" w:cs="Nirmala UI"/>
        </w:rPr>
        <w:t>আট</w:t>
      </w:r>
      <w:r>
        <w:rPr>
          <w:rFonts w:ascii="Arial" w:hAnsi="Arial" w:eastAsia="Arial" w:cs="Arial"/>
        </w:rPr>
        <w:t xml:space="preserve"> </w:t>
      </w:r>
      <w:r>
        <w:rPr>
          <w:rFonts w:ascii="Nirmala UI" w:hAnsi="Nirmala UI" w:eastAsia="Nirmala UI" w:cs="Nirmala UI"/>
        </w:rPr>
        <w:t>নম্বর</w:t>
      </w:r>
    </w:p>
    <w:p>
      <w:pPr>
        <w:pStyle w:val="ArticleBody"/>
        <w:jc w:val="left"/>
      </w:pPr>
      <w:r>
        <w:rPr>
          <w:rFonts w:ascii="Times New Roman" w:hAnsi="Times New Roman" w:eastAsia="Times New Roman" w:cs="Times New Roman"/>
        </w:rPr>
        <w:t>The test of the Bread of Heaven was the omega test of discipleship in the days of Jesus, and it was also the omega in relation to the manna test that is represented in the alpha of ancient Israel’s covenant history. The beginning was manna; the end was the Bread of Heaven. The omega is always the largest, so the largest desertion of disciples marks Capernaum as the omega in the history of Christ and the test of discipleship.</w:t>
      </w:r>
    </w:p>
    <w:p>
      <w:pPr>
        <w:pStyle w:val="ArticleScripture"/>
        <w:jc w:val="left"/>
      </w:pPr>
      <w:r>
        <w:rPr>
          <w:rFonts w:ascii="Times New Roman" w:hAnsi="Times New Roman" w:eastAsia="Times New Roman" w:cs="Times New Roman"/>
        </w:rPr>
        <w:t>Ainsi parla Jésus à ses disciples : Si quelqu’un veut venir après moi, qu’il renonce à lui-même, qu’il se charge de sa croix, et qu’il me suive. Car quiconque voudra sauver sa vie la perdra ; mais quiconque perdra sa vie à cause de moi la trouvera. Et que servirait-il à un homme de gagner le monde entier, s’il perdait son âme ? Ou que donnera un homme en échange de son âme ? Car le Fils de l’homme viendra dans la gloire de son Père avec ses anges, et alors il rendra à chacun selon ses œuvres. En vérité, je vous le dis, quelques-uns de ceux qui sont ici ne goûteront point la mort, jusqu’à ce qu’ils aient vu le Fils de l’homme venant dans son règne. Matthieu 16:24–28.</w:t>
      </w:r>
    </w:p>
    <w:p>
      <w:pPr>
        <w:pStyle w:val="ArticleBody"/>
        <w:jc w:val="left"/>
      </w:pPr>
      <w:r>
        <w:rPr>
          <w:rFonts w:ascii="Times New Roman" w:hAnsi="Times New Roman" w:eastAsia="Times New Roman" w:cs="Times New Roman"/>
        </w:rPr>
        <w:t>Capernaum ni mtihani wa omega. Mtihani wa Kapernaumu ni mtihani wa mafuta katika mfano wa mabikira kumi; huo huanza katika kilio cha usiku wa manane, na huanzisha kipindi kinachojumuisha mabikira wapumbavu kutambua kwamba hawana mafuta. Kisha huanza kuingiwa na hofu wanapokaribia mlango unaofungwa wa sheria ya Jumapili, kama inavyowakilishwa katika msiba wa Kapernaumu katika Yohana 6:66. Kiunabii wao “wanaaibika.”</w:t>
      </w:r>
    </w:p>
    <w:p>
      <w:pPr>
        <w:pStyle w:val="ArticleScripture"/>
        <w:jc w:val="left"/>
      </w:pPr>
      <w:r>
        <w:rPr>
          <w:rFonts w:ascii="Times New Roman" w:hAnsi="Times New Roman" w:eastAsia="Times New Roman" w:cs="Times New Roman"/>
        </w:rPr>
        <w:t>« Voici, les jours viennent, dit le Seigneur, l’Éternel, où j’enverrai une famine dans le pays, non une famine de pain, ni une soif d’eau, mais de l’audition des paroles de l’Éternel. Ils erreront d’une mer à l’autre, et du nord jusqu’à l’orient, ils iront çà et là pour chercher la parole de l’Éternel, et ils ne la trouveront pas. En ce jour-là, les belles vierges et les jeunes hommes défailliront de soif. Ceux qui jurent par le péché de Samarie, et qui disent : Ton dieu, ô Dan, est vivant ! et : La voie de Beer-Shéba est vivante ! ceux-là tomberont, et ne se relèveront jamais. » Amos 8:11–14.</w:t>
      </w:r>
    </w:p>
    <w:p>
      <w:pPr>
        <w:pStyle w:val="ArticleBody"/>
        <w:jc w:val="left"/>
      </w:pPr>
      <w:r>
        <w:rPr>
          <w:rFonts w:ascii="Times New Roman" w:hAnsi="Times New Roman" w:eastAsia="Times New Roman" w:cs="Times New Roman"/>
        </w:rPr>
        <w:t>Kapernaumdaki omega sınaması, 2024 yılının temel sınamasını izleyen omega sınamasını simgeler. Omega sınaması, gelinin Pazar yasasından önce mühürlendiği yerdir. Ayrılığın sonsuza dek kesinleştiği yer burasıdır; çünkü o bir kez arındığında, artık yabancılar (Uluslar) bir daha sonsuza dek Yeruşalim’in içinden geçmeyeceklerdir.</w:t>
      </w:r>
    </w:p>
    <w:p>
      <w:pPr>
        <w:pStyle w:val="ArticleScripture"/>
        <w:jc w:val="left"/>
      </w:pPr>
      <w:r>
        <w:rPr>
          <w:rFonts w:ascii="Times New Roman" w:hAnsi="Times New Roman" w:eastAsia="Times New Roman" w:cs="Times New Roman"/>
        </w:rPr>
        <w:t>Ku Yehova ni we na we azororera i Siyoni, kandi akumvikanisha ijwi rye ari i Yerusalemu; maze ijuru n’isi bizanyeganyega; ariko Yehova azaba ibyiringiro by’ubwoko bwe, n’imbaraga z’abana ba Isirayeli. Ni bwo muzamenya ko ndi Yehova Imana yanyu, uba i Siyoni, umusozi wanjye wera; maze Yerusalemu hazaba hera, kandi nta banyamahanga bazongera kuhanyura ukundi.</w:t>
      </w:r>
    </w:p>
    <w:p>
      <w:pPr>
        <w:pStyle w:val="ArticleScripture"/>
        <w:jc w:val="left"/>
      </w:pPr>
      <w:r>
        <w:rPr>
          <w:rFonts w:ascii="Times New Roman" w:hAnsi="Times New Roman" w:eastAsia="Times New Roman" w:cs="Times New Roman"/>
        </w:rPr>
        <w:t>Na kutatimia siku hiyo, ya kwamba milima itadondosha divai mpya, na vilima vitatiririka maziwa, na mito yote ya Yuda itatiririka maji, na chemchemi itatoka katika nyumba ya Bwana, nayo itamwagilia bonde la Shitimu.</w:t>
      </w:r>
    </w:p>
    <w:p>
      <w:pPr>
        <w:pStyle w:val="ArticleScripture"/>
        <w:jc w:val="left"/>
      </w:pPr>
      <w:r>
        <w:rPr>
          <w:rFonts w:ascii="Times New Roman" w:hAnsi="Times New Roman" w:eastAsia="Times New Roman" w:cs="Times New Roman"/>
        </w:rPr>
        <w:t>Egipti izakuwa ukiwa, na Edomu itakuwa jangwa tupu, kwa sababu ya jeuri dhidi ya wana wa Yuda, kwa kuwa wamemwaga damu isiyo na hatia katika nchi yao. Lakini Yuda itakaa milele, na Yerusalemu kizazi baada ya kizazi. Kwa maana nitasafisha damu yao ambayo sikuisafisha; kwa kuwa Bwana anakaa katika Sayuni. Yoeli 3:16–21.</w:t>
      </w:r>
    </w:p>
    <w:p>
      <w:pPr>
        <w:pStyle w:val="ArticleBody"/>
        <w:jc w:val="left"/>
      </w:pPr>
      <w:r>
        <w:rPr>
          <w:rFonts w:ascii="Times New Roman" w:hAnsi="Times New Roman" w:eastAsia="Times New Roman" w:cs="Times New Roman"/>
        </w:rPr>
        <w:t>Երուսաղեմը մաքրվում է մեղքից քննական դատաստանի վերջին փուլերում, որը Զաքարիա մարգարեի երրորդ գլխում այն պահն է, երբ Հեսուին տրվում է սպիտակ կտավյա փիլադելփիական հանդերձը՝ փոխարինելու կեղտոտ լաոդիկեական հանդերձը։ «Այն ժամանակ Երուսաղեմն սուրբ կլինի, և այլևս օտարներ չեն անցնի նրա միջով», որովհետև ցորենը բաժանվել է որոմներից և հավաքվել՝ որպես առաջին պտղի ընծա։ Սա տեղի է ունենում օմեգայի փորձության ժամանակ, և տեղի է ունենում այն ժամանակ, երբ երկնքի պատուհանները բացվում են, և Հիսուսը գոհարները գցում է զարդատուփի մեջ ու աշխարհին ասում է. «Եկե՛ք և տեսե՛ք»։ «Եկե՛ք և տեսե՛ք» իմ թագավորության դրոշը, իմ հարսին, իմ Ղևտացիների ընծան, ինչպես հին օրերում։ «Եկե՛ք և տեսե՛ք» իմ տաճարը, իմ գոհարներով լի զարդատուփը, որոնցից յուրաքանչյուրը պատրաստված է որպես փառքի թագավորության պսակի մաս։</w:t>
      </w:r>
    </w:p>
    <w:p>
      <w:pPr>
        <w:pStyle w:val="ArticleBody"/>
        <w:jc w:val="left"/>
      </w:pP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2024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खिड़कियाँ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दुल्हन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उत्तरवृष्टि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खिड़कियों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उड़ा</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“Maels tiennent les quatre vents, représentés comme un cheval furieux cherchant à se déchaîner et à se ruer sur la face de toute la terre, portant sur son passage la destruction et la mort.</w:t>
      </w:r>
    </w:p>
    <w:p>
      <w:pPr>
        <w:pStyle w:val="ArticleScripture"/>
        <w:jc w:val="left"/>
      </w:pPr>
      <w:r>
        <w:rPr>
          <w:rFonts w:ascii="Times New Roman" w:hAnsi="Times New Roman" w:eastAsia="Times New Roman" w:cs="Times New Roman"/>
        </w:rPr>
        <w:t>« Devrions-nous dormir au seuil même du monde éternel ? Serions-nous engourdis, froids et morts ? Oh ! puissions-nous avoir dans nos Églises l’Esprit et le souffle de Dieu insufflés en son peuple, afin qu’il se tienne sur ses pieds et qu’il vive. » Manuscript Releases, volume 20, 217.</w:t>
      </w:r>
    </w:p>
    <w:p>
      <w:pPr>
        <w:pStyle w:val="ArticleBody"/>
        <w:jc w:val="left"/>
      </w:pPr>
      <w:r>
        <w:rPr>
          <w:rFonts w:ascii="Times New Roman" w:hAnsi="Times New Roman" w:eastAsia="Times New Roman" w:cs="Times New Roman"/>
        </w:rPr>
        <w:t>Vedle, kdo odmítají ono poselství východního větru islámu, jsou větrem vyváti oknem ven — právě tím symbolem své vzpoury. Smetiště bludu je navždy připojeno k pošetilé třídě, která nemá olej. Efrajim se znovu spojil se svými modlami. Odmítli rozmnožení poznání času pečetění a jeho vztah k islámu třetího běda. Bůh promění slávu jejich padělaného poselství pozdního deště v „hanbu“.</w:t>
      </w:r>
    </w:p>
    <w:p>
      <w:pPr>
        <w:pStyle w:val="ArticleScripture"/>
        <w:jc w:val="left"/>
      </w:pP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जाऊँगा।</w:t>
      </w:r>
    </w:p>
    <w:p>
      <w:pPr>
        <w:pStyle w:val="ArticleScripture"/>
        <w:jc w:val="left"/>
      </w:pPr>
      <w:r>
        <w:rPr>
          <w:rFonts w:ascii="Times New Roman" w:hAnsi="Times New Roman" w:eastAsia="Times New Roman" w:cs="Times New Roman"/>
        </w:rPr>
        <w:t>Keď sa rozmnožili, tak zhrešili proti mne; preto zamením ich slávu za hanbu. Požierajú hriech môjho ľudu a po jeho neprávosti túži ich srdce. A bude: aký ľud, taký kňaz; potrescem ich za ich cesty a odplatím im ich skutky. Budú jesť, a nebudú mať dosť; budú smilniť, a nerozmnožia sa, pretože prestali dbať na Hospodina. Smilstvo, víno a mušt odnímajú srdce. Môj ľud sa radí so svojím drevom a jeho palica mu zvestuje; lebo duch smilstva ich zviedol a smilnili odvrátiac sa od svojho Boha. Obetujú na vrchoch hôr a pália kadidlo na pahorkoch, pod dubmi, topoľmi a terebintmi, lebo ich tieň je príjemný; preto budú vaše dcéry smilniť a vaše nevesty cudzoložiť. Nebudem trestať vaše dcéry, keď smilnia, ani vaše nevesty, keď cudzoložia; lebo sami sa oddeľujú s neviestkami a obetujú s pobehlicami; preto ľud, ktorý nemá rozumu, padne.</w:t>
      </w:r>
    </w:p>
    <w:p>
      <w:pPr>
        <w:pStyle w:val="ArticleScripture"/>
        <w:jc w:val="left"/>
      </w:pPr>
      <w:r>
        <w:rPr>
          <w:rFonts w:ascii="Times New Roman" w:hAnsi="Times New Roman" w:eastAsia="Times New Roman" w:cs="Times New Roman"/>
        </w:rPr>
        <w:t>Nangona wena, Sirayeli, uhamba njengomfazi olihenyukazi, makangoni uYuda; yaye musani ukuya eGilgali, ninganyuki niye eBhethaven, ningafungi nithi, UYehova uyaphila. Kuba uSirayeli uyaduduzela emva njengenkomo emfazi ebuya umva; ngoku uYehova uya kubalusa njengemvana endaweni ebanzi.</w:t>
      </w:r>
    </w:p>
    <w:p>
      <w:pPr>
        <w:pStyle w:val="ArticleScripture"/>
        <w:jc w:val="left"/>
      </w:pPr>
      <w:r>
        <w:rPr>
          <w:rFonts w:ascii="Times New Roman" w:hAnsi="Times New Roman" w:eastAsia="Times New Roman" w:cs="Times New Roman"/>
        </w:rPr>
        <w:t>Efraim amabatanye n’ibigirwamana; nimureke wenyine.</w:t>
      </w:r>
    </w:p>
    <w:p>
      <w:pPr>
        <w:pStyle w:val="ArticleScripture"/>
        <w:jc w:val="left"/>
      </w:pPr>
      <w:r>
        <w:rPr>
          <w:rFonts w:ascii="Times New Roman" w:hAnsi="Times New Roman" w:eastAsia="Times New Roman" w:cs="Times New Roman"/>
        </w:rPr>
        <w:t>Leur breuvage est tourné à l’aigre : ils se livrent sans cesse à la prostitution ; ses chefs aiment avec honte : Donnez ! Le vent l’a enveloppée dans ses ailes, et ils auront honte à cause de leurs sacrifices. Osée 4:6–19.</w:t>
      </w:r>
    </w:p>
    <w:p>
      <w:pPr>
        <w:pStyle w:val="ArticleBody"/>
        <w:jc w:val="left"/>
      </w:pPr>
      <w:r>
        <w:rPr>
          <w:rFonts w:ascii="Times New Roman" w:hAnsi="Times New Roman" w:eastAsia="Times New Roman" w:cs="Times New Roman"/>
        </w:rPr>
        <w:t>La ordure qui est ôtée, ce sont à la fois les vierges folles et les doctrines erronées auxquelles elles se sont attachées. Nous sommes ce que nous mangeons, et elles ont rejeté le message du vent d’orient, choisissant au contraire le mensonge qui entraîne à sa suite une puissante séduction, et elles se sont unies à leur message contrefait de paix et de sûreté, présenté comme la pluie de l’arrière-saison. Le vin nouveau de Joël est retranché de leur bouche, précisément là où Jérémie devient la bouche de Dieu.</w:t>
      </w:r>
    </w:p>
    <w:p>
      <w:pPr>
        <w:pStyle w:val="ArticleScripture"/>
        <w:jc w:val="left"/>
      </w:pPr>
      <w:r>
        <w:rPr>
          <w:rFonts w:ascii="Times New Roman" w:hAnsi="Times New Roman" w:eastAsia="Times New Roman" w:cs="Times New Roman"/>
        </w:rPr>
        <w:t>“A lahin a fɔli, mɔgɔw bɛ a fɔli-bɔ-la lahin. U bɛ se ka Ala sariyaba taara, ka sariyaba-da-faanga tugu. A ka nɔgɔn cogo kelen de ye ka tugu-jɛsɛli ni teoriw kɛ togon ye, i n’a fɔ ka yiri walima kɔgɔlan togon da. Ni Sutana y’a Ala la sigiyɛrɛw jira-jalan, a bɛ mɔgɔw to k’a hakili la A kan ni nɔɔrɔ-jugu dɔ ye. Mɔgɔ caman fɛ, falsafaw togon dɔ bɛ sigi Yehowa yɔrɔ la; nka Ala ɲɛnamaya, i n’a fɔ cogo min na A bɛ jira A ka kuma la, Kristo la, ani dafa-fɛnw dilan kɛlaw la, o bɛ bato fɛ ka dɔrɔn. Wuli-jɛga wuli-jɛga bɛ dɔgɔya dafa-baarakɛla bato, ka dafa-baarakɛla Ala tugu. Hali ni a ka jira cogoya wɛrɛ de ye, togon-bato bɛ sɔrɔ Kristo dunɲa la bi hakɛ tɔɔrɔ cogo kelen na ni a bɛ yen Isirayɛli kɔrɔ la Eliya tilew la. Ala min ye mɔgɔ hakilitigiw caman ta ye sariya fɔlila—falsafikɛlaw, sɛbɛnnikkɛlaw, politisiyɛnw, kibaru-sɛbɛnnikɛlaw—Ala min ye mɔgɔ kɛlɛnjugu, fasiya-taara-sigida-law bɔlenw ta ye, ani kalansow caman ni yunivɛrsitiw, hali ani teolojiya kalansow dɔw fana ta ye, o tɛ jan ka bɔ Fenisiya tile-bato Baali ye.” The Great Controversy, 583.</w:t>
      </w:r>
    </w:p>
    <w:p>
      <w:pPr>
        <w:pStyle w:val="ArticleBody"/>
        <w:jc w:val="left"/>
      </w:pPr>
      <w:r>
        <w:rPr>
          <w:rFonts w:ascii="Times New Roman" w:hAnsi="Times New Roman" w:eastAsia="Times New Roman" w:cs="Times New Roman"/>
        </w:rPr>
        <w:t>A la séparation du vrai et du faux dans le songe de Miller, le vent emporte les vierges folles, tandis que le Seigneur scelle son épouse durant l’épreuve interne oméga de la fenêtre ouverte.</w:t>
      </w:r>
    </w:p>
    <w:p>
      <w:pPr>
        <w:pStyle w:val="ArticleScripture"/>
        <w:jc w:val="left"/>
      </w:pPr>
      <w:r>
        <w:rPr>
          <w:rFonts w:ascii="Times New Roman" w:hAnsi="Times New Roman" w:eastAsia="Times New Roman" w:cs="Times New Roman"/>
        </w:rPr>
        <w:t>Tazama, nitatuma mjumbe wangu, naye ataitengeneza njia mbele yangu; naye Bwana mnayemtafuta atakuja ghafula hekaluni mwake, yaani, mjumbe wa agano, mnayemfurahia; tazama, atakuja, asema Bwana wa majeshi. Lakini ni nani awezaye kustahimili siku ya kuja kwake? Naye ni nani atakayesimama atakapoonekana? Kwa maana yeye ni kama moto wa mtakasaji, na kama sabuni ya wafua nguo; naye ataketi kama mwenye kusafisha na kutakasa fedha; naye atawatakasa wana wa Lawi, na kuwasafisha kama dhahabu na fedha, ili wamtolee Bwana sadaka katika haki. Ndipo sadaka ya Yuda na ya Yerusalemu itakapompendeza Bwana, kama katika siku za kale, na kama katika miaka ya zamani. Malaki 3:1–4.</w:t>
      </w:r>
    </w:p>
    <w:p>
      <w:pPr>
        <w:pStyle w:val="ArticleBody"/>
        <w:jc w:val="left"/>
      </w:pPr>
      <w:r>
        <w:rPr>
          <w:rFonts w:ascii="Times New Roman" w:hAnsi="Times New Roman" w:eastAsia="Times New Roman" w:cs="Times New Roman"/>
        </w:rPr>
        <w:t>Les fils de Lévi sont les fils de ces Lévites qui furent fidèles lors de l’épreuve de l’image de la bête au temps d’Aaron, puis de nouveau lors de l’épreuve de l’image de la bête au temps de Jéroboam. Ce sont ceux qui franchissent l’épreuve de l’image de la bête, laquelle est l’épreuve par laquelle leur destinée éternelle est décidée, et l’épreuve qu’ils doivent traverser avec succès — avant que nous ne soyons scellés.</w:t>
      </w:r>
    </w:p>
    <w:p>
      <w:pPr>
        <w:pStyle w:val="ArticleScripture"/>
        <w:jc w:val="left"/>
      </w:pPr>
      <w:r>
        <w:rPr>
          <w:rFonts w:ascii="Times New Roman" w:hAnsi="Times New Roman" w:eastAsia="Times New Roman" w:cs="Times New Roman"/>
        </w:rPr>
        <w:t>« Le Seigneur m’a clairement montré que l’image de la bête sera formée avant la fin du temps de grâce ; car elle doit constituer la grande épreuve pour le peuple de Dieu, par laquelle sa destinée éternelle sera décidée. »</w:t>
      </w:r>
    </w:p>
    <w:p>
      <w:pPr>
        <w:pStyle w:val="ArticleScripture"/>
        <w:jc w:val="left"/>
      </w:pPr>
      <w:r>
        <w:rPr>
          <w:rFonts w:ascii="Times New Roman" w:hAnsi="Times New Roman" w:eastAsia="Times New Roman" w:cs="Times New Roman"/>
        </w:rPr>
        <w:t>«Ai là phép thử mà dân sự của Đức Chúa Trời phải trải qua trước khi họ được đóng ấn. Tất cả những ai chứng tỏ lòng trung thành của mình đối với Đức Chúa Trời bằng cách vâng giữ luật pháp Ngài, và khước từ việc chấp nhận một ngày sa-bát giả mạo, sẽ đứng dưới ngọn cờ của Chúa là Đức Giê-hô-va, và sẽ nhận lấy ấn của Đức Chúa Trời hằng sống. Còn những ai từ bỏ lẽ thật có nguồn gốc từ thiên thượng và chấp nhận ngày sa-bát Chủ nhật, sẽ nhận lấy dấu của con thú» The Seventh-day Adventist Bible Commentary, volume 7, 976.</w:t>
      </w:r>
    </w:p>
    <w:p>
      <w:pPr>
        <w:pStyle w:val="ArticleBody"/>
        <w:jc w:val="left"/>
      </w:pPr>
      <w:r>
        <w:rPr>
          <w:rFonts w:ascii="Times New Roman" w:hAnsi="Times New Roman" w:eastAsia="Times New Roman" w:cs="Times New Roman"/>
        </w:rPr>
        <w:t>L’épreuve de l’image de la bête est l’épreuve qui précède celle de la marque de la bête lors de la loi du dimanche, et elle doit être traversée avec succès avant que la porte ne se ferme.</w:t>
      </w:r>
    </w:p>
    <w:p>
      <w:pPr>
        <w:pStyle w:val="ArticleBody"/>
        <w:jc w:val="left"/>
      </w:pPr>
      <w:r>
        <w:rPr>
          <w:rFonts w:ascii="Times New Roman" w:hAnsi="Times New Roman" w:eastAsia="Times New Roman" w:cs="Times New Roman"/>
        </w:rPr>
        <w:t>Dë është prova që i pastron të drejtët dhe gjithashtu i ndan të drejtët nga të padrejtët. Dë është prova në të cilën Danieli, Shadraku, Meshaku dhe Abednegoja gjenden dukshëm më të hijshëm dhe më të shëndoshë se ata që hëngrën ushqimin babilonas. Njëra palë kishte ngrënë bukën e Qiellit dhe tjetra bukën e Babilonisë. Dë është prova e bukës në sinagogën e Kapernaumit.</w:t>
      </w:r>
    </w:p>
    <w:p>
      <w:pPr>
        <w:pStyle w:val="ArticleBody"/>
        <w:jc w:val="left"/>
      </w:pPr>
      <w:r>
        <w:rPr>
          <w:rFonts w:ascii="Times New Roman" w:hAnsi="Times New Roman" w:eastAsia="Times New Roman" w:cs="Times New Roman"/>
        </w:rPr>
        <w:t>À l’extérieur, le temps d’épreuve dans lequel nous nous trouvons maintenant est l’épreuve de l’image de la bête, c’est-à-dire l’union de l’Église et de l’État au sein des États-Unis. Le temps d’épreuve intérieur parallèle met en évidence une classe de vierges qui manifeste l’image de l’humanité, et une autre classe de vierges qui manifeste l’image de la Divinité unie à l’humanité. Après que Malachie a identifié la purification et l’épuration des Lévites, Dieu propose une épreuve.</w:t>
      </w:r>
    </w:p>
    <w:p>
      <w:pPr>
        <w:pStyle w:val="ArticleScripture"/>
        <w:jc w:val="left"/>
      </w:pPr>
      <w:r>
        <w:rPr>
          <w:rFonts w:ascii="Times New Roman" w:hAnsi="Times New Roman" w:eastAsia="Times New Roman" w:cs="Times New Roman"/>
        </w:rPr>
        <w:t>Et je m’approcherai de vous pour le jugement ; et je serai un témoin prompt contre les enchanteurs, contre les adultères, contre ceux qui jurent faussement, contre ceux qui oppriment le mercenaire dans son salaire, la veuve et l’orphelin, qui détournent l’étranger de son droit, et ne me craignent pas, dit l’Éternel des armées.</w:t>
      </w:r>
    </w:p>
    <w:p>
      <w:pPr>
        <w:pStyle w:val="ArticleScripture"/>
        <w:jc w:val="left"/>
      </w:pPr>
      <w:r>
        <w:rPr>
          <w:rFonts w:ascii="Times New Roman" w:hAnsi="Times New Roman" w:eastAsia="Times New Roman" w:cs="Times New Roman"/>
        </w:rPr>
        <w:t>Mert én, az ÚR, nem változom; azért ti, Jákób fiai, nem emésztettek meg. Malakiás 3:5, 6.</w:t>
      </w:r>
    </w:p>
    <w:p>
      <w:pPr>
        <w:pStyle w:val="ArticleBody"/>
        <w:jc w:val="left"/>
      </w:pPr>
      <w:r>
        <w:rPr>
          <w:rFonts w:ascii="Times New Roman" w:hAnsi="Times New Roman" w:eastAsia="Times New Roman" w:cs="Times New Roman"/>
        </w:rPr>
        <w:t>La première épreuve consiste à craindre Dieu, et la classe qui a échoué à l’épreuve du Messager de l’Alliance se voit ensuite adressée par cinq condamnations, une pour chacune des vierges folles, correspondant à l’état d’être misérable, pitoyable, pauvre, aveugle, nue ; cinq attributs prophétiques pour cinq vierges folles, résumés sous l’expression « et ne me craignez pas ». Ce sont ceux qui ont échoué à la première épreuve alpha fondamentale. Ils ont échoué parce qu’ils n’ont pas compris que Dieu ne change jamais. Ce sont ceux qui ont échoué à l’épreuve alpha externe fondamentale de 2024.</w:t>
      </w:r>
    </w:p>
    <w:p>
      <w:pPr>
        <w:pStyle w:val="ArticleScripture"/>
        <w:jc w:val="left"/>
      </w:pPr>
      <w:r>
        <w:rPr>
          <w:rFonts w:ascii="Times New Roman" w:hAnsi="Times New Roman" w:eastAsia="Times New Roman" w:cs="Times New Roman"/>
        </w:rPr>
        <w:t>«Unofanira kudzidza zvidzidzo kubva munhoroondo yekare; uye pfungwa dzinokwezverwa kuzvinhu izvi, kuti vose vanzwisise kuti Mwari anoshanda nenzira imwe chete zvino sezvaagara achiita. Ruoko rwake runoonekwa mubasa rake uye pakati pendudzi zvino, saizvozvowo sezvarwagara ruchionekwa kubvira pavakatanga kuparidzwa evhangeri kuna Adhamu muEdheni. »</w:t>
      </w:r>
    </w:p>
    <w:p>
      <w:pPr>
        <w:pStyle w:val="ArticleScripture"/>
        <w:jc w:val="left"/>
      </w:pPr>
      <w:r>
        <w:rPr>
          <w:rFonts w:ascii="Times New Roman" w:hAnsi="Times New Roman" w:eastAsia="Times New Roman" w:cs="Times New Roman"/>
        </w:rPr>
        <w:t>«ریښې داسې دورې شته چې د ملتونو او د کلیسا په تاریخ کې د بدلون ټکي وي. د خدای په تدبیر کې، کله چې دا بېلابېل بحرانونه راورسېږي، د هماغه وخت لپاره رڼا ورکول کېږي. که هغه ومنل شي، نو روحاني پرمختګ رامنځته کېږي؛ او که رد شي، نو روحاني زوال او تباهي ورپسې راځي. څښتن په خپله کلمه کې د انجیل تهاجمي کار څرګند کړی دی، لکه څنګه چې هغه په تېر وخت کې پر مخ وړل شوی دی، او په راتلونکي کې به هم وي، آن تر وروستۍ جګړې پورې، کله چې شیطاني ځواکونه به خپل وروستی حیرانوونکی خوځښت ترسره کړي.» Bible Echo, August 26, 1895.</w:t>
      </w:r>
    </w:p>
    <w:p>
      <w:pPr>
        <w:pStyle w:val="ArticleBody"/>
        <w:jc w:val="left"/>
      </w:pPr>
      <w:r>
        <w:rPr>
          <w:rFonts w:ascii="Times New Roman" w:hAnsi="Times New Roman" w:eastAsia="Times New Roman" w:cs="Times New Roman"/>
        </w:rPr>
        <w:t>Waxa dadka La’odikiya aanay arkayn ayaa ah in sida Ilaah ula macaamilo dadka weligeed isku mid tahay. Haddii nuurka, ama saliidda, la aqbalo, barako baa jirta; haddii kalese, waxaa imanaya burbur dhammaystiran.</w:t>
      </w:r>
    </w:p>
    <w:p>
      <w:pPr>
        <w:pStyle w:val="ArticleScripture"/>
        <w:jc w:val="left"/>
      </w:pPr>
      <w:r>
        <w:rPr>
          <w:rFonts w:ascii="Times New Roman" w:hAnsi="Times New Roman" w:eastAsia="Times New Roman" w:cs="Times New Roman"/>
        </w:rPr>
        <w:t>«Ժամանակների անցյալ դարերում երկնքի Տեր Աստված Իր գաղտնիքները հայտնել է Իր մարգարեներին։ Նրա համար ներկան և ապագան հավասարապես պարզ են։ Աստծու ձայնը դարերի միջով հնչում է՝ մարդուն հայտնելով, թե ինչ է լինելու։ Թագավորներն ու իշխանները իրենց տեղերն են զբաղեցնում իրենց նշանակված ժամանակին։ Նրանք կարծում են, թե իրականացնում են իրենց սեփական նպատակները, բայց իրականում կատարում են այն խոսքը, որ Աստված ասել է։»</w:t>
      </w:r>
    </w:p>
    <w:p>
      <w:pPr>
        <w:pStyle w:val="ArticleScripture"/>
        <w:jc w:val="left"/>
      </w:pPr>
      <w:r>
        <w:rPr>
          <w:rFonts w:ascii="Times New Roman" w:hAnsi="Times New Roman" w:eastAsia="Times New Roman" w:cs="Times New Roman"/>
        </w:rPr>
        <w:t>“Paulos menyatakan bahwa catatan mengenai tindakan-tindakan Allah terhadap umat manusia pada masa lampau ‘dituliskan untuk menjadi peringatan bagi kita, yang kepada kita kesudahan zaman telah datang.’ Riwayat Daniel diberikan kepada kita untuk menjadi peringatan bagi kita. ‘Rahasia TUHAN adalah bagi orang-orang yang takut akan Dia.’ Allah Daniel tetap hidup dan memerintah. Ia tidak menutup langit terhadap umat-Nya. Sebagaimana pada zaman Yahudi, demikian juga pada zaman ini, Allah menyatakan rahasia-rahasia-Nya kepada hamba-hamba-Nya, para nabi.”</w:t>
      </w:r>
    </w:p>
    <w:p>
      <w:pPr>
        <w:pStyle w:val="ArticleScripture"/>
        <w:jc w:val="left"/>
      </w:pPr>
      <w:r>
        <w:rPr>
          <w:rFonts w:ascii="Times New Roman" w:hAnsi="Times New Roman" w:eastAsia="Times New Roman" w:cs="Times New Roman"/>
        </w:rPr>
        <w:t>L’apôtre Pierre dit : « Nous avons aussi la parole prophétique, rendue plus certaine, à laquelle vous faites bien de prêter attention, comme à une lampe qui brille dans un lieu obscur, jusqu’à ce que le jour vienne à paraître et que l’étoile du matin se lève dans vos cœurs ; sachant tout d’abord qu’aucune prophétie de l’Écriture ne procède d’une interprétation particulière. Car ce n’est point par une volonté d’homme qu’une prophétie a jamais été apportée autrefois ; mais c’est poussés par le Saint-Esprit que des hommes saints de Dieu ont parlé. »</w:t>
      </w:r>
    </w:p>
    <w:p>
      <w:pPr>
        <w:pStyle w:val="ArticleScripture"/>
        <w:jc w:val="left"/>
      </w:pPr>
      <w:r>
        <w:rPr>
          <w:rFonts w:ascii="Times New Roman" w:hAnsi="Times New Roman" w:eastAsia="Times New Roman" w:cs="Times New Roman"/>
        </w:rPr>
        <w:t>Les incroyants et les impies ne discernent pas l’importance des signes des temps, annoncés dans la parole prophétique. Dans leur ignorance, ils peuvent refuser d’accepter le récit inspiré. Mais lorsque des chrétiens de profession parlent avec dérision des voies et des moyens employés par le grand JE SUIS pour faire connaître ses desseins, ils montrent qu’ils ignorent à la fois les Écritures et la puissance de Dieu. Le Créateur sait exactement avec quels éléments il a à traiter dans la nature humaine. Il sait quels moyens employer pour obtenir les résultats désirés.</w:t>
      </w:r>
    </w:p>
    <w:p>
      <w:pPr>
        <w:pStyle w:val="ArticleScripture"/>
        <w:jc w:val="left"/>
      </w:pPr>
      <w:r>
        <w:rPr>
          <w:rFonts w:ascii="Times New Roman" w:hAnsi="Times New Roman" w:eastAsia="Times New Roman" w:cs="Times New Roman"/>
        </w:rPr>
        <w:t>“Shabdkii aadmigu wuu fashilmaa. Kii ka dhigta hadallada dadka tiirsanaantiisa, si xaq ah buu u gariiri karaa; waayo, maalin buu noqon doonaa sida doon burburtay. Erayga Ilaah waa aan khaldami karin, wuuna sii jiraa weligiis. Masiixu wuxuu ku dhawaaqayaa, ‘Runtii waxaan idinku leeyahay, Ilaa samada iyo dhulku idlaan, hal yodh ama hal tix yarinnaba sharciga sinnaba kama gudbi doonto, ilaa wax walba la wada oofiyo.’ Erayga Ilaah wuxuu sii jiri doonaa qarniyada aan joogsiga lahayn ee daa’imadda oo dhan.” Youth Instructor, December 1, 1903.</w:t>
      </w:r>
    </w:p>
    <w:p>
      <w:pPr>
        <w:pStyle w:val="ArticleBody"/>
        <w:jc w:val="left"/>
      </w:pPr>
      <w:r>
        <w:rPr>
          <w:rFonts w:ascii="Times New Roman" w:hAnsi="Times New Roman" w:eastAsia="Times New Roman" w:cs="Times New Roman"/>
        </w:rPr>
        <w:t>Zoti nuk ndryshon kurrë dhe Ai vepron sipas të njëjtave parime siç ka vepruar gjithmonë.</w:t>
      </w:r>
    </w:p>
    <w:p>
      <w:pPr>
        <w:pStyle w:val="ArticleScripture"/>
        <w:jc w:val="left"/>
      </w:pPr>
      <w:r>
        <w:rPr>
          <w:rFonts w:ascii="Times New Roman" w:hAnsi="Times New Roman" w:eastAsia="Times New Roman" w:cs="Times New Roman"/>
        </w:rPr>
        <w:t>«Құдайдың жер бетіндегі ісі әр дәуірден екінші дәуірге дейін әрбір ұлы реформаның немесе діни қозғалыстың барысында таңғаларлық ұқсастық танытады. Құдайдың адамдармен әрекет ету қағидаттары әрқашан бірдей. Қазіргі уақыттағы маңызды қозғалыстардың өткен дәуірлердегі қозғалыстармен өз параллелі бар, ал бұрынғы ғасырлардағы қауымның тәжірибесі біздің өз уақытымыз үшін аса құнды сабақтар береді». Ұлы Күрес, 343.</w:t>
      </w:r>
    </w:p>
    <w:p>
      <w:pPr>
        <w:pStyle w:val="ArticleBody"/>
        <w:jc w:val="left"/>
      </w:pPr>
      <w:r>
        <w:rPr>
          <w:rFonts w:ascii="Times New Roman" w:hAnsi="Times New Roman" w:eastAsia="Times New Roman" w:cs="Times New Roman"/>
        </w:rPr>
        <w:t>Malaquias capítulo três, nos seus primeiros quatro versículos, identifica o mensageiro que prepara o caminho para o Mensageiro da Aliança, bem como a expurgação e a purificação dos levitas. Então o Senhor pronuncia juízo sobre Laodiceia, identificando que eles não temem a Deus, o que significa que fracassaram na prova fundamental, o alfa, do terceiro anjo. Sua falta de temor representa uma rejeição deliberada do conhecimento, e o contexto do conhecimento que recusam é a aceitação da história do mensageiro que prepara o caminho e do Mensageiro divino que o segue. Todos os profetas identificam os últimos dias, e não haveria razão para identificar um movimento reformador falsificado, se não houvesse um genuíno.</w:t>
      </w:r>
    </w:p>
    <w:p>
      <w:pPr>
        <w:pStyle w:val="ArticleScripture"/>
        <w:jc w:val="left"/>
      </w:pPr>
      <w:r>
        <w:rPr>
          <w:rFonts w:ascii="Times New Roman" w:hAnsi="Times New Roman" w:eastAsia="Times New Roman" w:cs="Times New Roman"/>
        </w:rPr>
        <w:t>«Καὶ ὁ Σατανᾶς δὲν ἦταν ἀδρανής. Ἐπεχείρησε τώρα ἐκεῖνο ποὺ ἔχει ἐπιχειρήσει σὲ κάθε ἄλλο μεταρρυθμιστικὸ κίνημα — νὰ ἐξαπατήσει καὶ νὰ καταστρέψει τὸν λαὸ, προβάλλοντας σ’ αὐτὸν ἕνα παραχάραγμα ἀντὶ τοῦ ἀληθινοῦ ἔργου. Ὅπως ὑπῆρξαν ψευδόχριστοι κατὰ τὸν πρῶτο αἰῶνα τῆς Χριστιανικῆς ἐκκλησίας, ἔτσι ἀναφάνηκαν ψευδοπροφῆτες κατὰ τὸν δέκατο ἕκτο αἰῶνα.» The Great Controversy, 186.</w:t>
      </w:r>
    </w:p>
    <w:p>
      <w:pPr>
        <w:pStyle w:val="ArticleBody"/>
        <w:jc w:val="left"/>
      </w:pPr>
      <w:r>
        <w:rPr>
          <w:rFonts w:ascii="Times New Roman" w:hAnsi="Times New Roman" w:eastAsia="Times New Roman" w:cs="Times New Roman"/>
        </w:rPr>
        <w:t>Kontexten till de första sex verserna i Malaki tre är utrensningen och reningen av leviterna i den reformatoriska rörelsen med de etthundrafyrtiofyra tusen. Det som ligger framför Amerika är antingen just denna rörelse eller en av många förfalskningar. Därefter säger Malaki:</w:t>
      </w:r>
    </w:p>
    <w:p>
      <w:pPr>
        <w:pStyle w:val="ArticleScripture"/>
        <w:jc w:val="left"/>
      </w:pPr>
      <w:r>
        <w:rPr>
          <w:rFonts w:ascii="Times New Roman" w:hAnsi="Times New Roman" w:eastAsia="Times New Roman" w:cs="Times New Roman"/>
        </w:rPr>
        <w:t>Depuis les jours de vos pères, vous vous êtes écartés de mes ordonnances, et vous ne les avez point gardées. Revenez à moi, et je reviendrai à vous, dit l’Éternel des armées. Malachie 3:7.</w:t>
      </w:r>
    </w:p>
    <w:p>
      <w:pPr>
        <w:pStyle w:val="ArticleBody"/>
        <w:jc w:val="left"/>
      </w:pPr>
      <w:r>
        <w:rPr>
          <w:rFonts w:ascii="Leelawadee UI" w:hAnsi="Leelawadee UI" w:eastAsia="Leelawadee UI" w:cs="Leelawadee UI"/>
        </w:rPr>
        <w:t>ການກະບົດທີ່ຄ່ອຍໆທະວີຂຶ້ນຕະຫຼອດສີ່ຊົ່ວອາຍຸຄົນ</w:t>
      </w:r>
      <w:r>
        <w:rPr>
          <w:rFonts w:ascii="Times New Roman" w:hAnsi="Times New Roman" w:eastAsia="Times New Roman" w:cs="Times New Roman"/>
        </w:rPr>
        <w:t xml:space="preserve"> </w:t>
      </w:r>
      <w:r>
        <w:rPr>
          <w:rFonts w:ascii="Leelawadee UI" w:hAnsi="Leelawadee UI" w:eastAsia="Leelawadee UI" w:cs="Leelawadee UI"/>
        </w:rPr>
        <w:t>ແມ່ນບົດນໍາແລະພາກຈັດວາງຂອງພຣະທຳໂຢເອນ</w:t>
      </w:r>
      <w:r>
        <w:rPr>
          <w:rFonts w:ascii="Times New Roman" w:hAnsi="Times New Roman" w:eastAsia="Times New Roman" w:cs="Times New Roman"/>
        </w:rPr>
        <w:t xml:space="preserve">, </w:t>
      </w:r>
      <w:r>
        <w:rPr>
          <w:rFonts w:ascii="Leelawadee UI" w:hAnsi="Leelawadee UI" w:eastAsia="Leelawadee UI" w:cs="Leelawadee UI"/>
        </w:rPr>
        <w:t>ແລະໃນທີ່ນີ້</w:t>
      </w:r>
      <w:r>
        <w:rPr>
          <w:rFonts w:ascii="Times New Roman" w:hAnsi="Times New Roman" w:eastAsia="Times New Roman" w:cs="Times New Roman"/>
        </w:rPr>
        <w:t xml:space="preserve"> </w:t>
      </w:r>
      <w:r>
        <w:rPr>
          <w:rFonts w:ascii="Leelawadee UI" w:hAnsi="Leelawadee UI" w:eastAsia="Leelawadee UI" w:cs="Leelawadee UI"/>
        </w:rPr>
        <w:t>ມາລາຄີກໍຊີ້ບອກເຖິງການກະບົດທີ່ຄ່ອຍໆທະວີຂຶ້ນອັນດຽວກັນນັ້ນ</w:t>
      </w:r>
      <w:r>
        <w:rPr>
          <w:rFonts w:ascii="Times New Roman" w:hAnsi="Times New Roman" w:eastAsia="Times New Roman" w:cs="Times New Roman"/>
        </w:rPr>
        <w:t xml:space="preserve"> </w:t>
      </w:r>
      <w:r>
        <w:rPr>
          <w:rFonts w:ascii="Leelawadee UI" w:hAnsi="Leelawadee UI" w:eastAsia="Leelawadee UI" w:cs="Leelawadee UI"/>
        </w:rPr>
        <w:t>ເມື່ອທ່ານກ່າວວ່າ</w:t>
      </w:r>
      <w:r>
        <w:rPr>
          <w:rFonts w:ascii="Times New Roman" w:hAnsi="Times New Roman" w:eastAsia="Times New Roman" w:cs="Times New Roman"/>
        </w:rPr>
        <w:t>, “</w:t>
      </w:r>
      <w:r>
        <w:rPr>
          <w:rFonts w:ascii="Leelawadee UI" w:hAnsi="Leelawadee UI" w:eastAsia="Leelawadee UI" w:cs="Leelawadee UI"/>
        </w:rPr>
        <w:t>ແມ່ນແຕ່ຕັ້ງແຕ່ວັນເວລາຂອງບັນພະບຸລຸດທັງຫຼາຍຂອງພວກເຈົ້າ</w:t>
      </w:r>
      <w:r>
        <w:rPr>
          <w:rFonts w:ascii="Times New Roman" w:hAnsi="Times New Roman" w:eastAsia="Times New Roman" w:cs="Times New Roman"/>
        </w:rPr>
        <w:t xml:space="preserve"> </w:t>
      </w:r>
      <w:r>
        <w:rPr>
          <w:rFonts w:ascii="Leelawadee UI" w:hAnsi="Leelawadee UI" w:eastAsia="Leelawadee UI" w:cs="Leelawadee UI"/>
        </w:rPr>
        <w:t>ພວກເຈົ້າໄດ້ຫັນໜີໄປແລ້ວ</w:t>
      </w:r>
      <w:r>
        <w:rPr>
          <w:rFonts w:ascii="Times New Roman" w:hAnsi="Times New Roman" w:eastAsia="Times New Roman" w:cs="Times New Roman"/>
        </w:rPr>
        <w:t xml:space="preserve">.” </w:t>
      </w:r>
      <w:r>
        <w:rPr>
          <w:rFonts w:ascii="Leelawadee UI" w:hAnsi="Leelawadee UI" w:eastAsia="Leelawadee UI" w:cs="Leelawadee UI"/>
        </w:rPr>
        <w:t>ນັບແຕ່ປີ</w:t>
      </w:r>
      <w:r>
        <w:rPr>
          <w:rFonts w:ascii="Times New Roman" w:hAnsi="Times New Roman" w:eastAsia="Times New Roman" w:cs="Times New Roman"/>
        </w:rPr>
        <w:t xml:space="preserve"> 1863, </w:t>
      </w:r>
      <w:r>
        <w:rPr>
          <w:rFonts w:ascii="Leelawadee UI" w:hAnsi="Leelawadee UI" w:eastAsia="Leelawadee UI" w:cs="Leelawadee UI"/>
        </w:rPr>
        <w:t>ຄືວັນເວລາຂອງບັນພະບຸລຸດແຫ່ງຊົ່ວອາຍຸຄົນທຳອິດຂອງການກະບົດ</w:t>
      </w:r>
      <w:r>
        <w:rPr>
          <w:rFonts w:ascii="Times New Roman" w:hAnsi="Times New Roman" w:eastAsia="Times New Roman" w:cs="Times New Roman"/>
        </w:rPr>
        <w:t xml:space="preserve">, </w:t>
      </w:r>
      <w:r>
        <w:rPr>
          <w:rFonts w:ascii="Leelawadee UI" w:hAnsi="Leelawadee UI" w:eastAsia="Leelawadee UI" w:cs="Leelawadee UI"/>
        </w:rPr>
        <w:t>ພວກເຂົາໄດ້ຫ່າງອອກໄປຈາກພຣະເຈົ້າຫຼາຍຂຶ້ນ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ຫຼາຍຂຶ້ນຢ່າງຕໍ່ເນື່ອງ</w:t>
      </w:r>
      <w:r>
        <w:rPr>
          <w:rFonts w:ascii="Times New Roman" w:hAnsi="Times New Roman" w:eastAsia="Times New Roman" w:cs="Times New Roman"/>
        </w:rPr>
        <w:t xml:space="preserve">. </w:t>
      </w:r>
      <w:r>
        <w:rPr>
          <w:rFonts w:ascii="Leelawadee UI" w:hAnsi="Leelawadee UI" w:eastAsia="Leelawadee UI" w:cs="Leelawadee UI"/>
        </w:rPr>
        <w:t>ຄໍາປະກາດພິພາກສາຕໍ່ບາບອັນຕໍ່ເນື່ອງຂອງພວກເຂົາ</w:t>
      </w:r>
      <w:r>
        <w:rPr>
          <w:rFonts w:ascii="Times New Roman" w:hAnsi="Times New Roman" w:eastAsia="Times New Roman" w:cs="Times New Roman"/>
        </w:rPr>
        <w:t xml:space="preserve"> </w:t>
      </w:r>
      <w:r>
        <w:rPr>
          <w:rFonts w:ascii="Leelawadee UI" w:hAnsi="Leelawadee UI" w:eastAsia="Leelawadee UI" w:cs="Leelawadee UI"/>
        </w:rPr>
        <w:t>ຖືກຜ່ອນນ້ຳໜັກລົງດ້ວຍການເຊີນເອີ້ນແບບລາວດີເຊຍ</w:t>
      </w:r>
      <w:r>
        <w:rPr>
          <w:rFonts w:ascii="Times New Roman" w:hAnsi="Times New Roman" w:eastAsia="Times New Roman" w:cs="Times New Roman"/>
        </w:rPr>
        <w:t xml:space="preserve"> </w:t>
      </w:r>
      <w:r>
        <w:rPr>
          <w:rFonts w:ascii="Leelawadee UI" w:hAnsi="Leelawadee UI" w:eastAsia="Leelawadee UI" w:cs="Leelawadee UI"/>
        </w:rPr>
        <w:t>ຊຶ່ງໃນນ້ຳສຽງແຫ່ງຄວາມໂສກເສົ້າໄດ້ສັນຍາວ່າ</w:t>
      </w:r>
      <w:r>
        <w:rPr>
          <w:rFonts w:ascii="Times New Roman" w:hAnsi="Times New Roman" w:eastAsia="Times New Roman" w:cs="Times New Roman"/>
        </w:rPr>
        <w:t xml:space="preserve"> </w:t>
      </w:r>
      <w:r>
        <w:rPr>
          <w:rFonts w:ascii="Leelawadee UI" w:hAnsi="Leelawadee UI" w:eastAsia="Leelawadee UI" w:cs="Leelawadee UI"/>
        </w:rPr>
        <w:t>ຖ້າພວກເຂົາພຽງແຕ່ຫັນກັບຄືນມາ</w:t>
      </w:r>
      <w:r>
        <w:rPr>
          <w:rFonts w:ascii="Times New Roman" w:hAnsi="Times New Roman" w:eastAsia="Times New Roman" w:cs="Times New Roman"/>
        </w:rPr>
        <w:t xml:space="preserve"> </w:t>
      </w:r>
      <w:r>
        <w:rPr>
          <w:rFonts w:ascii="Leelawadee UI" w:hAnsi="Leelawadee UI" w:eastAsia="Leelawadee UI" w:cs="Leelawadee UI"/>
        </w:rPr>
        <w:t>ພຣະເຈົ້າກໍຈະຫັນກັບຄືນມາຫາພວກເຂົາ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“Fakat siz dediniz: ‘Nasıl dönelim?’ İnsan Tanrı’yı soyar mı? Oysa siz beni soydunuz. Ama siz diyorsunuz: ‘Seni nasıl soyduk?’ Ondalıklar ve takdimeler konusunda. Siz lanetle lanetlenmişsiniz; çünkü beni soydunuz, ey bütün bu ulus.”</w:t>
      </w:r>
    </w:p>
    <w:p>
      <w:pPr>
        <w:pStyle w:val="ArticleScripture"/>
        <w:jc w:val="left"/>
      </w:pPr>
      <w:r>
        <w:rPr>
          <w:rFonts w:ascii="Times New Roman" w:hAnsi="Times New Roman" w:eastAsia="Times New Roman" w:cs="Times New Roman"/>
        </w:rPr>
        <w:t>Aumenez à la maison du trésor toutes les dîmes, afin qu’il y ait de la nourriture dans ma maison; et mettez-moi de la sorte à l’épreuve maintenant, dit l’Éternel des armées, si je n’ouvrirai pas pour vous les écluses des cieux et ne répandrai pas sur vous la bénédiction en abondance, jusqu’à ce qu’il n’y ait plus assez de place pour la recevoir.</w:t>
      </w:r>
    </w:p>
    <w:p>
      <w:pPr>
        <w:pStyle w:val="ArticleScripture"/>
        <w:jc w:val="left"/>
      </w:pPr>
      <w:r>
        <w:rPr>
          <w:rFonts w:ascii="Times New Roman" w:hAnsi="Times New Roman" w:eastAsia="Times New Roman" w:cs="Times New Roman"/>
        </w:rPr>
        <w:t>Ọzọkwa, n’ihi unu ka M ga-abara onye na-eripịa ihe mba, ọ gaghịkwa emebi mkpụrụ nke ala unu; osisi vaịn unu agaghịkwa atụfu mkpụrụ ya tupu oge eruo n’ubi, ka Jehova nke ndị agha siri kwuo. Mba niile ga-akpọkwa unu ndị a gọziri agọzi; n’ihi na unu ga-abụ ala na-atọ ụtọ, ka Jehova nke ndị agha siri kwuo. Malakaị 3:5–12.</w:t>
      </w:r>
    </w:p>
    <w:p>
      <w:pPr>
        <w:pStyle w:val="ArticleBody"/>
        <w:jc w:val="left"/>
      </w:pP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2024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w:t>
      </w:r>
      <w:r>
        <w:rPr>
          <w:rFonts w:ascii="Nirmala UI" w:hAnsi="Nirmala UI" w:eastAsia="Nirmala UI" w:cs="Nirmala UI"/>
        </w:rPr>
        <w:t>परीक्षण</w:t>
      </w:r>
      <w:r>
        <w:rPr>
          <w:rFonts w:ascii="Times New Roman" w:hAnsi="Times New Roman" w:eastAsia="Times New Roman" w:cs="Times New Roman"/>
        </w:rPr>
        <w:t xml:space="preserve">, 2026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शिखरस्थ</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अनुसरित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शिखरस्थ</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खिड़कियाँ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खिड़कियों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उन्नीस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w:t>
      </w:r>
      <w:r>
        <w:rPr>
          <w:rFonts w:ascii="Nirmala UI" w:hAnsi="Nirmala UI" w:eastAsia="Nirmala UI" w:cs="Nirmala UI"/>
        </w:rPr>
        <w:t>झाड़ने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क्रमबद्ध</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शेषजन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भण्डारघर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वितरित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कफरनहूम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“گوشت” در مَثَلِ باکره‌ها همان روغن است، و نمایانگرِ سیرت، روح‌القدس، و پیامِ نبوی‌ای است که روح‌القدس را به دل‌ها و ذهن‌های کسانی می‌آورد که سیرتِ مسیح را پرورش می‌دهند. “گوشت” همان “شرابِ تازه” در یوئیل است که از مستانِ افرایم منقطع شده است. برای آن‌که از آزمونِ درونیِ معبدِ سنگِ سرزاویه در فرشتهٔ دوم بگذرید، باید پیش‌تر از آزمونِ بیرونیِ نخستینِ الفایِ بنیادین گذشته باشید. اگر بنیاد را نپذیرفته باشید، نمی‌توانید بخشی از آن معبدی باشید که بر آن بنیاد برپا می‌شود؛ اما اگر از شمارِ کسانی نباشید که از آن آزمونِ بنیادین گذشتند، خانهٔ روحانیِ بدلیِ خود را بر شن بنا خواهید کرد. یوحنا آن خانهٔ روحانیِ بدلی را “کنیسهٔ شیطان” می‌نامد، و ارمیا، “مجمعِ استهزاکنندگان.”</w:t>
      </w:r>
    </w:p>
    <w:p>
      <w:pPr>
        <w:pStyle w:val="ArticleBody"/>
        <w:jc w:val="left"/>
      </w:pPr>
      <w:r>
        <w:rPr>
          <w:rFonts w:ascii="Times New Roman" w:hAnsi="Times New Roman" w:eastAsia="Times New Roman" w:cs="Times New Roman"/>
        </w:rPr>
        <w:t>Apportez toutes les dîmes et les offrandes dans le magasin est l’épreuve intérieure où le sceau est imprimé. L’homme à la brosse de terre a jeté le peuple du reste de Dieu dans le cercueil élargi, et ce faisant, Il illustrait l’œuvre qui consiste à apporter toutes les dîmes dans le magasin. Les Lévites sont l’offrande qui est élevée lorsqu’Il répand une bénédiction par les fenêtres du ciel. Les joyaux de l’homme à la brosse de terre sont Son peuple du reste, et dans Ésaïe, chapitre six, ce peuple du reste est identifié comme une dîme.</w:t>
      </w:r>
    </w:p>
    <w:p>
      <w:pPr>
        <w:pStyle w:val="ArticleScripture"/>
        <w:jc w:val="left"/>
      </w:pPr>
      <w:r>
        <w:rPr>
          <w:rFonts w:ascii="Times New Roman" w:hAnsi="Times New Roman" w:eastAsia="Times New Roman" w:cs="Times New Roman"/>
        </w:rPr>
        <w:t>Alors je dis : Seigneur, jusques à quand ? Et il répondit : Jusqu’à ce que les villes soient dévastées, sans habitants, et les maisons sans homme, et que le pays soit entièrement désolé ; jusqu’à ce que l’Éternel ait éloigné les hommes au loin, et qu’il y ait un grand abandon au milieu du pays. Mais il y en aura encore un dixième, et il reviendra, et sera consumé ; comme le térébinthe et comme le chêne, dont la souche demeure en eux lorsqu’ils perdent leurs feuilles, ainsi la sainte postérité sera sa souche. Ésaïe 6:11–13.</w:t>
      </w:r>
    </w:p>
    <w:p>
      <w:pPr>
        <w:pStyle w:val="ArticleBody"/>
        <w:jc w:val="left"/>
      </w:pPr>
      <w:r>
        <w:rPr>
          <w:rFonts w:ascii="Times New Roman" w:hAnsi="Times New Roman" w:eastAsia="Times New Roman" w:cs="Times New Roman"/>
        </w:rPr>
        <w:t>Bwana anatambulisha swali la “hata lini” kwa mashahidi wengi kuwa linaelekeza kwenye sheria ya Jumapili, na katika aya ya tatu ya Isaya sita malaika wanatangaza, “Mtakatifu, mtakatifu, mtakatifu, ni Bwana wa majeshi: dunia yote imejaa utukufu wake.” Dada White anaunganisha jambo hili na malaika mwenye nguvu wa Ufunuo kumi na nane.</w:t>
      </w:r>
    </w:p>
    <w:p>
      <w:pPr>
        <w:pStyle w:val="ArticleScripture"/>
        <w:jc w:val="left"/>
      </w:pPr>
      <w:r>
        <w:rPr>
          <w:rFonts w:ascii="Times New Roman" w:hAnsi="Times New Roman" w:eastAsia="Times New Roman" w:cs="Times New Roman"/>
        </w:rPr>
        <w:t>“Pab lawv [cov tim tswv] pom yav tom ntej, thaum tag nrho lub ntiajteb yuav puv npo rau hauv Nws lub yeeb koob, zaj nkauj qhuas uas muaj yeej ntawd nrov rov qab ntawm ib tug mus rau ib tug hauv suab paj nruag mos muag hais tias, ‘Dawb huv, dawb huv, dawb huv, yog tus Tswv ntawm Cov Tub Rog.’ Lawv txaus siab kawg nkaus rau kev ua kom Vajtswv tau koob meej; thiab hauv Nws xub ntiag, hauv qab Nws txoj kev luag nyav uas pom zoo, lawv tsis ntshaw ib yam dab tsi ntxiv lawm. Hauv kev ris Nws tus yam ntxwv, hauv kev ua Nws tes dej num thiab pe hawm Nws, lawv txoj kev ntshaw siab tshaj plaws twb raug ua tiav tag nrho lawm.” Review and Herald, December 22, 1896.</w:t>
      </w:r>
    </w:p>
    <w:p>
      <w:pPr>
        <w:pStyle w:val="ArticleBody"/>
        <w:jc w:val="left"/>
      </w:pPr>
      <w:r>
        <w:rPr>
          <w:rFonts w:ascii="Times New Roman" w:hAnsi="Times New Roman" w:eastAsia="Times New Roman" w:cs="Times New Roman"/>
        </w:rPr>
        <w:t>یسعیاہ چھ اس واقعہ کی نشان دہی کرتا ہے جو 9/11 پر پیش آیا، جب زمین مکاشفہ اٹھارہ کی دو آوازوں میں سے پہلی آواز کے جلال سے منور ہوئی۔ جب یسعیاہ نے پوچھا، “کب تک؟” تو باب کی تاریخ اس مدت کے طور پر متعین ہوتی ہے جو 9/11 سے یکشنبہ کے قانون تک پھیلی ہوئی ہے، جہاں دوسری آواز آ پہنچتی ہے۔ یسعیاہ ہمیں آگاہ کرتا ہے کہ یکشنبہ کے قانون کے وقت ایک بقیہ موجود ہوگا—جو دہیکی ہے۔ اس بقیہ کے اندر جوہر ہے—اپنے برتنوں میں تیل۔</w:t>
      </w:r>
    </w:p>
    <w:p>
      <w:pPr>
        <w:pStyle w:val="ArticleScripture"/>
        <w:jc w:val="left"/>
      </w:pPr>
      <w:r>
        <w:rPr>
          <w:rFonts w:ascii="Times New Roman" w:hAnsi="Times New Roman" w:eastAsia="Times New Roman" w:cs="Times New Roman"/>
        </w:rPr>
        <w:t>Lakini bado ndani yake kutakuwa na sehemu ya kumi [zaka], nayo itarudi, na italiwa: kama mti wa teil, na kama mwaloni, ambamo kiini chake kimo ndani yao, wanapoangusha majani yao; hivyo mbegu takatifu itakuwa ndiyo kiini chake. Isaya 6:13.</w:t>
      </w:r>
    </w:p>
    <w:p>
      <w:pPr>
        <w:pStyle w:val="ArticleBody"/>
        <w:jc w:val="left"/>
      </w:pPr>
      <w:r>
        <w:rPr>
          <w:rFonts w:ascii="Times New Roman" w:hAnsi="Times New Roman" w:eastAsia="Times New Roman" w:cs="Times New Roman"/>
        </w:rPr>
        <w:t>“</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मनुष्यता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लहराए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अन्यजाति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खाएँगे।</w:t>
      </w:r>
    </w:p>
    <w:p>
      <w:pPr>
        <w:pStyle w:val="ArticleScripture"/>
        <w:jc w:val="left"/>
      </w:pPr>
      <w:r>
        <w:rPr>
          <w:rFonts w:ascii="Times New Roman" w:hAnsi="Times New Roman" w:eastAsia="Times New Roman" w:cs="Times New Roman"/>
        </w:rPr>
        <w:t>C’est pourquoi ainsi parle l’Éternel : Si tu reviens, je te ramènerai, et tu te tiendras devant moi ; et si tu sépares ce qui est précieux de ce qui est vil, tu seras comme ma bouche. Qu’ils reviennent à toi ; mais toi, ne retourne pas à eux. Jérémie 15:19.</w:t>
      </w:r>
    </w:p>
    <w:p>
      <w:pPr>
        <w:pStyle w:val="ArticleBody"/>
        <w:jc w:val="left"/>
      </w:pPr>
      <w:r>
        <w:rPr>
          <w:rFonts w:ascii="Times New Roman" w:hAnsi="Times New Roman" w:eastAsia="Times New Roman" w:cs="Times New Roman"/>
        </w:rPr>
        <w:t>Jérémie représente ceux qui ont mangé le message qui se trouvait dans la main de l’ange, lequel constituait l’épreuve alpha et fondamentale, représentée par le 11 août 1840, 1888 et le 11 septembre, car il dit qu’il a trouvé les paroles et qu’il les a mangées.</w:t>
      </w:r>
    </w:p>
    <w:p>
      <w:pPr>
        <w:pStyle w:val="ArticleScripture"/>
        <w:jc w:val="left"/>
      </w:pPr>
      <w:r>
        <w:rPr>
          <w:rFonts w:ascii="Times New Roman" w:hAnsi="Times New Roman" w:eastAsia="Times New Roman" w:cs="Times New Roman"/>
        </w:rPr>
        <w:t>Torah a wii, na midi; na wo asɛm yɛɛ me koma mu anigye ne ahosɛpɛw; efisɛ wɔde wo din afrɛ me, O AWURADE Nyankopɔn Asafo. Yeremia 15:16.</w:t>
      </w:r>
    </w:p>
    <w:p>
      <w:pPr>
        <w:pStyle w:val="ArticleBody"/>
        <w:jc w:val="left"/>
      </w:pPr>
      <w:r>
        <w:rPr>
          <w:rFonts w:ascii="Times New Roman" w:hAnsi="Times New Roman" w:eastAsia="Times New Roman" w:cs="Times New Roman"/>
        </w:rPr>
        <w:t>Yeremiya Allahın adı ilə çağırılır, mələyin əlindəki kiçik kitabı yediyi zaman; və o xəbər rüsvayçılığın əksinə olaraq sevinc və fərəh doğurdu. Allahın adı Yeremiyaya verildikdə, o, Filadelfiyalı olan yüz qırx dörd mini təmsil edir.</w:t>
      </w:r>
    </w:p>
    <w:p>
      <w:pPr>
        <w:pStyle w:val="ArticleScripture"/>
        <w:jc w:val="left"/>
      </w:pPr>
      <w:r>
        <w:rPr>
          <w:rFonts w:ascii="Times New Roman" w:hAnsi="Times New Roman" w:eastAsia="Times New Roman" w:cs="Times New Roman"/>
        </w:rPr>
        <w:t>Celui qui vaincra, je ferai de lui une colonne dans le temple de mon Dieu, et il n’en sortira plus; j’écrirai sur lui le nom de mon Dieu, et le nom de la cité de mon Dieu, la nouvelle Jérusalem, qui descend du ciel d’auprès de mon Dieu; et j’écrirai sur lui mon nouveau nom. Apocalypse 3:12.</w:t>
      </w:r>
    </w:p>
    <w:p>
      <w:pPr>
        <w:pStyle w:val="ArticleBody"/>
        <w:jc w:val="left"/>
      </w:pPr>
      <w:r>
        <w:rPr>
          <w:rFonts w:ascii="Times New Roman" w:hAnsi="Times New Roman" w:eastAsia="Times New Roman" w:cs="Times New Roman"/>
        </w:rPr>
        <w:t>Yeremia memakan pekabaran 9/11 dan mengalami kekecewaan pada 18 Juli 2020.</w:t>
      </w:r>
    </w:p>
    <w:p>
      <w:pPr>
        <w:pStyle w:val="ArticleScripture"/>
        <w:jc w:val="left"/>
      </w:pPr>
      <w:r>
        <w:rPr>
          <w:rFonts w:ascii="Times New Roman" w:hAnsi="Times New Roman" w:eastAsia="Times New Roman" w:cs="Times New Roman"/>
        </w:rPr>
        <w:t>Jeremia 15:17, 18 Ich saß nicht in der Versammlung der Spötter, noch frohlockte ich; ich saß allein wegen deiner Hand; denn du hast mich mit Entrüstung erfüllt. Warum ist mein Schmerz beständig und meine Wunde unheilbar, die sich nicht heilen lassen will? Willst du mir denn ganz und gar sein wie ein trügerischer Bach und wie Wasser, die versiegen?</w:t>
      </w:r>
    </w:p>
    <w:p>
      <w:pPr>
        <w:pStyle w:val="ArticleBody"/>
        <w:jc w:val="left"/>
      </w:pPr>
      <w:r>
        <w:rPr>
          <w:rFonts w:ascii="Nirmala UI" w:hAnsi="Nirmala UI" w:eastAsia="Nirmala UI" w:cs="Nirmala UI"/>
        </w:rPr>
        <w:t>ജെറെമ്യാവിന്റെ</w:t>
      </w:r>
      <w:r>
        <w:rPr>
          <w:rFonts w:ascii="Times New Roman" w:hAnsi="Times New Roman" w:eastAsia="Times New Roman" w:cs="Times New Roman"/>
        </w:rPr>
        <w:t xml:space="preserve"> “</w:t>
      </w:r>
      <w:r>
        <w:rPr>
          <w:rFonts w:ascii="Nirmala UI" w:hAnsi="Nirmala UI" w:eastAsia="Nirmala UI" w:cs="Nirmala UI"/>
        </w:rPr>
        <w:t>പരിഹാസകരുടെ</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എന്നാണ്</w:t>
      </w:r>
      <w:r>
        <w:rPr>
          <w:rFonts w:ascii="Times New Roman" w:hAnsi="Times New Roman" w:eastAsia="Times New Roman" w:cs="Times New Roman"/>
        </w:rPr>
        <w:t xml:space="preserve"> </w:t>
      </w:r>
      <w:r>
        <w:rPr>
          <w:rFonts w:ascii="Nirmala UI" w:hAnsi="Nirmala UI" w:eastAsia="Nirmala UI" w:cs="Nirmala UI"/>
        </w:rPr>
        <w:t>ഫിലഡെൽഫിയയുടെയും</w:t>
      </w:r>
      <w:r>
        <w:rPr>
          <w:rFonts w:ascii="Times New Roman" w:hAnsi="Times New Roman" w:eastAsia="Times New Roman" w:cs="Times New Roman"/>
        </w:rPr>
        <w:t xml:space="preserve"> </w:t>
      </w:r>
      <w:r>
        <w:rPr>
          <w:rFonts w:ascii="Nirmala UI" w:hAnsi="Nirmala UI" w:eastAsia="Nirmala UI" w:cs="Nirmala UI"/>
        </w:rPr>
        <w:t>സ്മിർണയുടെയും</w:t>
      </w:r>
      <w:r>
        <w:rPr>
          <w:rFonts w:ascii="Times New Roman" w:hAnsi="Times New Roman" w:eastAsia="Times New Roman" w:cs="Times New Roman"/>
        </w:rPr>
        <w:t xml:space="preserve"> “</w:t>
      </w:r>
      <w:r>
        <w:rPr>
          <w:rFonts w:ascii="Nirmala UI" w:hAnsi="Nirmala UI" w:eastAsia="Nirmala UI" w:cs="Nirmala UI"/>
        </w:rPr>
        <w:t>സാത്താന്റെ</w:t>
      </w:r>
      <w:r>
        <w:rPr>
          <w:rFonts w:ascii="Times New Roman" w:hAnsi="Times New Roman" w:eastAsia="Times New Roman" w:cs="Times New Roman"/>
        </w:rPr>
        <w:t xml:space="preserve"> </w:t>
      </w:r>
      <w:r>
        <w:rPr>
          <w:rFonts w:ascii="Nirmala UI" w:hAnsi="Nirmala UI" w:eastAsia="Nirmala UI" w:cs="Nirmala UI"/>
        </w:rPr>
        <w:t>സിനഗോഗ്</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യെഹൂദന്മാരാണെന്ന്</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 xml:space="preserve">. </w:t>
      </w:r>
      <w:r>
        <w:rPr>
          <w:rFonts w:ascii="Nirmala UI" w:hAnsi="Nirmala UI" w:eastAsia="Nirmala UI" w:cs="Nirmala UI"/>
        </w:rPr>
        <w:t>ജെറെമ്യാവു</w:t>
      </w:r>
      <w:r>
        <w:rPr>
          <w:rFonts w:ascii="Times New Roman" w:hAnsi="Times New Roman" w:eastAsia="Times New Roman" w:cs="Times New Roman"/>
        </w:rPr>
        <w:t xml:space="preserve"> </w:t>
      </w:r>
      <w:r>
        <w:rPr>
          <w:rFonts w:ascii="Nirmala UI" w:hAnsi="Nirmala UI" w:eastAsia="Nirmala UI" w:cs="Nirmala UI"/>
        </w:rPr>
        <w:t>സന്തോഷിച്ചില്ല</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വ്യാജസന്ദേശമായിരുന്നു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സന്തോഷമല്ല</w:t>
      </w:r>
      <w:r>
        <w:rPr>
          <w:rFonts w:ascii="Times New Roman" w:hAnsi="Times New Roman" w:eastAsia="Times New Roman" w:cs="Times New Roman"/>
        </w:rPr>
        <w:t xml:space="preserve">, </w:t>
      </w:r>
      <w:r>
        <w:rPr>
          <w:rFonts w:ascii="Nirmala UI" w:hAnsi="Nirmala UI" w:eastAsia="Nirmala UI" w:cs="Nirmala UI"/>
        </w:rPr>
        <w:t>ലജ്ജ</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ഉത്പാദിപ്പിച്ചു</w:t>
      </w:r>
      <w:r>
        <w:rPr>
          <w:rFonts w:ascii="Times New Roman" w:hAnsi="Times New Roman" w:eastAsia="Times New Roman" w:cs="Times New Roman"/>
        </w:rPr>
        <w:t xml:space="preserve">. </w:t>
      </w:r>
      <w:r>
        <w:rPr>
          <w:rFonts w:ascii="Nirmala UI" w:hAnsi="Nirmala UI" w:eastAsia="Nirmala UI" w:cs="Nirmala UI"/>
        </w:rPr>
        <w:t>ജെറെമ്യാവിന്റെ</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w:t>
      </w:r>
      <w:r>
        <w:rPr>
          <w:rFonts w:ascii="Nirmala UI" w:hAnsi="Nirmala UI" w:eastAsia="Nirmala UI" w:cs="Nirmala UI"/>
        </w:rPr>
        <w:t>പ്രാപിക്കാൻ</w:t>
      </w:r>
      <w:r>
        <w:rPr>
          <w:rFonts w:ascii="Times New Roman" w:hAnsi="Times New Roman" w:eastAsia="Times New Roman" w:cs="Times New Roman"/>
        </w:rPr>
        <w:t xml:space="preserve"> </w:t>
      </w:r>
      <w:r>
        <w:rPr>
          <w:rFonts w:ascii="Nirmala UI" w:hAnsi="Nirmala UI" w:eastAsia="Nirmala UI" w:cs="Nirmala UI"/>
        </w:rPr>
        <w:t>സമ്മതിക്കാത്ത</w:t>
      </w:r>
      <w:r>
        <w:rPr>
          <w:rFonts w:ascii="Times New Roman" w:hAnsi="Times New Roman" w:eastAsia="Times New Roman" w:cs="Times New Roman"/>
        </w:rPr>
        <w:t xml:space="preserve"> </w:t>
      </w:r>
      <w:r>
        <w:rPr>
          <w:rFonts w:ascii="Nirmala UI" w:hAnsi="Nirmala UI" w:eastAsia="Nirmala UI" w:cs="Nirmala UI"/>
        </w:rPr>
        <w:t>ശാശ്വത</w:t>
      </w:r>
      <w:r>
        <w:rPr>
          <w:rFonts w:ascii="Times New Roman" w:hAnsi="Times New Roman" w:eastAsia="Times New Roman" w:cs="Times New Roman"/>
        </w:rPr>
        <w:t xml:space="preserve"> </w:t>
      </w:r>
      <w:r>
        <w:rPr>
          <w:rFonts w:ascii="Nirmala UI" w:hAnsi="Nirmala UI" w:eastAsia="Nirmala UI" w:cs="Nirmala UI"/>
        </w:rPr>
        <w:t>മുറിവ്</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പരിഹാസകരുടെ</w:t>
      </w:r>
      <w:r>
        <w:rPr>
          <w:rFonts w:ascii="Times New Roman" w:hAnsi="Times New Roman" w:eastAsia="Times New Roman" w:cs="Times New Roman"/>
        </w:rPr>
        <w:t xml:space="preserve"> </w:t>
      </w:r>
      <w:r>
        <w:rPr>
          <w:rFonts w:ascii="Nirmala UI" w:hAnsi="Nirmala UI" w:eastAsia="Nirmala UI" w:cs="Nirmala UI"/>
        </w:rPr>
        <w:t>സഭ</w:t>
      </w:r>
      <w:r>
        <w:rPr>
          <w:rFonts w:ascii="Times New Roman" w:hAnsi="Times New Roman" w:eastAsia="Times New Roman" w:cs="Times New Roman"/>
        </w:rPr>
        <w:t xml:space="preserve"> </w:t>
      </w:r>
      <w:r>
        <w:rPr>
          <w:rFonts w:ascii="Nirmala UI" w:hAnsi="Nirmala UI" w:eastAsia="Nirmala UI" w:cs="Nirmala UI"/>
        </w:rPr>
        <w:t>ആനന്ദിച്ചുകൊണ്ടിരുന്ന</w:t>
      </w:r>
      <w:r>
        <w:rPr>
          <w:rFonts w:ascii="Times New Roman" w:hAnsi="Times New Roman" w:eastAsia="Times New Roman" w:cs="Times New Roman"/>
        </w:rPr>
        <w:t xml:space="preserve"> </w:t>
      </w:r>
      <w:r>
        <w:rPr>
          <w:rFonts w:ascii="Nirmala UI" w:hAnsi="Nirmala UI" w:eastAsia="Nirmala UI" w:cs="Nirmala UI"/>
        </w:rPr>
        <w:t>മൂന്നര</w:t>
      </w:r>
      <w:r>
        <w:rPr>
          <w:rFonts w:ascii="Times New Roman" w:hAnsi="Times New Roman" w:eastAsia="Times New Roman" w:cs="Times New Roman"/>
        </w:rPr>
        <w:t xml:space="preserve"> </w:t>
      </w:r>
      <w:r>
        <w:rPr>
          <w:rFonts w:ascii="Nirmala UI" w:hAnsi="Nirmala UI" w:eastAsia="Nirmala UI" w:cs="Nirmala UI"/>
        </w:rPr>
        <w:t>ദിവസങ്ങളായിരുന്നു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കാലത്ത്</w:t>
      </w:r>
      <w:r>
        <w:rPr>
          <w:rFonts w:ascii="Times New Roman" w:hAnsi="Times New Roman" w:eastAsia="Times New Roman" w:cs="Times New Roman"/>
        </w:rPr>
        <w:t xml:space="preserve"> </w:t>
      </w:r>
      <w:r>
        <w:rPr>
          <w:rFonts w:ascii="Nirmala UI" w:hAnsi="Nirmala UI" w:eastAsia="Nirmala UI" w:cs="Nirmala UI"/>
        </w:rPr>
        <w:t>ജെറെമ്യാവും</w:t>
      </w:r>
      <w:r>
        <w:rPr>
          <w:rFonts w:ascii="Times New Roman" w:hAnsi="Times New Roman" w:eastAsia="Times New Roman" w:cs="Times New Roman"/>
        </w:rPr>
        <w:t xml:space="preserve"> </w:t>
      </w:r>
      <w:r>
        <w:rPr>
          <w:rFonts w:ascii="Nirmala UI" w:hAnsi="Nirmala UI" w:eastAsia="Nirmala UI" w:cs="Nirmala UI"/>
        </w:rPr>
        <w:t>മോശെയും</w:t>
      </w:r>
      <w:r>
        <w:rPr>
          <w:rFonts w:ascii="Times New Roman" w:hAnsi="Times New Roman" w:eastAsia="Times New Roman" w:cs="Times New Roman"/>
        </w:rPr>
        <w:t xml:space="preserve"> </w:t>
      </w:r>
      <w:r>
        <w:rPr>
          <w:rFonts w:ascii="Nirmala UI" w:hAnsi="Nirmala UI" w:eastAsia="Nirmala UI" w:cs="Nirmala UI"/>
        </w:rPr>
        <w:t>ഏലിയാവും</w:t>
      </w:r>
      <w:r>
        <w:rPr>
          <w:rFonts w:ascii="Times New Roman" w:hAnsi="Times New Roman" w:eastAsia="Times New Roman" w:cs="Times New Roman"/>
        </w:rPr>
        <w:t xml:space="preserve"> </w:t>
      </w:r>
      <w:r>
        <w:rPr>
          <w:rFonts w:ascii="Nirmala UI" w:hAnsi="Nirmala UI" w:eastAsia="Nirmala UI" w:cs="Nirmala UI"/>
        </w:rPr>
        <w:t>ഉണങ്ങിയ</w:t>
      </w:r>
      <w:r>
        <w:rPr>
          <w:rFonts w:ascii="Times New Roman" w:hAnsi="Times New Roman" w:eastAsia="Times New Roman" w:cs="Times New Roman"/>
        </w:rPr>
        <w:t xml:space="preserve"> </w:t>
      </w:r>
      <w:r>
        <w:rPr>
          <w:rFonts w:ascii="Nirmala UI" w:hAnsi="Nirmala UI" w:eastAsia="Nirmala UI" w:cs="Nirmala UI"/>
        </w:rPr>
        <w:t>മരിച്ച</w:t>
      </w:r>
      <w:r>
        <w:rPr>
          <w:rFonts w:ascii="Times New Roman" w:hAnsi="Times New Roman" w:eastAsia="Times New Roman" w:cs="Times New Roman"/>
        </w:rPr>
        <w:t xml:space="preserve"> </w:t>
      </w:r>
      <w:r>
        <w:rPr>
          <w:rFonts w:ascii="Nirmala UI" w:hAnsi="Nirmala UI" w:eastAsia="Nirmala UI" w:cs="Nirmala UI"/>
        </w:rPr>
        <w:t>അസ്ഥികളുടെ</w:t>
      </w:r>
      <w:r>
        <w:rPr>
          <w:rFonts w:ascii="Times New Roman" w:hAnsi="Times New Roman" w:eastAsia="Times New Roman" w:cs="Times New Roman"/>
        </w:rPr>
        <w:t xml:space="preserve"> </w:t>
      </w:r>
      <w:r>
        <w:rPr>
          <w:rFonts w:ascii="Nirmala UI" w:hAnsi="Nirmala UI" w:eastAsia="Nirmala UI" w:cs="Nirmala UI"/>
        </w:rPr>
        <w:t>താഴ്വരയിലൂടെ</w:t>
      </w:r>
      <w:r>
        <w:rPr>
          <w:rFonts w:ascii="Times New Roman" w:hAnsi="Times New Roman" w:eastAsia="Times New Roman" w:cs="Times New Roman"/>
        </w:rPr>
        <w:t xml:space="preserve"> </w:t>
      </w:r>
      <w:r>
        <w:rPr>
          <w:rFonts w:ascii="Nirmala UI" w:hAnsi="Nirmala UI" w:eastAsia="Nirmala UI" w:cs="Nirmala UI"/>
        </w:rPr>
        <w:t>കടന്നുപോകുന്ന</w:t>
      </w:r>
      <w:r>
        <w:rPr>
          <w:rFonts w:ascii="Times New Roman" w:hAnsi="Times New Roman" w:eastAsia="Times New Roman" w:cs="Times New Roman"/>
        </w:rPr>
        <w:t xml:space="preserve"> </w:t>
      </w:r>
      <w:r>
        <w:rPr>
          <w:rFonts w:ascii="Nirmala UI" w:hAnsi="Nirmala UI" w:eastAsia="Nirmala UI" w:cs="Nirmala UI"/>
        </w:rPr>
        <w:t>വീഥിയിൽ</w:t>
      </w:r>
      <w:r>
        <w:rPr>
          <w:rFonts w:ascii="Times New Roman" w:hAnsi="Times New Roman" w:eastAsia="Times New Roman" w:cs="Times New Roman"/>
        </w:rPr>
        <w:t xml:space="preserve"> </w:t>
      </w:r>
      <w:r>
        <w:rPr>
          <w:rFonts w:ascii="Nirmala UI" w:hAnsi="Nirmala UI" w:eastAsia="Nirmala UI" w:cs="Nirmala UI"/>
        </w:rPr>
        <w:t>മരിച്ചുകിടന്നു</w:t>
      </w:r>
      <w:r>
        <w:rPr>
          <w:rFonts w:ascii="Times New Roman" w:hAnsi="Times New Roman" w:eastAsia="Times New Roman" w:cs="Times New Roman"/>
        </w:rPr>
        <w:t xml:space="preserve">. </w:t>
      </w:r>
      <w:r>
        <w:rPr>
          <w:rFonts w:ascii="Nirmala UI" w:hAnsi="Nirmala UI" w:eastAsia="Nirmala UI" w:cs="Nirmala UI"/>
        </w:rPr>
        <w:t>സംശയത്തിന്റെയും</w:t>
      </w:r>
      <w:r>
        <w:rPr>
          <w:rFonts w:ascii="Times New Roman" w:hAnsi="Times New Roman" w:eastAsia="Times New Roman" w:cs="Times New Roman"/>
        </w:rPr>
        <w:t xml:space="preserve"> </w:t>
      </w:r>
      <w:r>
        <w:rPr>
          <w:rFonts w:ascii="Nirmala UI" w:hAnsi="Nirmala UI" w:eastAsia="Nirmala UI" w:cs="Nirmala UI"/>
        </w:rPr>
        <w:t>അനിശ്ചിതത്വത്തിന്റെയും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നടുവിൽ</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ജെറെമ്യാവിനോടു</w:t>
      </w:r>
      <w:r>
        <w:rPr>
          <w:rFonts w:ascii="Times New Roman" w:hAnsi="Times New Roman" w:eastAsia="Times New Roman" w:cs="Times New Roman"/>
        </w:rPr>
        <w:t xml:space="preserve"> </w:t>
      </w:r>
      <w:r>
        <w:rPr>
          <w:rFonts w:ascii="Nirmala UI" w:hAnsi="Nirmala UI" w:eastAsia="Nirmala UI" w:cs="Nirmala UI"/>
        </w:rPr>
        <w:t>മടങ്ങിവരുവാൻ</w:t>
      </w:r>
      <w:r>
        <w:rPr>
          <w:rFonts w:ascii="Times New Roman" w:hAnsi="Times New Roman" w:eastAsia="Times New Roman" w:cs="Times New Roman"/>
        </w:rPr>
        <w:t xml:space="preserve"> </w:t>
      </w:r>
      <w:r>
        <w:rPr>
          <w:rFonts w:ascii="Nirmala UI" w:hAnsi="Nirmala UI" w:eastAsia="Nirmala UI" w:cs="Nirmala UI"/>
        </w:rPr>
        <w:t>ആവശ്യപ്പെട്ടു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Naizvozvo, Gospodin govori ovako: Ako se obratiš, opet ću te vratiti, i stajaćeš preda mnom; i ako odvojiš dragoceno od ništavnoga, bićeš kao moja usta. Neka se oni vrate k tebi, ali se ti ne vraćaj k njima. I učiniću da budeš ovom narodu kao utvrđen bronzani zid; i boriće se protiv tebe, ali te neće nadvladati; jer sam ja s tobom da te spasim i da te izbavim, govori Gospodin. I izbaviću te iz ruke zlih, i iskupiću te iz ruke nasilnika. Jeremija 15:19–21.</w:t>
      </w:r>
    </w:p>
    <w:p>
      <w:pPr>
        <w:pStyle w:val="ArticleBody"/>
        <w:jc w:val="left"/>
      </w:pPr>
      <w:r>
        <w:rPr>
          <w:rFonts w:ascii="Times New Roman" w:hAnsi="Times New Roman" w:eastAsia="Times New Roman" w:cs="Times New Roman"/>
        </w:rPr>
        <w:t>Yàgbyin Jeremiah báa san bɛrɛ́, God náa kɛ à yí tɔɔrɔ kɛnɛ́ tɔ́, kà a jɔn báa yɛ́ sùlùfɛn tìnín bìa, níi “wicked” kà “terrible” béle kɛ à kɔfɛ, kà àn bɛ́ se ka à fɛ. O yí tɔɔrɔ kɛnɛ́ dɔ́ le yí wɔn nàfàgbànà yàa gbɛnɛ́mɔ́ nìi gbɛnɛ́mɔ́bìa nàa sò sàràkì yàa kɔ́fɛ́rɛ́ white linen nà. O yí tɔɔrɔ, màa sùlùfɛn tìnín bìa, bɛrɛ́ jɔn níi Jeremiah san báa; yé kɛ, à yáa fɛ precious kà vile tɔ. Ezekiel thirty-seven nìi, yí tɔɔrɔ kɛnɛ́ kà Sister White bé yìrɛ́ God remnant people, bé jɔn níi yé san báa. Remnant bé san báa, kà yé jɔn yí tɔɔrɔ kɛnɛ́ tɔ́, níi yé fɛ precious kà vile tɔ, kà yé bɛ God nùmù. Yé kɛnɛ́ bé se ka rightly divide word of truth, yáa fɛ chaff kà wheat tɔ, báa kɛ yé bé lɔn yɛrɛn kɛnɛ́ mà yé bàa yé fa adopted, yè nàa father, níi à yɛ́ miller kà à specialized in preparing the very best bread. Yàgbyin yé fɛ precious kà vile tɔ; truth kà error tɔ, yé náa bɛ God watchman níi God yáa fɛ wicked kà wise tɔ.</w:t>
      </w:r>
    </w:p>
    <w:p>
      <w:pPr>
        <w:pStyle w:val="ArticleBody"/>
        <w:jc w:val="left"/>
      </w:pPr>
      <w:r>
        <w:rPr>
          <w:rFonts w:ascii="Times New Roman" w:hAnsi="Times New Roman" w:eastAsia="Times New Roman" w:cs="Times New Roman"/>
        </w:rPr>
        <w:t>Yeremia menjawab panggilan untuk kembali pada tahun 2023, kemudian pada tahun 2024 ia dikecewakan ketika suatu kelompok besar memisahkan diri pada ujian dasar tentang Roma yang menegakkan penglihatan itu. Yeremia dengan tepat memisahkan yang berharga dari yang hina, kebenaran dari kesesatan, dan terus melanjutkan sampai kepada ujian internal omega pada pembukaan tingkap-tingkap langit. Ketika langit terbuka, gereja yang berjaya telah mempersiapkan dirinya. Ia telah lulus ujian dasar eksternal alfa, kemudian ia lulus ujian internal omega dari tingkap-tingkap langit. Ia либо lulus dan menjadi bagian dari bala tentara Allah, atau ia dihembuskan keluar dari tingkap-tingkap itu oleh angin. Ia dilemparkan ke suatu padang yang luas, seperti Sebna dalam Yesaya dua puluh dua, atau ia dimasukkan ke dalam peti. Ia либо dimasukkan ke dalam peti, atau dibuang keluar dari bait suci sebagaimana Nehemia membuang Tobia atau Kristus mengusir para penukar uang. Ketika orang penyapu debu itu melemparkan permata-permata ke dalam peti, peti itu либо adalah Firman Allah dalam suatu kerangka kebenaran yang baru atau peti itu adalah bait Allah, yang keduanya merupakan lambang Kristus, dan Kristus tidak boleh dibagi-bagi.</w:t>
      </w:r>
    </w:p>
    <w:p>
      <w:pPr>
        <w:pStyle w:val="ArticleScripture"/>
        <w:jc w:val="left"/>
      </w:pPr>
      <w:r>
        <w:rPr>
          <w:rFonts w:ascii="Times New Roman" w:hAnsi="Times New Roman" w:eastAsia="Times New Roman" w:cs="Times New Roman"/>
        </w:rPr>
        <w:t>ست اَتِ كِرِستُس اِتْفَرِيقًا؟ هَلْ صُلِبَ بُولُسُ مِنْ أَجْلِكُمْ؟ أَمْ اعْتَمَدْتُمْ بِاسْمِ بُولُسَ؟ ١ كورنثوس ١:١٣</w:t>
      </w:r>
    </w:p>
    <w:p>
      <w:pPr>
        <w:pStyle w:val="ArticleBody"/>
        <w:jc w:val="left"/>
      </w:pPr>
      <w:r>
        <w:rPr>
          <w:rFonts w:ascii="Times New Roman" w:hAnsi="Times New Roman" w:eastAsia="Times New Roman" w:cs="Times New Roman"/>
        </w:rPr>
        <w:t>Le Christ n’est pas séparé de Paul. La divinité n’était pas séparée de l’humanité de Paul. Lorsque Paul, l’homme, baptisait au nom de la Divinité, il n’y avait aucune division, car le messager humain est uni au message divin. Paul était uni à la Divinité aussi sûrement qu’Éphraïm était attaché à ses idoles.</w:t>
      </w:r>
    </w:p>
    <w:p>
      <w:pPr>
        <w:pStyle w:val="ArticleBody"/>
        <w:jc w:val="left"/>
      </w:pPr>
      <w:r>
        <w:rPr>
          <w:rFonts w:ascii="Times New Roman" w:hAnsi="Times New Roman" w:eastAsia="Times New Roman" w:cs="Times New Roman"/>
        </w:rPr>
        <w:t>Awon tí ó wà nínú àlá Miller tí a jù sínú tẹ́ńpìlì náà (àpótí náà), ni ìdámẹ́wàá tí Málákì orí kẹta sọ̀rọ̀ nípa rẹ̀, èyí tí a gbọ́dọ̀ mú wá sínú ilé ìkó, níbi tí oúnjẹ ti ń wà nípamọ́ tí a sì ti ń pín un. Ilé ìkó náà ni tẹ́ńpìlì ti ẹgbẹ̀rún mẹ́rìnlélọ́gọ́rin àti ẹgbẹ̀rún mẹ́rin [ọgọ́rùn-ún kan àti mẹ́rìnlélọ́gọ́rin], tàbí gẹ́gẹ́ bí Peteru ti sọ pé, “ilé ẹ̀mí kan, ẹgbẹ́ àlùfáà mímọ́.” Àpótí náà ni ilé ẹ̀mí náà, àwọn iyebíye náà sì ni ẹgbẹ́ àlùfáà náà. Nítorí èyí ni a ṣe kọ àlá Miller sí ojú-ìwé “81,” àmì àpẹẹrẹ Àlùfáà Àgbà Ọlọ́run tí a darapọ̀ mọ́ ọgọ́rin àlùfáà ènìyàn.</w:t>
      </w:r>
    </w:p>
    <w:p>
      <w:pPr>
        <w:pStyle w:val="ArticleBody"/>
        <w:jc w:val="left"/>
      </w:pPr>
      <w:r>
        <w:rPr>
          <w:rFonts w:ascii="Times New Roman" w:hAnsi="Times New Roman" w:eastAsia="Times New Roman" w:cs="Times New Roman"/>
        </w:rPr>
        <w:t>Dans le songe de Miller, l’homme à la brosse à poussière illustre l’apport des joyaux, (qui sont les dîmes d’Ésaïe et les offrandes de Malachie), lorsqu’Il jette les joyaux dans le temple, qui est le magasin, qui est l’écrin. Il y a souvent deux questions liées au second ange, et l’épreuve oméga est le second ange en relation avec l’épreuve alpha et le troisième test décisif. L’appel est à revenir, et ce retour est démontré en apportant toutes les dîmes et les offrandes dans le magasin, afin qu’il y ait de la nourriture dans Sa maison. Les deux questions ici sont : qu’est-ce que la « nourriture » ? et qu’est-ce que le « magasin » ?</w:t>
      </w:r>
    </w:p>
    <w:p>
      <w:pPr>
        <w:pStyle w:val="ArticleBody"/>
        <w:jc w:val="left"/>
      </w:pPr>
      <w:r>
        <w:rPr>
          <w:rFonts w:ascii="Times New Roman" w:hAnsi="Times New Roman" w:eastAsia="Times New Roman" w:cs="Times New Roman"/>
        </w:rPr>
        <w:t>Бижутата да са вестителите, или бижутата да са вестта — от това зависи как ще се отговори на тези два въпроса. Ако това са вестителите, тогава те са десятъкът, който съставя храма, който винаги се издига във втората стъпка. Ако това е вестта, тя е вестта на Среднощния вик, доведена до съвършенство като крайъгълния камък на храма, и на упълномощаването на вестта на втория ангел.</w:t>
      </w:r>
    </w:p>
    <w:p>
      <w:pPr>
        <w:pStyle w:val="ArticleScripture"/>
        <w:jc w:val="left"/>
      </w:pPr>
      <w:r>
        <w:rPr>
          <w:rFonts w:ascii="Microsoft YaHei" w:hAnsi="Microsoft YaHei" w:eastAsia="Microsoft YaHei" w:cs="Microsoft YaHei"/>
        </w:rPr>
        <w:t>而且說：『因此</w:t>
      </w:r>
      <w:r>
        <w:rPr>
          <w:rFonts w:ascii="Times New Roman" w:hAnsi="Times New Roman" w:eastAsia="Times New Roman" w:cs="Times New Roman"/>
        </w:rPr>
        <w:t>,</w:t>
      </w:r>
      <w:r>
        <w:rPr>
          <w:rFonts w:ascii="Microsoft YaHei" w:hAnsi="Microsoft YaHei" w:eastAsia="Microsoft YaHei" w:cs="Microsoft YaHei"/>
        </w:rPr>
        <w:t>人要離開父母</w:t>
      </w:r>
      <w:r>
        <w:rPr>
          <w:rFonts w:ascii="Times New Roman" w:hAnsi="Times New Roman" w:eastAsia="Times New Roman" w:cs="Times New Roman"/>
        </w:rPr>
        <w:t>,</w:t>
      </w:r>
      <w:r>
        <w:rPr>
          <w:rFonts w:ascii="Microsoft YaHei" w:hAnsi="Microsoft YaHei" w:eastAsia="Microsoft YaHei" w:cs="Microsoft YaHei"/>
        </w:rPr>
        <w:t>與妻子連合</w:t>
      </w:r>
      <w:r>
        <w:rPr>
          <w:rFonts w:ascii="Times New Roman" w:hAnsi="Times New Roman" w:eastAsia="Times New Roman" w:cs="Times New Roman"/>
        </w:rPr>
        <w:t>,</w:t>
      </w:r>
      <w:r>
        <w:rPr>
          <w:rFonts w:ascii="Microsoft YaHei" w:hAnsi="Microsoft YaHei" w:eastAsia="Microsoft YaHei" w:cs="Microsoft YaHei"/>
        </w:rPr>
        <w:t>二人成為一體</w:t>
      </w:r>
      <w:r>
        <w:rPr>
          <w:rFonts w:ascii="Times New Roman" w:hAnsi="Times New Roman" w:eastAsia="Times New Roman" w:cs="Times New Roman"/>
        </w:rPr>
        <w:t>.</w:t>
      </w:r>
      <w:r>
        <w:rPr>
          <w:rFonts w:ascii="Microsoft YaHei" w:hAnsi="Microsoft YaHei" w:eastAsia="Microsoft YaHei" w:cs="Microsoft YaHei"/>
        </w:rPr>
        <w:t>』這樣</w:t>
      </w:r>
      <w:r>
        <w:rPr>
          <w:rFonts w:ascii="Times New Roman" w:hAnsi="Times New Roman" w:eastAsia="Times New Roman" w:cs="Times New Roman"/>
        </w:rPr>
        <w:t>,</w:t>
      </w:r>
      <w:r>
        <w:rPr>
          <w:rFonts w:ascii="Microsoft YaHei" w:hAnsi="Microsoft YaHei" w:eastAsia="Microsoft YaHei" w:cs="Microsoft YaHei"/>
        </w:rPr>
        <w:t>他們不再是兩個人</w:t>
      </w:r>
      <w:r>
        <w:rPr>
          <w:rFonts w:ascii="Times New Roman" w:hAnsi="Times New Roman" w:eastAsia="Times New Roman" w:cs="Times New Roman"/>
        </w:rPr>
        <w:t>,</w:t>
      </w:r>
      <w:r>
        <w:rPr>
          <w:rFonts w:ascii="Microsoft YaHei" w:hAnsi="Microsoft YaHei" w:eastAsia="Microsoft YaHei" w:cs="Microsoft YaHei"/>
        </w:rPr>
        <w:t>乃是一體的了</w:t>
      </w:r>
      <w:r>
        <w:rPr>
          <w:rFonts w:ascii="Times New Roman" w:hAnsi="Times New Roman" w:eastAsia="Times New Roman" w:cs="Times New Roman"/>
        </w:rPr>
        <w:t>.</w:t>
      </w:r>
      <w:r>
        <w:rPr>
          <w:rFonts w:ascii="Microsoft YaHei" w:hAnsi="Microsoft YaHei" w:eastAsia="Microsoft YaHei" w:cs="Microsoft YaHei"/>
        </w:rPr>
        <w:t>所以</w:t>
      </w:r>
      <w:r>
        <w:rPr>
          <w:rFonts w:ascii="Times New Roman" w:hAnsi="Times New Roman" w:eastAsia="Times New Roman" w:cs="Times New Roman"/>
        </w:rPr>
        <w:t>,</w:t>
      </w:r>
      <w:r>
        <w:rPr>
          <w:rFonts w:ascii="Microsoft YaHei" w:hAnsi="Microsoft YaHei" w:eastAsia="Microsoft YaHei" w:cs="Microsoft YaHei"/>
        </w:rPr>
        <w:t>神所配合的</w:t>
      </w:r>
      <w:r>
        <w:rPr>
          <w:rFonts w:ascii="Times New Roman" w:hAnsi="Times New Roman" w:eastAsia="Times New Roman" w:cs="Times New Roman"/>
        </w:rPr>
        <w:t>,</w:t>
      </w:r>
      <w:r>
        <w:rPr>
          <w:rFonts w:ascii="Microsoft YaHei" w:hAnsi="Microsoft YaHei" w:eastAsia="Microsoft YaHei" w:cs="Microsoft YaHei"/>
        </w:rPr>
        <w:t>人不可分開</w:t>
      </w:r>
      <w:r>
        <w:rPr>
          <w:rFonts w:ascii="Times New Roman" w:hAnsi="Times New Roman" w:eastAsia="Times New Roman" w:cs="Times New Roman"/>
        </w:rPr>
        <w:t>.</w:t>
      </w:r>
      <w:r>
        <w:rPr>
          <w:rFonts w:ascii="Microsoft YaHei" w:hAnsi="Microsoft YaHei" w:eastAsia="Microsoft YaHei" w:cs="Microsoft YaHei"/>
        </w:rPr>
        <w:t>馬太福音</w:t>
      </w:r>
      <w:r>
        <w:rPr>
          <w:rFonts w:ascii="Times New Roman" w:hAnsi="Times New Roman" w:eastAsia="Times New Roman" w:cs="Times New Roman"/>
        </w:rPr>
        <w:t xml:space="preserve"> 19:5, 6</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“Je fus ramenée à la proclamation du premier avènement de Christ. Jean fut envoyé dans l’esprit et la puissance d’Élie pour préparer la voie de Jésus. Ceux qui rejetèrent le témoignage de Jean ne tirèrent aucun profit des enseignements de Jésus. Leur opposition au message qui annonçait sa venue les plaça dans une position où ils ne pouvaient pas recevoir aisément les preuves les plus fortes qu’il était le Messie. Satan poussa ceux qui avaient rejeté le message de Jean à aller plus loin encore, jusqu’à rejeter et crucifier Christ. En agissant ainsi, ils se placèrent là où ils ne pouvaient recevoir la bénédiction du jour de la Pentecôte, qui leur aurait enseigné le chemin vers le sanctuaire céleste. Le déchirement du voile du temple montra que les sacrifices et les ordonnances juifs ne seraient plus reçus. Le grand Sacrifice avait été offert et avait été accepté, et le Saint-Esprit qui descendit au jour de la Pentecôte transporta les pensées des disciples du sanctuaire terrestre vers le sanctuaire céleste, où Jésus était entré par son propre sang, pour répandre sur ses disciples les bienfaits de son expiation. Mais les Juifs furent laissés dans de complètes ténèbres. Ils perdirent toute la lumière qu’ils auraient pu avoir sur le plan du salut, et continuèrent à se confier dans leurs sacrifices et leurs offrandes inutiles. Le sanctuaire céleste avait pris la place du sanctuaire terrestre, et pourtant ils n’avaient aucune connaissance de ce changement. C’est pourquoi ils ne pouvaient bénéficier de la médiation de Christ dans le lieu saint.</w:t>
      </w:r>
    </w:p>
    <w:p>
      <w:pPr>
        <w:pStyle w:val="ArticleScripture"/>
        <w:jc w:val="left"/>
      </w:pPr>
      <w:r>
        <w:rPr>
          <w:rFonts w:ascii="Times New Roman" w:hAnsi="Times New Roman" w:eastAsia="Times New Roman" w:cs="Times New Roman"/>
        </w:rPr>
        <w:t>“</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কার্যধারা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আতঙ্কিত</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তাকায়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লজ্জাজনক</w:t>
      </w:r>
      <w:r>
        <w:rPr>
          <w:rFonts w:ascii="Times New Roman" w:hAnsi="Times New Roman" w:eastAsia="Times New Roman" w:cs="Times New Roman"/>
        </w:rPr>
        <w:t xml:space="preserve"> </w:t>
      </w:r>
      <w:r>
        <w:rPr>
          <w:rFonts w:ascii="Nirmala UI" w:hAnsi="Nirmala UI" w:eastAsia="Nirmala UI" w:cs="Nirmala UI"/>
        </w:rPr>
        <w:t>নির্যাতনের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ভালোবাসে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অনুভব</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সেটিকে</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এনেছেন।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গ্রহণযোগ্যতা</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গভীরতম</w:t>
      </w:r>
      <w:r>
        <w:rPr>
          <w:rFonts w:ascii="Times New Roman" w:hAnsi="Times New Roman" w:eastAsia="Times New Roman" w:cs="Times New Roman"/>
        </w:rPr>
        <w:t xml:space="preserve"> </w:t>
      </w:r>
      <w:r>
        <w:rPr>
          <w:rFonts w:ascii="Nirmala UI" w:hAnsi="Nirmala UI" w:eastAsia="Nirmala UI" w:cs="Nirmala UI"/>
        </w:rPr>
        <w:t>আগ্রহসহ</w:t>
      </w:r>
      <w:r>
        <w:rPr>
          <w:rFonts w:ascii="Times New Roman" w:hAnsi="Times New Roman" w:eastAsia="Times New Roman" w:cs="Times New Roman"/>
        </w:rPr>
        <w:t xml:space="preserve"> </w:t>
      </w:r>
      <w:r>
        <w:rPr>
          <w:rFonts w:ascii="Nirmala UI" w:hAnsi="Nirmala UI" w:eastAsia="Nirmala UI" w:cs="Nirmala UI"/>
        </w:rPr>
        <w:t>পর্যবেক্ষণ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যীশুকে</w:t>
      </w:r>
      <w:r>
        <w:rPr>
          <w:rFonts w:ascii="Times New Roman" w:hAnsi="Times New Roman" w:eastAsia="Times New Roman" w:cs="Times New Roman"/>
        </w:rPr>
        <w:t xml:space="preserve"> </w:t>
      </w:r>
      <w:r>
        <w:rPr>
          <w:rFonts w:ascii="Nirmala UI" w:hAnsi="Nirmala UI" w:eastAsia="Nirmala UI" w:cs="Nirmala UI"/>
        </w:rPr>
        <w:t>ভালোবাসার</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কাহিনি</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অশ্রুপাত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আগমনের</w:t>
      </w:r>
      <w:r>
        <w:rPr>
          <w:rFonts w:ascii="Times New Roman" w:hAnsi="Times New Roman" w:eastAsia="Times New Roman" w:cs="Times New Roman"/>
        </w:rPr>
        <w:t xml:space="preserve"> </w:t>
      </w:r>
      <w:r>
        <w:rPr>
          <w:rFonts w:ascii="Nirmala UI" w:hAnsi="Nirmala UI" w:eastAsia="Nirmala UI" w:cs="Nirmala UI"/>
        </w:rPr>
        <w:t>সুসমাচারকে</w:t>
      </w:r>
      <w:r>
        <w:rPr>
          <w:rFonts w:ascii="Times New Roman" w:hAnsi="Times New Roman" w:eastAsia="Times New Roman" w:cs="Times New Roman"/>
        </w:rPr>
        <w:t xml:space="preserve"> </w:t>
      </w:r>
      <w:r>
        <w:rPr>
          <w:rFonts w:ascii="Nirmala UI" w:hAnsi="Nirmala UI" w:eastAsia="Nirmala UI" w:cs="Nirmala UI"/>
        </w:rPr>
        <w:t>উপহাস</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আনন্দের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আবির্ভাবকে</w:t>
      </w:r>
      <w:r>
        <w:rPr>
          <w:rFonts w:ascii="Times New Roman" w:hAnsi="Times New Roman" w:eastAsia="Times New Roman" w:cs="Times New Roman"/>
        </w:rPr>
        <w:t xml:space="preserve"> </w:t>
      </w:r>
      <w:r>
        <w:rPr>
          <w:rFonts w:ascii="Nirmala UI" w:hAnsi="Nirmala UI" w:eastAsia="Nirmala UI" w:cs="Nirmala UI"/>
        </w:rPr>
        <w:t>ভালোবাসত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ঘৃণা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মণ্ডলীগুলো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বহিষ্কার</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দ্বিতীয়টির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উপকৃত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দ্বারাও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উপকৃত</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পূর্ববর্তী</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বোধশক্তিকে</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অন্ধকারাচ্ছন্ন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প্রবেশের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প্রদর্শন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আলোই</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দেখেছি</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যীশুকে</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নামমাত্র</w:t>
      </w:r>
      <w:r>
        <w:rPr>
          <w:rFonts w:ascii="Times New Roman" w:hAnsi="Times New Roman" w:eastAsia="Times New Roman" w:cs="Times New Roman"/>
        </w:rPr>
        <w:t xml:space="preserve"> </w:t>
      </w:r>
      <w:r>
        <w:rPr>
          <w:rFonts w:ascii="Nirmala UI" w:hAnsi="Nirmala UI" w:eastAsia="Nirmala UI" w:cs="Nirmala UI"/>
        </w:rPr>
        <w:t>মণ্ডলীগুলো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বার্তাগুলোকে</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যাওয়ার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মধ্যস্থতার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উপকারও</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নিষ্ফল</w:t>
      </w:r>
      <w:r>
        <w:rPr>
          <w:rFonts w:ascii="Times New Roman" w:hAnsi="Times New Roman" w:eastAsia="Times New Roman" w:cs="Times New Roman"/>
        </w:rPr>
        <w:t xml:space="preserve"> </w:t>
      </w:r>
      <w:r>
        <w:rPr>
          <w:rFonts w:ascii="Nirmala UI" w:hAnsi="Nirmala UI" w:eastAsia="Nirmala UI" w:cs="Nirmala UI"/>
        </w:rPr>
        <w:t>বলিদান</w:t>
      </w:r>
      <w:r>
        <w:rPr>
          <w:rFonts w:ascii="Times New Roman" w:hAnsi="Times New Roman" w:eastAsia="Times New Roman" w:cs="Times New Roman"/>
        </w:rPr>
        <w:t xml:space="preserve"> </w:t>
      </w:r>
      <w:r>
        <w:rPr>
          <w:rFonts w:ascii="Nirmala UI" w:hAnsi="Nirmala UI" w:eastAsia="Nirmala UI" w:cs="Nirmala UI"/>
        </w:rPr>
        <w:t>উৎসর্গ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তারাও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কক্ষে</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নিষ্ফল</w:t>
      </w:r>
      <w:r>
        <w:rPr>
          <w:rFonts w:ascii="Times New Roman" w:hAnsi="Times New Roman" w:eastAsia="Times New Roman" w:cs="Times New Roman"/>
        </w:rPr>
        <w:t xml:space="preserve"> </w:t>
      </w:r>
      <w:r>
        <w:rPr>
          <w:rFonts w:ascii="Nirmala UI" w:hAnsi="Nirmala UI" w:eastAsia="Nirmala UI" w:cs="Nirmala UI"/>
        </w:rPr>
        <w:t>প্রার্থনাগুলো</w:t>
      </w:r>
      <w:r>
        <w:rPr>
          <w:rFonts w:ascii="Times New Roman" w:hAnsi="Times New Roman" w:eastAsia="Times New Roman" w:cs="Times New Roman"/>
        </w:rPr>
        <w:t xml:space="preserve"> </w:t>
      </w:r>
      <w:r>
        <w:rPr>
          <w:rFonts w:ascii="Nirmala UI" w:hAnsi="Nirmala UI" w:eastAsia="Nirmala UI" w:cs="Nirmala UI"/>
        </w:rPr>
        <w:t>নিবেদন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প্রস্থান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প্রতারণায়</w:t>
      </w:r>
      <w:r>
        <w:rPr>
          <w:rFonts w:ascii="Times New Roman" w:hAnsi="Times New Roman" w:eastAsia="Times New Roman" w:cs="Times New Roman"/>
        </w:rPr>
        <w:t xml:space="preserve"> </w:t>
      </w:r>
      <w:r>
        <w:rPr>
          <w:rFonts w:ascii="Nirmala UI" w:hAnsi="Nirmala UI" w:eastAsia="Nirmala UI" w:cs="Nirmala UI"/>
        </w:rPr>
        <w:t>সন্তুষ্ট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কথিত</w:t>
      </w:r>
      <w:r>
        <w:rPr>
          <w:rFonts w:ascii="Times New Roman" w:hAnsi="Times New Roman" w:eastAsia="Times New Roman" w:cs="Times New Roman"/>
        </w:rPr>
        <w:t xml:space="preserve"> </w:t>
      </w:r>
      <w:r>
        <w:rPr>
          <w:rFonts w:ascii="Nirmala UI" w:hAnsi="Nirmala UI" w:eastAsia="Nirmala UI" w:cs="Nirmala UI"/>
        </w:rPr>
        <w:t>খ্রিষ্টানদের</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চিহ্নসমূহ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মিথ্যাচারপূর্ণ</w:t>
      </w:r>
      <w:r>
        <w:rPr>
          <w:rFonts w:ascii="Times New Roman" w:hAnsi="Times New Roman" w:eastAsia="Times New Roman" w:cs="Times New Roman"/>
        </w:rPr>
        <w:t xml:space="preserve"> </w:t>
      </w:r>
      <w:r>
        <w:rPr>
          <w:rFonts w:ascii="Nirmala UI" w:hAnsi="Nirmala UI" w:eastAsia="Nirmala UI" w:cs="Nirmala UI"/>
        </w:rPr>
        <w:t>আশ্চর্যকর্মের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ফাঁদে</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আবদ্ধ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 Thelathini na Nane</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