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 raamat ja Laodikeia seitsmenda päeva adventistide kogudus – number nelikümmend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Ka Nɔmba Karɔtɔ</w:t>
      </w:r>
    </w:p>
    <w:p>
      <w:pPr>
        <w:pStyle w:val="ArticleBody"/>
        <w:jc w:val="left"/>
      </w:pPr>
      <w:r>
        <w:rPr>
          <w:rFonts w:ascii="Times New Roman" w:hAnsi="Times New Roman" w:eastAsia="Times New Roman" w:cs="Times New Roman"/>
        </w:rPr>
        <w:t>Peter di Caesarea Filipi secara simbolis berada pada jam ketiga, sedang dalam perjalanan menuju Kaisarea Maritima dan jam kesembilan. Menurut Matius dan Markus, enam hari kemudian, Petrus, Yakobus, dan Yohanes berada di Gunung Transfigurasi. Lukas mengatakan delapan hari, di antara Panium dan Gunung itu. Dari pintu-pintu gerbang neraka, di Caesarea Filipi, sampai kepada kematian salib, dengan suatu persinggahan di sepanjang jalan di Gunung Transfigurasi. Tiga langkah dari Panium menuju undang-undang hari Minggu. Kaisarea pada permulaan, Gunung di tengah, dan Kaisarea pada akhirnya. Neraka pada permulaan, kematian pada akhirnya, dengan kemuliaan Allah di tengah. Suatu pemberontakan alfa yang dilambangkan oleh pintu-pintu gerbang neraka dan suatu pemberontakan omega yang dilambangkan oleh kematian Anak Allah.</w:t>
      </w:r>
    </w:p>
    <w:p>
      <w:pPr>
        <w:pStyle w:val="ArticleBody"/>
        <w:jc w:val="left"/>
      </w:pPr>
      <w:r>
        <w:rPr>
          <w:rFonts w:ascii="Times New Roman" w:hAnsi="Times New Roman" w:eastAsia="Times New Roman" w:cs="Times New Roman"/>
        </w:rPr>
        <w:t>Cesarea Philippi ndiye msingi, kwa maana ni huko Kristo alipotambulisha Mwamba ambao juu yake angelijenga kanisa lake. Mlima wa Kugeuka Sura ndiyo hatua ya pili, ambako hekalu linakamilishwa na jiwe kuu la pembeni linawekwa. Hatua ya tatu ya hukumu msalabani ilifuata baada ya hapo.</w:t>
      </w:r>
    </w:p>
    <w:p>
      <w:pPr>
        <w:pStyle w:val="ArticleScripture"/>
        <w:jc w:val="left"/>
      </w:pPr>
      <w:r>
        <w:rPr>
          <w:rFonts w:ascii="Times New Roman" w:hAnsi="Times New Roman" w:eastAsia="Times New Roman" w:cs="Times New Roman"/>
        </w:rPr>
        <w:t>Et il leur dit : En vérité, je vous le dis, il y en a quelques-uns de ceux qui sont ici présents qui ne goûteront point la mort, jusqu’à ce qu’ils aient vu le royaume de Dieu venir avec puissance. Six jours après, Jésus prit avec lui Pierre, Jacques et Jean, et les mena seuls à l’écart sur une haute montagne. Et il fut transfiguré devant eux. Ses vêtements devinrent resplendissants, d’une blancheur éclatante comme la neige, telle qu’aucun foulon sur la terre ne peut ainsi blanchir. Élie et Moïse leur apparurent, s’entretenant avec Jésus.</w:t>
      </w:r>
    </w:p>
    <w:p>
      <w:pPr>
        <w:pStyle w:val="ArticleScripture"/>
        <w:jc w:val="left"/>
      </w:pPr>
      <w:r>
        <w:rPr>
          <w:rFonts w:ascii="Times New Roman" w:hAnsi="Times New Roman" w:eastAsia="Times New Roman" w:cs="Times New Roman"/>
        </w:rPr>
        <w:t>Et Pierre, prenant la parole, dit à Jésus : Maître, il est bon que nous soyons ici ; faisons trois tabernacles : un pour toi, un pour Moïse, et un pour Élie.</w:t>
      </w:r>
    </w:p>
    <w:p>
      <w:pPr>
        <w:pStyle w:val="ArticleScripture"/>
        <w:jc w:val="left"/>
      </w:pPr>
      <w:r>
        <w:rPr>
          <w:rFonts w:ascii="Leelawadee UI" w:hAnsi="Leelawadee UI" w:eastAsia="Leelawadee UI" w:cs="Leelawadee UI"/>
        </w:rPr>
        <w:t>เพราะเขาไม่รู้ว่าจะพูดอะไรดี</w:t>
      </w:r>
      <w:r>
        <w:rPr>
          <w:rFonts w:ascii="Times New Roman" w:hAnsi="Times New Roman" w:eastAsia="Times New Roman" w:cs="Times New Roman"/>
        </w:rPr>
        <w:t xml:space="preserve"> </w:t>
      </w:r>
      <w:r>
        <w:rPr>
          <w:rFonts w:ascii="Leelawadee UI" w:hAnsi="Leelawadee UI" w:eastAsia="Leelawadee UI" w:cs="Leelawadee UI"/>
        </w:rPr>
        <w:t>ด้วยว่าพวกเขากลัวยิ่งนัก</w:t>
      </w:r>
      <w:r>
        <w:rPr>
          <w:rFonts w:ascii="Times New Roman" w:hAnsi="Times New Roman" w:eastAsia="Times New Roman" w:cs="Times New Roman"/>
        </w:rPr>
        <w:t xml:space="preserve"> </w:t>
      </w:r>
      <w:r>
        <w:rPr>
          <w:rFonts w:ascii="Leelawadee UI" w:hAnsi="Leelawadee UI" w:eastAsia="Leelawadee UI" w:cs="Leelawadee UI"/>
        </w:rPr>
        <w:t>แล้วมีเมฆก้อนหนึ่งมาปกคลุมพวกเขาไว้</w:t>
      </w:r>
      <w:r>
        <w:rPr>
          <w:rFonts w:ascii="Times New Roman" w:hAnsi="Times New Roman" w:eastAsia="Times New Roman" w:cs="Times New Roman"/>
        </w:rPr>
        <w:t xml:space="preserve"> </w:t>
      </w:r>
      <w:r>
        <w:rPr>
          <w:rFonts w:ascii="Leelawadee UI" w:hAnsi="Leelawadee UI" w:eastAsia="Leelawadee UI" w:cs="Leelawadee UI"/>
        </w:rPr>
        <w:t>และมีพระสุรเสียงออกมาจากเมฆนั้นว่า</w:t>
      </w:r>
      <w:r>
        <w:rPr>
          <w:rFonts w:ascii="Times New Roman" w:hAnsi="Times New Roman" w:eastAsia="Times New Roman" w:cs="Times New Roman"/>
        </w:rPr>
        <w:t xml:space="preserve"> “</w:t>
      </w:r>
      <w:r>
        <w:rPr>
          <w:rFonts w:ascii="Leelawadee UI" w:hAnsi="Leelawadee UI" w:eastAsia="Leelawadee UI" w:cs="Leelawadee UI"/>
        </w:rPr>
        <w:t>ผู้นี้เป็นบุตรที่รักของเรา</w:t>
      </w:r>
      <w:r>
        <w:rPr>
          <w:rFonts w:ascii="Times New Roman" w:hAnsi="Times New Roman" w:eastAsia="Times New Roman" w:cs="Times New Roman"/>
        </w:rPr>
        <w:t xml:space="preserve"> </w:t>
      </w:r>
      <w:r>
        <w:rPr>
          <w:rFonts w:ascii="Leelawadee UI" w:hAnsi="Leelawadee UI" w:eastAsia="Leelawadee UI" w:cs="Leelawadee UI"/>
        </w:rPr>
        <w:t>จงฟังท่านเถิด</w:t>
      </w:r>
      <w:r>
        <w:rPr>
          <w:rFonts w:ascii="Times New Roman" w:hAnsi="Times New Roman" w:eastAsia="Times New Roman" w:cs="Times New Roman"/>
        </w:rPr>
        <w:t xml:space="preserve">” </w:t>
      </w:r>
      <w:r>
        <w:rPr>
          <w:rFonts w:ascii="Leelawadee UI" w:hAnsi="Leelawadee UI" w:eastAsia="Leelawadee UI" w:cs="Leelawadee UI"/>
        </w:rPr>
        <w:t>และในทันใดนั้น</w:t>
      </w:r>
      <w:r>
        <w:rPr>
          <w:rFonts w:ascii="Times New Roman" w:hAnsi="Times New Roman" w:eastAsia="Times New Roman" w:cs="Times New Roman"/>
        </w:rPr>
        <w:t xml:space="preserve"> </w:t>
      </w:r>
      <w:r>
        <w:rPr>
          <w:rFonts w:ascii="Leelawadee UI" w:hAnsi="Leelawadee UI" w:eastAsia="Leelawadee UI" w:cs="Leelawadee UI"/>
        </w:rPr>
        <w:t>เมื่อพวกเขามองไปรอบ</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ก็ไม่เห็นผู้ใดอีกเลย</w:t>
      </w:r>
      <w:r>
        <w:rPr>
          <w:rFonts w:ascii="Times New Roman" w:hAnsi="Times New Roman" w:eastAsia="Times New Roman" w:cs="Times New Roman"/>
        </w:rPr>
        <w:t xml:space="preserve"> </w:t>
      </w:r>
      <w:r>
        <w:rPr>
          <w:rFonts w:ascii="Leelawadee UI" w:hAnsi="Leelawadee UI" w:eastAsia="Leelawadee UI" w:cs="Leelawadee UI"/>
        </w:rPr>
        <w:t>เว้นแต่พระเยซูเท่านั้นที่อยู่กับพวกเขา</w:t>
      </w:r>
      <w:r>
        <w:rPr>
          <w:rFonts w:ascii="Times New Roman" w:hAnsi="Times New Roman" w:eastAsia="Times New Roman" w:cs="Times New Roman"/>
        </w:rPr>
        <w:t xml:space="preserve"> </w:t>
      </w:r>
      <w:r>
        <w:rPr>
          <w:rFonts w:ascii="Leelawadee UI" w:hAnsi="Leelawadee UI" w:eastAsia="Leelawadee UI" w:cs="Leelawadee UI"/>
        </w:rPr>
        <w:t>และเมื่อพวกเขากำลังลงจากภูเขา</w:t>
      </w:r>
      <w:r>
        <w:rPr>
          <w:rFonts w:ascii="Times New Roman" w:hAnsi="Times New Roman" w:eastAsia="Times New Roman" w:cs="Times New Roman"/>
        </w:rPr>
        <w:t xml:space="preserve"> </w:t>
      </w:r>
      <w:r>
        <w:rPr>
          <w:rFonts w:ascii="Leelawadee UI" w:hAnsi="Leelawadee UI" w:eastAsia="Leelawadee UI" w:cs="Leelawadee UI"/>
        </w:rPr>
        <w:t>พระองค์ได้ทรงกำชับพวกเขาว่า</w:t>
      </w:r>
      <w:r>
        <w:rPr>
          <w:rFonts w:ascii="Times New Roman" w:hAnsi="Times New Roman" w:eastAsia="Times New Roman" w:cs="Times New Roman"/>
        </w:rPr>
        <w:t xml:space="preserve"> </w:t>
      </w:r>
      <w:r>
        <w:rPr>
          <w:rFonts w:ascii="Leelawadee UI" w:hAnsi="Leelawadee UI" w:eastAsia="Leelawadee UI" w:cs="Leelawadee UI"/>
        </w:rPr>
        <w:t>อย่าได้บอกผู้ใดถึงสิ่งที่พวกเขาได้เห็น</w:t>
      </w:r>
      <w:r>
        <w:rPr>
          <w:rFonts w:ascii="Times New Roman" w:hAnsi="Times New Roman" w:eastAsia="Times New Roman" w:cs="Times New Roman"/>
        </w:rPr>
        <w:t xml:space="preserve"> </w:t>
      </w:r>
      <w:r>
        <w:rPr>
          <w:rFonts w:ascii="Leelawadee UI" w:hAnsi="Leelawadee UI" w:eastAsia="Leelawadee UI" w:cs="Leelawadee UI"/>
        </w:rPr>
        <w:t>จนกว่าบุตรมนุษย์จะทรงเป็นขึ้นจากความตาย</w:t>
      </w:r>
      <w:r>
        <w:rPr>
          <w:rFonts w:ascii="Times New Roman" w:hAnsi="Times New Roman" w:eastAsia="Times New Roman" w:cs="Times New Roman"/>
        </w:rPr>
        <w:t xml:space="preserve"> </w:t>
      </w:r>
      <w:r>
        <w:rPr>
          <w:rFonts w:ascii="Leelawadee UI" w:hAnsi="Leelawadee UI" w:eastAsia="Leelawadee UI" w:cs="Leelawadee UI"/>
        </w:rPr>
        <w:t>และพวกเขาก็เก็บถ้อยคำนั้นไว้ในใจของตน</w:t>
      </w:r>
      <w:r>
        <w:rPr>
          <w:rFonts w:ascii="Times New Roman" w:hAnsi="Times New Roman" w:eastAsia="Times New Roman" w:cs="Times New Roman"/>
        </w:rPr>
        <w:t xml:space="preserve"> </w:t>
      </w:r>
      <w:r>
        <w:rPr>
          <w:rFonts w:ascii="Leelawadee UI" w:hAnsi="Leelawadee UI" w:eastAsia="Leelawadee UI" w:cs="Leelawadee UI"/>
        </w:rPr>
        <w:t>โดยซักถามกันและกันว่าการเป็นขึ้นจากความตายนั้นจะหมายความว่าอย่างไร</w:t>
      </w:r>
      <w:r>
        <w:rPr>
          <w:rFonts w:ascii="Times New Roman" w:hAnsi="Times New Roman" w:eastAsia="Times New Roman" w:cs="Times New Roman"/>
        </w:rPr>
        <w:t xml:space="preserve"> </w:t>
      </w:r>
      <w:r>
        <w:rPr>
          <w:rFonts w:ascii="Leelawadee UI" w:hAnsi="Leelawadee UI" w:eastAsia="Leelawadee UI" w:cs="Leelawadee UI"/>
        </w:rPr>
        <w:t>มาระโก</w:t>
      </w:r>
      <w:r>
        <w:rPr>
          <w:rFonts w:ascii="Times New Roman" w:hAnsi="Times New Roman" w:eastAsia="Times New Roman" w:cs="Times New Roman"/>
        </w:rPr>
        <w:t xml:space="preserve"> 9:1–10</w:t>
      </w:r>
    </w:p>
    <w:p>
      <w:pPr>
        <w:pStyle w:val="ArticleBody"/>
        <w:jc w:val="left"/>
      </w:pPr>
      <w:r>
        <w:rPr>
          <w:rFonts w:ascii="Times New Roman" w:hAnsi="Times New Roman" w:eastAsia="Times New Roman" w:cs="Times New Roman"/>
        </w:rPr>
        <w:t>Tágbeɔ jiɛi, Peter suɔ i ye aŋgbeɔ Moses, Kristo ni Elijah shishi mli.</w:t>
      </w:r>
    </w:p>
    <w:p>
      <w:pPr>
        <w:pStyle w:val="ArticleScripture"/>
        <w:jc w:val="left"/>
      </w:pPr>
      <w:r>
        <w:rPr>
          <w:rFonts w:ascii="Times New Roman" w:hAnsi="Times New Roman" w:eastAsia="Times New Roman" w:cs="Times New Roman"/>
        </w:rPr>
        <w:t>“Musa alifia katika mauti, lakini Mikayeli alishuka chini akampa uzima kabla mwili wake haujaona uharibifu. Shetani alijaribu kuushikilia mwili, akidai kuwa ni wake; lakini Mikayeli alimfufua Musa na kumchukua kwenda mbinguni. Shetani alimkashifu Mungu kwa uchungu mwingi, akimlaumu kuwa si wa haki kwa kuruhusu mawindo yake kunyang’anywa kutoka kwake; lakini Kristo hakumkemea adui Yake, ijapokuwa ilikuwa kwa njia ya jaribu lake ndipo mtumishi wa Mungu alikuwa ameanguka. Kwa upole alimwelekeza kwa Baba Yake, akisema, ‘Bwana na akukemee.’”</w:t>
      </w:r>
    </w:p>
    <w:p>
      <w:pPr>
        <w:pStyle w:val="ArticleScripture"/>
        <w:jc w:val="left"/>
      </w:pPr>
      <w:r>
        <w:rPr>
          <w:rFonts w:ascii="Times New Roman" w:hAnsi="Times New Roman" w:eastAsia="Times New Roman" w:cs="Times New Roman"/>
        </w:rPr>
        <w:t>„Есүс Өөрийн шавь нартайгаа хамт зогсож байсан зарим нь Бурханы хаанчлал хүч чадалтайгаар ирэхийг үзэх хүртлээ үхлийг амсахгүй гэж айлдсан билээ. Энэ амлалт нь хувиралтын үед биелэв. Тэнд Есүсийн царай төрх өөрчлөгдөж, нар мэт гэрэлтэн байв. Түүний хувцас цав цагаан, гялалзан байлаа. Есүсийн хоёр дахь үзэгдэлтээр үхэгсдээс амилуулагдах хүмүүсийг төлөөлөхөөр Мосе тэнд байв. Харин үхлийг үзэлгүйгээр өргөгдсөн Елиа нь Христийн хоёр дахь ирэлтээр үхэшгүй байдалд өөрчлөгдөж, үхлийг үзэлгүйгээр тэнгэр өөд өргөгдөх хүмүүсийг төлөөлж байв. Шавь нар Есүсийн дээд сүр жавхланг, мөн тэднийг халхалсан үүлийг гайхшрал ба айдастайгаар харж, аймшигт сүр жавхлан дунд хэлэх Бурханы дууг сонсов: “Энэ бол Миний хайрт Хүү; Түүнийг сонс.”” Эртний Бичвэрүүд, 164.</w:t>
      </w:r>
    </w:p>
    <w:p>
      <w:pPr>
        <w:pStyle w:val="ArticleBody"/>
        <w:jc w:val="left"/>
      </w:pPr>
      <w:r>
        <w:rPr>
          <w:rFonts w:ascii="Times New Roman" w:hAnsi="Times New Roman" w:eastAsia="Times New Roman" w:cs="Times New Roman"/>
        </w:rPr>
        <w:t>Le mont de la Transfiguration met en évidence trois tabernacles : le tabernacle de Moïse au commencement de l’ancien Israël, le tabernacle du Christ tel qu’il est représenté par Son incarnation, et le tabernacle que constituent les cent quarante-quatre mille, tel qu’il est représenté par Élie. Les cent quarante-quatre mille sont ceux qui ne goûteront pas la mort jusqu’à ce qu’ils voient la seconde venue du Christ. Le mont désigne le moment où le sceau est imprimé sur les cent quarante-quatre mille.</w:t>
      </w:r>
    </w:p>
    <w:p>
      <w:pPr>
        <w:pStyle w:val="ArticleBody"/>
        <w:jc w:val="left"/>
      </w:pPr>
      <w:r>
        <w:rPr>
          <w:rFonts w:ascii="Times New Roman" w:hAnsi="Times New Roman" w:eastAsia="Times New Roman" w:cs="Times New Roman"/>
        </w:rPr>
        <w:t>Hema ya wale mia moja na arobaini na nne elfu inainuliwa katika Sikukuu ya Vibanda ya kiantitipo. Mlima unawatambulisha wale wasioonja mauti, nao huweka mbele mashahidi watatu kwamba, wanapouona utukufu wa Mungu mlimani, hiyo ndiyo Sikukuu ya Vibanda ya kiantitipo.</w:t>
      </w:r>
    </w:p>
    <w:p>
      <w:pPr>
        <w:pStyle w:val="ArticleBody"/>
        <w:jc w:val="left"/>
      </w:pPr>
      <w:r>
        <w:rPr>
          <w:rFonts w:ascii="Times New Roman" w:hAnsi="Times New Roman" w:eastAsia="Times New Roman" w:cs="Times New Roman"/>
        </w:rPr>
        <w:t>Ivo vanomutswa seTaberenakeri raEria, rakatanga kuvakwa muna 2023, apo vose Mozisi naEria vakamutswa kuvakafa. Kutanga kwakaiswa hwaro, ndihwo hwaro bedzi hunogona kuiswa, uye hwaro ihwohwo ndiKristu, ibwe repakona neibwe rehwaro. Zvino ibwe repamusoro rinoiswa, rinomirira kusimbiswa kwezana namakumi mana nezvina zvuru, sezvakaratidzwa paGomo reKushanduka Chiso. Pagomo ipapo Petro, Jakobho naJohani vanomirira avo vasingatongoraviri rufu. Petro akazonyora kuti ushe hwevaprista ndivo vakaravira kuti Ishe akanaka, uye vakanga vari imba yomweya. Vakaravira upenyu, naizvozvo havaraviri rufu.</w:t>
      </w:r>
    </w:p>
    <w:p>
      <w:pPr>
        <w:pStyle w:val="ArticleScripture"/>
        <w:jc w:val="left"/>
      </w:pPr>
      <w:r>
        <w:rPr>
          <w:rFonts w:ascii="Times New Roman" w:hAnsi="Times New Roman" w:eastAsia="Times New Roman" w:cs="Times New Roman"/>
        </w:rPr>
        <w:t>اگر فی‌الواقع چشیده‌اید که خداوند کریم است. و چون نزد او می‌آیید، همچون نزد سنگی زنده، که هرچند از جانب مردمان مردود شمرده شد، اما نزد خدا برگزیده و گران‌بهاست، شما نیز، چون سنگ‌های زنده، بنا می‌شوید تا خانه‌ای روحانی و کهانتی مقدس باشید، تا قربانی‌های روحانی را که به‌واسطهٔ عیسی مسیح نزد خدا مقبول است، تقدیم کنید. از این‌رو در کتاب نیز آمده است: «اینک، در صهیون سنگ زاویهٔ اصلی‌ای می‌نهم، برگزیده و گران‌بها؛ و هر که به او ایمان آورد، هرگز سرافکنده نخواهد شد.» 1 Peter 2:3–6.</w:t>
      </w:r>
    </w:p>
    <w:p>
      <w:pPr>
        <w:pStyle w:val="ArticleBody"/>
        <w:jc w:val="left"/>
      </w:pPr>
      <w:r>
        <w:rPr>
          <w:rFonts w:ascii="Times New Roman" w:hAnsi="Times New Roman" w:eastAsia="Times New Roman" w:cs="Times New Roman"/>
        </w:rPr>
        <w:t>“آشفته” diýlip terjime edilen söz “utanmak” diýmekdir. Galyndy Petrus arkaly şekillendirilýär, we olaryň şatlygy ahyrky ýagyş habaryny ret edenler bilen garşy goýulýar. Bir ýüz kyrk dört müňüň açary — çünki Petrusa patyşalygyň “açarlary” berildi — Sionda goýlan “baş burç daşy”dyr. Ol daş dogruçylaryň gözünde ajaýypdyr, Efraýymyň serhoşlary üçin bolsa büdreme daşy bolup durýar.</w:t>
      </w:r>
    </w:p>
    <w:p>
      <w:pPr>
        <w:pStyle w:val="ArticleScripture"/>
        <w:jc w:val="left"/>
      </w:pPr>
      <w:r>
        <w:rPr>
          <w:rFonts w:ascii="Times New Roman" w:hAnsi="Times New Roman" w:eastAsia="Times New Roman" w:cs="Times New Roman"/>
        </w:rPr>
        <w:t>سنگی که معماران رد کردند، همان سنگِ سرِ زاویه شده است. این از جانب خداوند است؛ و در نظر ما شگفت‌انگیز است. مزمور 118:22، 23.</w:t>
      </w:r>
    </w:p>
    <w:p>
      <w:pPr>
        <w:pStyle w:val="ArticleBody"/>
        <w:jc w:val="left"/>
      </w:pPr>
      <w:r>
        <w:rPr>
          <w:rFonts w:ascii="Times New Roman" w:hAnsi="Times New Roman" w:eastAsia="Times New Roman" w:cs="Times New Roman"/>
        </w:rPr>
        <w:t>Yesu yavuze kuri iyo mirongo mu gusoza umugani w’uruzabibu.</w:t>
      </w:r>
    </w:p>
    <w:p>
      <w:pPr>
        <w:pStyle w:val="ArticleScripture"/>
        <w:jc w:val="left"/>
      </w:pPr>
      <w:r>
        <w:rPr>
          <w:rFonts w:ascii="Microsoft YaHei" w:hAnsi="Microsoft YaHei" w:eastAsia="Microsoft YaHei" w:cs="Microsoft YaHei"/>
        </w:rPr>
        <w:t>耶稣对他们说：</w:t>
      </w:r>
      <w:r>
        <w:rPr>
          <w:rFonts w:ascii="Times New Roman" w:hAnsi="Times New Roman" w:eastAsia="Times New Roman" w:cs="Times New Roman"/>
        </w:rPr>
        <w:t>“</w:t>
      </w:r>
      <w:r>
        <w:rPr>
          <w:rFonts w:ascii="Microsoft YaHei" w:hAnsi="Microsoft YaHei" w:eastAsia="Microsoft YaHei" w:cs="Microsoft YaHei"/>
        </w:rPr>
        <w:t>经上写着：</w:t>
      </w:r>
      <w:r>
        <w:rPr>
          <w:rFonts w:ascii="Times New Roman" w:hAnsi="Times New Roman" w:eastAsia="Times New Roman" w:cs="Times New Roman"/>
        </w:rPr>
        <w:t>‘</w:t>
      </w:r>
      <w:r>
        <w:rPr>
          <w:rFonts w:ascii="Microsoft YaHei" w:hAnsi="Microsoft YaHei" w:eastAsia="Microsoft YaHei" w:cs="Microsoft YaHei"/>
        </w:rPr>
        <w:t>匠人所弃的石头</w:t>
      </w:r>
      <w:r>
        <w:rPr>
          <w:rFonts w:ascii="Times New Roman" w:hAnsi="Times New Roman" w:eastAsia="Times New Roman" w:cs="Times New Roman"/>
        </w:rPr>
        <w:t>,</w:t>
      </w:r>
      <w:r>
        <w:rPr>
          <w:rFonts w:ascii="Microsoft YaHei" w:hAnsi="Microsoft YaHei" w:eastAsia="Microsoft YaHei" w:cs="Microsoft YaHei"/>
        </w:rPr>
        <w:t>已成了房角的头块石头</w:t>
      </w:r>
      <w:r>
        <w:rPr>
          <w:rFonts w:ascii="Times New Roman" w:hAnsi="Times New Roman" w:eastAsia="Times New Roman" w:cs="Times New Roman"/>
        </w:rPr>
        <w:t>;</w:t>
      </w:r>
      <w:r>
        <w:rPr>
          <w:rFonts w:ascii="Microsoft YaHei" w:hAnsi="Microsoft YaHei" w:eastAsia="Microsoft YaHei" w:cs="Microsoft YaHei"/>
        </w:rPr>
        <w:t>这是主所做的</w:t>
      </w:r>
      <w:r>
        <w:rPr>
          <w:rFonts w:ascii="Times New Roman" w:hAnsi="Times New Roman" w:eastAsia="Times New Roman" w:cs="Times New Roman"/>
        </w:rPr>
        <w:t>,</w:t>
      </w:r>
      <w:r>
        <w:rPr>
          <w:rFonts w:ascii="Microsoft YaHei" w:hAnsi="Microsoft YaHei" w:eastAsia="Microsoft YaHei" w:cs="Microsoft YaHei"/>
        </w:rPr>
        <w:t>在我们眼中看为希奇</w:t>
      </w:r>
      <w:r>
        <w:rPr>
          <w:rFonts w:ascii="Times New Roman" w:hAnsi="Times New Roman" w:eastAsia="Times New Roman" w:cs="Times New Roman"/>
        </w:rPr>
        <w:t>.’</w:t>
      </w:r>
      <w:r>
        <w:rPr>
          <w:rFonts w:ascii="Microsoft YaHei" w:hAnsi="Microsoft YaHei" w:eastAsia="Microsoft YaHei" w:cs="Microsoft YaHei"/>
        </w:rPr>
        <w:t>你们没有念过吗？所以我告诉你们</w:t>
      </w:r>
      <w:r>
        <w:rPr>
          <w:rFonts w:ascii="Times New Roman" w:hAnsi="Times New Roman" w:eastAsia="Times New Roman" w:cs="Times New Roman"/>
        </w:rPr>
        <w:t xml:space="preserve">, </w:t>
      </w:r>
      <w:r>
        <w:rPr>
          <w:rFonts w:ascii="Microsoft YaHei" w:hAnsi="Microsoft YaHei" w:eastAsia="Microsoft YaHei" w:cs="Microsoft YaHei"/>
        </w:rPr>
        <w:t>神的国必从你们夺去</w:t>
      </w:r>
      <w:r>
        <w:rPr>
          <w:rFonts w:ascii="Times New Roman" w:hAnsi="Times New Roman" w:eastAsia="Times New Roman" w:cs="Times New Roman"/>
        </w:rPr>
        <w:t>,</w:t>
      </w:r>
      <w:r>
        <w:rPr>
          <w:rFonts w:ascii="Microsoft YaHei" w:hAnsi="Microsoft YaHei" w:eastAsia="Microsoft YaHei" w:cs="Microsoft YaHei"/>
        </w:rPr>
        <w:t>赐给那能结出其果子的国民</w:t>
      </w:r>
      <w:r>
        <w:rPr>
          <w:rFonts w:ascii="Times New Roman" w:hAnsi="Times New Roman" w:eastAsia="Times New Roman" w:cs="Times New Roman"/>
        </w:rPr>
        <w:t>.</w:t>
      </w:r>
      <w:r>
        <w:rPr>
          <w:rFonts w:ascii="Microsoft YaHei" w:hAnsi="Microsoft YaHei" w:eastAsia="Microsoft YaHei" w:cs="Microsoft YaHei"/>
        </w:rPr>
        <w:t>凡跌在这石头上的</w:t>
      </w:r>
      <w:r>
        <w:rPr>
          <w:rFonts w:ascii="Times New Roman" w:hAnsi="Times New Roman" w:eastAsia="Times New Roman" w:cs="Times New Roman"/>
        </w:rPr>
        <w:t>,</w:t>
      </w:r>
      <w:r>
        <w:rPr>
          <w:rFonts w:ascii="Microsoft YaHei" w:hAnsi="Microsoft YaHei" w:eastAsia="Microsoft YaHei" w:cs="Microsoft YaHei"/>
        </w:rPr>
        <w:t>必要跌碎</w:t>
      </w:r>
      <w:r>
        <w:rPr>
          <w:rFonts w:ascii="Times New Roman" w:hAnsi="Times New Roman" w:eastAsia="Times New Roman" w:cs="Times New Roman"/>
        </w:rPr>
        <w:t>;</w:t>
      </w:r>
      <w:r>
        <w:rPr>
          <w:rFonts w:ascii="Microsoft YaHei" w:hAnsi="Microsoft YaHei" w:eastAsia="Microsoft YaHei" w:cs="Microsoft YaHei"/>
        </w:rPr>
        <w:t>这石头掉在谁的身上</w:t>
      </w:r>
      <w:r>
        <w:rPr>
          <w:rFonts w:ascii="Times New Roman" w:hAnsi="Times New Roman" w:eastAsia="Times New Roman" w:cs="Times New Roman"/>
        </w:rPr>
        <w:t>,</w:t>
      </w:r>
      <w:r>
        <w:rPr>
          <w:rFonts w:ascii="Microsoft YaHei" w:hAnsi="Microsoft YaHei" w:eastAsia="Microsoft YaHei" w:cs="Microsoft YaHei"/>
        </w:rPr>
        <w:t>就要把谁砸得粉碎</w:t>
      </w:r>
      <w:r>
        <w:rPr>
          <w:rFonts w:ascii="Times New Roman" w:hAnsi="Times New Roman" w:eastAsia="Times New Roman" w:cs="Times New Roman"/>
        </w:rPr>
        <w:t>.”</w:t>
      </w:r>
      <w:r>
        <w:rPr>
          <w:rFonts w:ascii="Microsoft YaHei" w:hAnsi="Microsoft YaHei" w:eastAsia="Microsoft YaHei" w:cs="Microsoft YaHei"/>
        </w:rPr>
        <w:t>祭司长和法利赛人听见他的比喻</w:t>
      </w:r>
      <w:r>
        <w:rPr>
          <w:rFonts w:ascii="Times New Roman" w:hAnsi="Times New Roman" w:eastAsia="Times New Roman" w:cs="Times New Roman"/>
        </w:rPr>
        <w:t>,</w:t>
      </w:r>
      <w:r>
        <w:rPr>
          <w:rFonts w:ascii="Microsoft YaHei" w:hAnsi="Microsoft YaHei" w:eastAsia="Microsoft YaHei" w:cs="Microsoft YaHei"/>
        </w:rPr>
        <w:t>就看出他是指着他们说的</w:t>
      </w:r>
      <w:r>
        <w:rPr>
          <w:rFonts w:ascii="Times New Roman" w:hAnsi="Times New Roman" w:eastAsia="Times New Roman" w:cs="Times New Roman"/>
        </w:rPr>
        <w:t>.</w:t>
      </w:r>
      <w:r>
        <w:rPr>
          <w:rFonts w:ascii="Microsoft YaHei" w:hAnsi="Microsoft YaHei" w:eastAsia="Microsoft YaHei" w:cs="Microsoft YaHei"/>
        </w:rPr>
        <w:t>于是他们想要下手拿他</w:t>
      </w:r>
      <w:r>
        <w:rPr>
          <w:rFonts w:ascii="Times New Roman" w:hAnsi="Times New Roman" w:eastAsia="Times New Roman" w:cs="Times New Roman"/>
        </w:rPr>
        <w:t>,</w:t>
      </w:r>
      <w:r>
        <w:rPr>
          <w:rFonts w:ascii="Microsoft YaHei" w:hAnsi="Microsoft YaHei" w:eastAsia="Microsoft YaHei" w:cs="Microsoft YaHei"/>
        </w:rPr>
        <w:t>只是怕众人</w:t>
      </w:r>
      <w:r>
        <w:rPr>
          <w:rFonts w:ascii="Times New Roman" w:hAnsi="Times New Roman" w:eastAsia="Times New Roman" w:cs="Times New Roman"/>
        </w:rPr>
        <w:t>,</w:t>
      </w:r>
      <w:r>
        <w:rPr>
          <w:rFonts w:ascii="Microsoft YaHei" w:hAnsi="Microsoft YaHei" w:eastAsia="Microsoft YaHei" w:cs="Microsoft YaHei"/>
        </w:rPr>
        <w:t>因为众人以他为先知</w:t>
      </w:r>
      <w:r>
        <w:rPr>
          <w:rFonts w:ascii="Times New Roman" w:hAnsi="Times New Roman" w:eastAsia="Times New Roman" w:cs="Times New Roman"/>
        </w:rPr>
        <w:t>.</w:t>
      </w:r>
      <w:r>
        <w:rPr>
          <w:rFonts w:ascii="Microsoft YaHei" w:hAnsi="Microsoft YaHei" w:eastAsia="Microsoft YaHei" w:cs="Microsoft YaHei"/>
        </w:rPr>
        <w:t>马太福音</w:t>
      </w:r>
      <w:r>
        <w:rPr>
          <w:rFonts w:ascii="Times New Roman" w:hAnsi="Times New Roman" w:eastAsia="Times New Roman" w:cs="Times New Roman"/>
        </w:rPr>
        <w:t xml:space="preserve"> 21:42–46.</w:t>
      </w:r>
    </w:p>
    <w:p>
      <w:pPr>
        <w:pStyle w:val="ArticleBody"/>
        <w:jc w:val="left"/>
      </w:pPr>
      <w:r>
        <w:rPr>
          <w:rFonts w:ascii="Times New Roman" w:hAnsi="Times New Roman" w:eastAsia="Times New Roman" w:cs="Times New Roman"/>
        </w:rPr>
        <w:t>Ani aɖe si xɔ gɔmedzedze nyanyui la, woaƒe e ɖe anyigba, elabena Agbadza lae nye Kristo, eye nyanyui la ƒe dɔe nye be wòatsɔ amegbetɔ la abɔbɔe ɖe anyigba me.</w:t>
      </w:r>
    </w:p>
    <w:p>
      <w:pPr>
        <w:pStyle w:val="ArticleScripture"/>
        <w:jc w:val="left"/>
      </w:pPr>
      <w:r>
        <w:rPr>
          <w:rFonts w:ascii="Times New Roman" w:hAnsi="Times New Roman" w:eastAsia="Times New Roman" w:cs="Times New Roman"/>
        </w:rPr>
        <w:t>“Што е оправдување преку вера? Тоа е Божјо дело, со кое славата на човекот се положува во правта и за човекот се прави она што не е во негова моќ да го направи за себе. Кога луѓето ќе ја увидат сопствената ништожност, тие се подготвени да бидат облечени со Христовата праведност. Кога ќе почнат да Го фалат и возвишуваат Бога по цел ден, тогаш, гледајќи, се преобразуваат во истиот образ. Што е преродување? Тоа е откривање на човекот каква е неговата вистинска природа, дека во себе самиот е безвреден.” Manuscript Releases, volume 20, 117.</w:t>
      </w:r>
    </w:p>
    <w:p>
      <w:pPr>
        <w:pStyle w:val="ArticleBody"/>
        <w:jc w:val="left"/>
      </w:pPr>
      <w:r>
        <w:rPr>
          <w:rFonts w:ascii="Times New Roman" w:hAnsi="Times New Roman" w:eastAsia="Times New Roman" w:cs="Times New Roman"/>
        </w:rPr>
        <w:t>Quiconque rejette la pierre de fondement est détruit, comme ce fut le cas pour l’ancien Israël, en accomplissement de l’application par Jésus de la parabole de la vigne. Les Juifs ont rejeté le Christ; ils ont aussi rejeté Moïse, car s’ils avaient cru Moïse, ils auraient aussi cru le Christ. Ils ont rejeté la loi de Dieu, enseignant comme doctrine les commandements des hommes. Le Christ, Moïse et la Loi sont tous des symboles de fondements, et le Christ est le seul fondement qui puisse être posé; mais le Christ comme fondement est représenté par de nombreux symboles. Moïse et la Loi sont tous deux des illustrations de ce fait. Le Christ est le seul fondement, mais cela signifie seulement que les autres fondements dans sa Parole prophétique ne sont que des symboles de quelque aspect de son caractère.</w:t>
      </w:r>
    </w:p>
    <w:p>
      <w:pPr>
        <w:pStyle w:val="ArticleScripture"/>
        <w:jc w:val="left"/>
      </w:pPr>
      <w:r>
        <w:rPr>
          <w:rFonts w:ascii="Times New Roman" w:hAnsi="Times New Roman" w:eastAsia="Times New Roman" w:cs="Times New Roman"/>
        </w:rPr>
        <w:t>Denn einen anderen Grund kann niemand legen als den, der gelegt ist, welcher ist Jesus Christus. 1. Korinther 3,11.</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दर्ज</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आज्ञाएँ</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प्रतिलिपि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मुकुटस्वरूप</w:t>
      </w:r>
      <w:r>
        <w:rPr>
          <w:rFonts w:ascii="Times New Roman" w:hAnsi="Times New Roman" w:eastAsia="Times New Roman" w:cs="Times New Roman"/>
        </w:rPr>
        <w:t xml:space="preserve"> </w:t>
      </w:r>
      <w:r>
        <w:rPr>
          <w:rFonts w:ascii="Nirmala UI" w:hAnsi="Nirmala UI" w:eastAsia="Nirmala UI" w:cs="Nirmala UI"/>
        </w:rPr>
        <w:t>पूर्णकारी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चखा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कुंजियों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Le premier caractère, l’alpha, est un, mais la dernière lettre, l’oméga, est vingt-deux. Les joyaux de Miller brillent comme le soleil, mais lorsque l’homme au balai à poussière rassembla les joyaux, ils furent dix fois plus éclatants. La reconnaissance que la fin d’une ligne prophétique est la même, mais plus puissante que le commencement des lignes prophétiques, est « merveilleuse ». C’est un élément du caractère du Christ ; c’est l’une des clefs données à Pierre pour lier les cent quarante-quatre mille.</w:t>
      </w:r>
    </w:p>
    <w:p>
      <w:pPr>
        <w:pStyle w:val="ArticleBody"/>
        <w:jc w:val="left"/>
      </w:pPr>
      <w:r>
        <w:rPr>
          <w:rFonts w:ascii="Times New Roman" w:hAnsi="Times New Roman" w:eastAsia="Times New Roman" w:cs="Times New Roman"/>
        </w:rPr>
        <w:t>Nyumba ya kiroho ya Petro ni sanduku la ndoto ya William Miller, na pia ni ghala la zaka na sadaka la Malaki. Madirisha ya mbinguni yanapofunguliwa, kundi moja hutupwa nje ya chumba, na kundi lile lingine hutupwa ndani ya sanduku na kupewa mavazi meupe ya kitani ya kanisa la Mungu lenye ushindi.</w:t>
      </w:r>
    </w:p>
    <w:p>
      <w:pPr>
        <w:pStyle w:val="ArticleScripture"/>
        <w:jc w:val="left"/>
      </w:pPr>
      <w:r>
        <w:rPr>
          <w:rFonts w:ascii="Leelawadee UI" w:hAnsi="Leelawadee UI" w:eastAsia="Leelawadee UI" w:cs="Leelawadee UI"/>
        </w:rPr>
        <w:t>ด้วยท่าทีอันเคร่งขรึมและต่อหน้าสาธารณชน</w:t>
      </w:r>
      <w:r>
        <w:rPr>
          <w:rFonts w:ascii="Times New Roman" w:hAnsi="Times New Roman" w:eastAsia="Times New Roman" w:cs="Times New Roman"/>
        </w:rPr>
        <w:t xml:space="preserve"> </w:t>
      </w:r>
      <w:r>
        <w:rPr>
          <w:rFonts w:ascii="Leelawadee UI" w:hAnsi="Leelawadee UI" w:eastAsia="Leelawadee UI" w:cs="Leelawadee UI"/>
        </w:rPr>
        <w:t>ชนยูดาห์ได้ปฏิญาณตนว่าจะเชื่อฟังธรรมบัญญัติของพระเจ้า</w:t>
      </w:r>
      <w:r>
        <w:rPr>
          <w:rFonts w:ascii="Times New Roman" w:hAnsi="Times New Roman" w:eastAsia="Times New Roman" w:cs="Times New Roman"/>
        </w:rPr>
        <w:t xml:space="preserve"> </w:t>
      </w:r>
      <w:r>
        <w:rPr>
          <w:rFonts w:ascii="Leelawadee UI" w:hAnsi="Leelawadee UI" w:eastAsia="Leelawadee UI" w:cs="Leelawadee UI"/>
        </w:rPr>
        <w:t>แต่เมื่ออิทธิพลของเอสราและเนหะมีย์ถูกถอนออกไปชั่วระยะหนึ่ง</w:t>
      </w:r>
      <w:r>
        <w:rPr>
          <w:rFonts w:ascii="Times New Roman" w:hAnsi="Times New Roman" w:eastAsia="Times New Roman" w:cs="Times New Roman"/>
        </w:rPr>
        <w:t xml:space="preserve"> </w:t>
      </w:r>
      <w:r>
        <w:rPr>
          <w:rFonts w:ascii="Leelawadee UI" w:hAnsi="Leelawadee UI" w:eastAsia="Leelawadee UI" w:cs="Leelawadee UI"/>
        </w:rPr>
        <w:t>ก็มีคนเป็นอันมากที่หันเหไปจากองค์พระผู้เป็นเจ้า</w:t>
      </w:r>
      <w:r>
        <w:rPr>
          <w:rFonts w:ascii="Times New Roman" w:hAnsi="Times New Roman" w:eastAsia="Times New Roman" w:cs="Times New Roman"/>
        </w:rPr>
        <w:t xml:space="preserve"> </w:t>
      </w:r>
      <w:r>
        <w:rPr>
          <w:rFonts w:ascii="Leelawadee UI" w:hAnsi="Leelawadee UI" w:eastAsia="Leelawadee UI" w:cs="Leelawadee UI"/>
        </w:rPr>
        <w:t>เนหะมีย์ได้กลับไปยังเปอร์เซียแล้ว</w:t>
      </w:r>
      <w:r>
        <w:rPr>
          <w:rFonts w:ascii="Times New Roman" w:hAnsi="Times New Roman" w:eastAsia="Times New Roman" w:cs="Times New Roman"/>
        </w:rPr>
        <w:t xml:space="preserve"> </w:t>
      </w:r>
      <w:r>
        <w:rPr>
          <w:rFonts w:ascii="Leelawadee UI" w:hAnsi="Leelawadee UI" w:eastAsia="Leelawadee UI" w:cs="Leelawadee UI"/>
        </w:rPr>
        <w:t>ระหว่างที่ท่านไม่อยู่จากกรุงเยรูซาเล็ม</w:t>
      </w:r>
      <w:r>
        <w:rPr>
          <w:rFonts w:ascii="Times New Roman" w:hAnsi="Times New Roman" w:eastAsia="Times New Roman" w:cs="Times New Roman"/>
        </w:rPr>
        <w:t xml:space="preserve"> </w:t>
      </w:r>
      <w:r>
        <w:rPr>
          <w:rFonts w:ascii="Leelawadee UI" w:hAnsi="Leelawadee UI" w:eastAsia="Leelawadee UI" w:cs="Leelawadee UI"/>
        </w:rPr>
        <w:t>ความชั่วร้ายต่าง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ได้ค่อย</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แทรกเข้ามา</w:t>
      </w:r>
      <w:r>
        <w:rPr>
          <w:rFonts w:ascii="Times New Roman" w:hAnsi="Times New Roman" w:eastAsia="Times New Roman" w:cs="Times New Roman"/>
        </w:rPr>
        <w:t xml:space="preserve"> </w:t>
      </w:r>
      <w:r>
        <w:rPr>
          <w:rFonts w:ascii="Leelawadee UI" w:hAnsi="Leelawadee UI" w:eastAsia="Leelawadee UI" w:cs="Leelawadee UI"/>
        </w:rPr>
        <w:t>ซึ่งคุกคามที่จะบิดเบือนประชาชาติ</w:t>
      </w:r>
      <w:r>
        <w:rPr>
          <w:rFonts w:ascii="Times New Roman" w:hAnsi="Times New Roman" w:eastAsia="Times New Roman" w:cs="Times New Roman"/>
        </w:rPr>
        <w:t xml:space="preserve"> </w:t>
      </w:r>
      <w:r>
        <w:rPr>
          <w:rFonts w:ascii="Leelawadee UI" w:hAnsi="Leelawadee UI" w:eastAsia="Leelawadee UI" w:cs="Leelawadee UI"/>
        </w:rPr>
        <w:t>บรรดาคนที่กราบไหว้รูปเคารพไม่เพียงแต่ได้ตั้งหลักอยู่ในเมืองเท่านั้น</w:t>
      </w:r>
      <w:r>
        <w:rPr>
          <w:rFonts w:ascii="Times New Roman" w:hAnsi="Times New Roman" w:eastAsia="Times New Roman" w:cs="Times New Roman"/>
        </w:rPr>
        <w:t xml:space="preserve"> </w:t>
      </w:r>
      <w:r>
        <w:rPr>
          <w:rFonts w:ascii="Leelawadee UI" w:hAnsi="Leelawadee UI" w:eastAsia="Leelawadee UI" w:cs="Leelawadee UI"/>
        </w:rPr>
        <w:t>แต่ด้วยการปรากฏตัวของพวกเขา</w:t>
      </w:r>
      <w:r>
        <w:rPr>
          <w:rFonts w:ascii="Times New Roman" w:hAnsi="Times New Roman" w:eastAsia="Times New Roman" w:cs="Times New Roman"/>
        </w:rPr>
        <w:t xml:space="preserve"> </w:t>
      </w:r>
      <w:r>
        <w:rPr>
          <w:rFonts w:ascii="Leelawadee UI" w:hAnsi="Leelawadee UI" w:eastAsia="Leelawadee UI" w:cs="Leelawadee UI"/>
        </w:rPr>
        <w:t>สถานบริเวณอันศักดิ์สิทธิ์ของพระวิหารเองก็ถูกทำให้เป็นมลทินด้วย</w:t>
      </w:r>
      <w:r>
        <w:rPr>
          <w:rFonts w:ascii="Times New Roman" w:hAnsi="Times New Roman" w:eastAsia="Times New Roman" w:cs="Times New Roman"/>
        </w:rPr>
        <w:t xml:space="preserve"> </w:t>
      </w:r>
      <w:r>
        <w:rPr>
          <w:rFonts w:ascii="Leelawadee UI" w:hAnsi="Leelawadee UI" w:eastAsia="Leelawadee UI" w:cs="Leelawadee UI"/>
        </w:rPr>
        <w:t>โดยการสมรสกับชนต่างชาติ</w:t>
      </w:r>
      <w:r>
        <w:rPr>
          <w:rFonts w:ascii="Times New Roman" w:hAnsi="Times New Roman" w:eastAsia="Times New Roman" w:cs="Times New Roman"/>
        </w:rPr>
        <w:t xml:space="preserve"> </w:t>
      </w:r>
      <w:r>
        <w:rPr>
          <w:rFonts w:ascii="Leelawadee UI" w:hAnsi="Leelawadee UI" w:eastAsia="Leelawadee UI" w:cs="Leelawadee UI"/>
        </w:rPr>
        <w:t>ได้เกิดสัมพันธไมตรีขึ้นระหว่างเอลียาชีบมหาปุโรหิตกับโทบียาห์ชาวอัมโมน</w:t>
      </w:r>
      <w:r>
        <w:rPr>
          <w:rFonts w:ascii="Times New Roman" w:hAnsi="Times New Roman" w:eastAsia="Times New Roman" w:cs="Times New Roman"/>
        </w:rPr>
        <w:t xml:space="preserve"> </w:t>
      </w:r>
      <w:r>
        <w:rPr>
          <w:rFonts w:ascii="Leelawadee UI" w:hAnsi="Leelawadee UI" w:eastAsia="Leelawadee UI" w:cs="Leelawadee UI"/>
        </w:rPr>
        <w:t>ผู้เป็นศัตรูตัวฉกาจของอิสราเอล</w:t>
      </w:r>
      <w:r>
        <w:rPr>
          <w:rFonts w:ascii="Times New Roman" w:hAnsi="Times New Roman" w:eastAsia="Times New Roman" w:cs="Times New Roman"/>
        </w:rPr>
        <w:t xml:space="preserve"> </w:t>
      </w:r>
      <w:r>
        <w:rPr>
          <w:rFonts w:ascii="Leelawadee UI" w:hAnsi="Leelawadee UI" w:eastAsia="Leelawadee UI" w:cs="Leelawadee UI"/>
        </w:rPr>
        <w:t>อันเป็นผลจากพันธมิตรอันมิชอบนี้</w:t>
      </w:r>
      <w:r>
        <w:rPr>
          <w:rFonts w:ascii="Times New Roman" w:hAnsi="Times New Roman" w:eastAsia="Times New Roman" w:cs="Times New Roman"/>
        </w:rPr>
        <w:t xml:space="preserve"> </w:t>
      </w:r>
      <w:r>
        <w:rPr>
          <w:rFonts w:ascii="Leelawadee UI" w:hAnsi="Leelawadee UI" w:eastAsia="Leelawadee UI" w:cs="Leelawadee UI"/>
        </w:rPr>
        <w:t>เอลียาชีบได้อนุญาตให้โทบียาห์เข้าไปอาศัยอยู่ในห้องหนึ่งที่อยู่เนื่องกับพระวิหาร</w:t>
      </w:r>
      <w:r>
        <w:rPr>
          <w:rFonts w:ascii="Times New Roman" w:hAnsi="Times New Roman" w:eastAsia="Times New Roman" w:cs="Times New Roman"/>
        </w:rPr>
        <w:t xml:space="preserve"> </w:t>
      </w:r>
      <w:r>
        <w:rPr>
          <w:rFonts w:ascii="Leelawadee UI" w:hAnsi="Leelawadee UI" w:eastAsia="Leelawadee UI" w:cs="Leelawadee UI"/>
        </w:rPr>
        <w:t>ซึ่งแต่ก่อนเคยใช้เป็นห้องเก็บสิบลดและเครื่องถวายของประชาชน</w:t>
      </w:r>
    </w:p>
    <w:p>
      <w:pPr>
        <w:pStyle w:val="ArticleScripture"/>
        <w:jc w:val="left"/>
      </w:pPr>
      <w:r>
        <w:rPr>
          <w:rFonts w:ascii="Times New Roman" w:hAnsi="Times New Roman" w:eastAsia="Times New Roman" w:cs="Times New Roman"/>
        </w:rPr>
        <w:t>“Waanii gara jabinaa fi gantummaa Amoonotaa fi Moʼaabotaa Israaʼel irratti raawwatan irraa kan kaʼe, Waaqayyo karaa Museetiin akka isaan bara baraan waldaa saba Isaa keessaa ariʼaman dubbatee ture. Keessa Deuteronomy 23:3–6 ilaalaa. Dubbii kana mormuudhaan, lubni ol aanaan kennaawwan mana Waaqayyoo keessaa kutaa sana keessatti kuufaman baasuun bakka nama kanaa, bakka buʼaa sanyii dhorkamaa kanaatiif qopheessee ture. Kana caalaa Waaqayyoon tuffachuun hin dandaʼamu ture; sababni isaas diina Waaqayyoo fi dhugaa Isaa taʼe kanaaf ayyaana akkanaa kennuun tuffii guddaa agarsiisuu isaati.”</w:t>
      </w:r>
    </w:p>
    <w:p>
      <w:pPr>
        <w:pStyle w:val="ArticleScripture"/>
        <w:jc w:val="left"/>
      </w:pPr>
      <w:r>
        <w:rPr>
          <w:rFonts w:ascii="Times New Roman" w:hAnsi="Times New Roman" w:eastAsia="Times New Roman" w:cs="Times New Roman"/>
        </w:rPr>
        <w:t>« À son retour de Perse, Néhémie apprit cette profanation audacieuse et prit sans délai des mesures pour chasser l’intrus. “J’en fus profondément affligé,” déclare-t-il ; “c’est pourquoi je jetai hors de la chambre tous les objets du ménage de Tobie. Puis je donnai des ordres, et l’on purifia les chambres ; et j’y fis rapporter les ustensiles de la maison de Dieu, avec l’offrande et l’encens.” »</w:t>
      </w:r>
    </w:p>
    <w:p>
      <w:pPr>
        <w:pStyle w:val="ArticleScripture"/>
        <w:jc w:val="left"/>
      </w:pPr>
      <w:r>
        <w:rPr>
          <w:rFonts w:ascii="Times New Roman" w:hAnsi="Times New Roman" w:eastAsia="Times New Roman" w:cs="Times New Roman"/>
        </w:rPr>
        <w:t>«Non seulement le temple avait été profané, mais les offrandes avaient été détournées de leur destination. Cela avait contribué à décourager la libéralité du peuple. Celui-ci avait perdu son zèle et sa ferveur, et se montrait peu disposé à acquitter ses dîmes. Les trésors de la maison du Seigneur étaient insuffisamment pourvus; beaucoup de chantres et d’autres personnes employées au service du temple, ne recevant pas un soutien suffisant, avaient abandonné l’œuvre de Dieu pour travailler ailleurs. »</w:t>
      </w:r>
    </w:p>
    <w:p>
      <w:pPr>
        <w:pStyle w:val="ArticleScripture"/>
        <w:jc w:val="left"/>
      </w:pPr>
      <w:r>
        <w:rPr>
          <w:rFonts w:ascii="Times New Roman" w:hAnsi="Times New Roman" w:eastAsia="Times New Roman" w:cs="Times New Roman"/>
        </w:rPr>
        <w:t>“Nehemia se mitit travay pou redres sa bann abi. Li ti rasanble ansanm bann ki ti’n kit servis lakaz Senyer, ‘e i ti remet zot dan zot plas.’ Sa ti enspir pep la avek konfyans, e tou Zida ti anmenn ‘ladim ble, diven nouvo, ek delwil.’ Bann zonm ki ‘ti ganny konsidere fidel’ ti ganny fer ‘trezorye lo trezorriyo,’ ‘e zot fonksyon ti pou distribye avek zot bann frer.’” Prophets and Kings, 669, 670.</w:t>
      </w:r>
    </w:p>
    <w:p>
      <w:pPr>
        <w:pStyle w:val="ArticleBody"/>
        <w:jc w:val="left"/>
      </w:pPr>
      <w:r>
        <w:rPr>
          <w:rFonts w:ascii="Times New Roman" w:hAnsi="Times New Roman" w:eastAsia="Times New Roman" w:cs="Times New Roman"/>
        </w:rPr>
        <w:t>Ngati Nehemiya “adzinga Tobiya,” iye anali kusonyeza pasadakhale Khristu akuthamangitsa osintha ndalama m’kachisi womwewo. Sinalinso kachisi wokha, koma chipinda chomwecho cha m’kachisimo momwe zachikhumi zimasungidwamo. Pamene Eliyakimu wa ku Filadelfiya analowa m’malo mwa Sebena wa ku Laodikaya, Sebena anali msungichuma amene anaponyedwa ku dziko lakutali.</w:t>
      </w:r>
    </w:p>
    <w:p>
      <w:pPr>
        <w:pStyle w:val="ArticleScripture"/>
        <w:jc w:val="left"/>
      </w:pPr>
      <w:r>
        <w:rPr>
          <w:rFonts w:ascii="Times New Roman" w:hAnsi="Times New Roman" w:eastAsia="Times New Roman" w:cs="Times New Roman"/>
        </w:rPr>
        <w:t>Ainsi parle le Seigneur, l’Éternel des armées : Va, rends-toi auprès de cet intendant, auprès de Shebna, qui est préposé à la maison, et dis-lui : Qu’as-tu ici, et qui as-tu ici, pour que tu te sois taillé ici un sépulcre, comme celui qui se taille un sépulcre en haut, qui se creuse une demeure dans le roc ? Voici, l’Éternel te jettera au loin avec une force irrésistible, et il t’enveloppera entièrement. Il te fera certainement tournoyer et te lancera comme une balle dans un vaste pays : là tu mourras, et là seront les chars de ta gloire, ô honte de la maison de ton seigneur ! Je te chasserai de ton poste, et l’on t’arrachera de ta position.</w:t>
      </w:r>
    </w:p>
    <w:p>
      <w:pPr>
        <w:pStyle w:val="ArticleScripture"/>
        <w:jc w:val="left"/>
      </w:pPr>
      <w:r>
        <w:rPr>
          <w:rFonts w:ascii="Times New Roman" w:hAnsi="Times New Roman" w:eastAsia="Times New Roman" w:cs="Times New Roman"/>
        </w:rPr>
        <w:t>En ce jour-là, j’appellerai mon serviteur Éliakim, fils de Hilkija; je le revêtirai de ta tunique, je le ceindrai de ta ceinture, et je remettrai ton autorité entre ses mains. Il sera un père pour les habitants de Jérusalem et pour la maison de Juda. Je mettrai sur son épaule la clé de la maison de David: il ouvrira, et nul ne fermera; il fermera, et nul n’ouvrira.</w:t>
      </w:r>
    </w:p>
    <w:p>
      <w:pPr>
        <w:pStyle w:val="ArticleScripture"/>
        <w:jc w:val="left"/>
      </w:pPr>
      <w:r>
        <w:rPr>
          <w:rFonts w:ascii="Times New Roman" w:hAnsi="Times New Roman" w:eastAsia="Times New Roman" w:cs="Times New Roman"/>
        </w:rPr>
        <w:t>Na mimi nitamtia kama msumari mahali palipo imara; naye atakuwa kiti cha enzi cha utukufu kwa nyumba ya baba yake. Nao wataning’iniza juu yake utukufu wote wa nyumba ya baba yake, wazao na matawi, vyombo vyote vidogo, tangu vyombo vya vikombe hata vyombo vyote vya mapipa. Siku hiyo, asema Bwana wa majeshi, msumari uliotwaliwa katika mahali palipo imara utaondolewa, nao utakatwa na kuanguka; na mzigo uliokuwa juu yake utakomeswa; kwa kuwa Bwana amenena hayo. Isaya 22:15–22.</w:t>
      </w:r>
    </w:p>
    <w:p>
      <w:pPr>
        <w:pStyle w:val="ArticleBody"/>
        <w:jc w:val="left"/>
      </w:pPr>
      <w:r>
        <w:rPr>
          <w:rFonts w:ascii="Times New Roman" w:hAnsi="Times New Roman" w:eastAsia="Times New Roman" w:cs="Times New Roman"/>
        </w:rPr>
        <w:t>On the day when Shebna, the foolish Laodicean, is cast out, Eliakim is given the government of the church triumphant. When Christ cleanses the temple of the one hundred and forty-four thousand from the rubbish that has covered up the precious jewels, He reveals that He would “cover” those represented by Shebna. Before the windows of heaven were opened, the jewels were covered with rubbish; and when the rubbish is cast out, the rubbish is then covered with shame. William Miller’s dream identifies the sealing of the one hundred and forty-four thousand.</w:t>
      </w:r>
    </w:p>
    <w:p>
      <w:pPr>
        <w:pStyle w:val="ArticleBody"/>
        <w:jc w:val="left"/>
      </w:pPr>
      <w:r>
        <w:rPr>
          <w:rFonts w:ascii="Times New Roman" w:hAnsi="Times New Roman" w:eastAsia="Times New Roman" w:cs="Times New Roman"/>
        </w:rPr>
        <w:t>پېتىك مالاكىنىڭ خەزىنىخانىسى، پېترۇسنىڭ روھانى ئۆيى ۋە پېترۇس قۇرۇشنى ئارزۇ قىلغان ئىلýasنىڭ چېدىرىدۇر. توپا سۈپۈرىدىغان ئادەم زىبۇزىننەتلەرنى ساندۇققا تاشلىغاندا، يۈز قىرىق تۆت مىڭ كىشىنىڭ مۇھىرلىنىشىنى ئىپادىلەيدۇ. مالاكى خۇدانىڭ خەلقىنىڭ ھەقىقەتەن ئۇنىڭغا قايتقانلىقىنى ئىسپاتلايدىغان سىناقتىكى بەلگىنى كۆرسىتىپ بېرىدۇ.</w:t>
      </w:r>
    </w:p>
    <w:p>
      <w:pPr>
        <w:pStyle w:val="ArticleScripture"/>
        <w:jc w:val="left"/>
      </w:pPr>
      <w:r>
        <w:rPr>
          <w:rFonts w:ascii="Times New Roman" w:hAnsi="Times New Roman" w:eastAsia="Times New Roman" w:cs="Times New Roman"/>
        </w:rPr>
        <w:t>Andantino, ireo izay natahotra an’i Jehovah dia nifampiresaka matetika; ary Jehovah nihaino ka nandre izany, ary nisy boky fahatsiarovana nosoratana teo anatrehany ho an’izay matahotra an’i Jehovah sy mihevitra ny anarany. Ary ho Ahy ireo, hoy Jehovah, Tompon’ny maro, amin’ny andro hanaovako azy ho rakitro manokana; ary hiantra Azy Aho, tahaka ny olona miantra ny zanany lahy izay manompo azy. Ary amin’izany dia hiverina ianareo ka hahalala manavaka ny marina sy ny ratsy fanahy, dia ny manompo an’Andriamanitra sy ny tsy manompo Azy. Malakia 3:16–18.</w:t>
      </w:r>
    </w:p>
    <w:p>
      <w:pPr>
        <w:pStyle w:val="ArticleBody"/>
        <w:jc w:val="left"/>
      </w:pPr>
      <w:r>
        <w:rPr>
          <w:rFonts w:ascii="Times New Roman" w:hAnsi="Times New Roman" w:eastAsia="Times New Roman" w:cs="Times New Roman"/>
        </w:rPr>
        <w:t>Àfípadà jẹ́ ọ̀rọ̀ pàtàkì nínú àyọkà náà, nítorí Ọlọ́run ń pe àwọn ènìyàn Rẹ̀ láti padà sọ́dọ̀ Rẹ̀, ṣùgbọ́n Ó tún ń pe àwọn ènìyàn wọ̀nyẹn láti dán an wò nípa pípadà àwọn ìdámẹ́wàá àti ọrẹ, bẹ́ẹ̀ sì ni àkókò kan wà nígbà tí àwọn olódodo yóò “padà,” àti nípa ṣíṣe bẹ́ẹ̀, wọn yóò “fi ìyàtọ̀ hàn” láàárín ọlọ́gbọ́n àti aṣiwèrè. Àwọn tí wọ́n bẹ̀rù Olúwa, tí wọ́n sì ronú lórí orúkọ Rẹ̀, ni àwọn tí yóò jẹ́ àsíá ti ọgọ́rùn-ún mẹ́rìnlélógójì ẹgbẹ̀rún náà.</w:t>
      </w:r>
    </w:p>
    <w:p>
      <w:pPr>
        <w:pStyle w:val="ArticleBody"/>
        <w:jc w:val="left"/>
      </w:pPr>
      <w:r>
        <w:rPr>
          <w:rFonts w:ascii="Times New Roman" w:hAnsi="Times New Roman" w:eastAsia="Times New Roman" w:cs="Times New Roman"/>
        </w:rPr>
        <w:t>Kumcha Yehova i yo ma sɔretna a wɔde sɔ hwɛ, enti bere a nkyekyem dunsia ka sɛ, “na afei” wɔn a wosuroo Yehova no, ɛrekyerɛ san kɔhyɛ nkɔmhyɛ asɛm no mu.</w:t>
      </w:r>
    </w:p>
    <w:p>
      <w:pPr>
        <w:pStyle w:val="ArticleScripture"/>
        <w:jc w:val="left"/>
      </w:pPr>
      <w:r>
        <w:rPr>
          <w:rFonts w:ascii="Times New Roman" w:hAnsi="Times New Roman" w:eastAsia="Times New Roman" w:cs="Times New Roman"/>
        </w:rPr>
        <w:t>Pamalo a n’wina ma ndzi nonohile, ku vula HOSI. Kambe n’wina mi ri: Hi vulavule ngopfu yini ku lwa na wena? Mi te: Ku tirhela Xikwembu i swa hava; naswona ku pfune yini leswaku hi hlayisile nawu wa xona, ni leswaku hi fambile hi ku rila emahlweni ka HOSI ya mavandla? Kutani sweswi hi vula leswaku lava tikukumuxaka va ni mikateko; ina, lava endlaka leswo biha va tlakusiwile; ina, lava ringaka Xikwembu va tlhela va kutsuriwa. Malaki 3:13–15.</w:t>
      </w:r>
    </w:p>
    <w:p>
      <w:pPr>
        <w:pStyle w:val="ArticleBody"/>
        <w:jc w:val="left"/>
      </w:pPr>
      <w:r>
        <w:rPr>
          <w:rFonts w:ascii="Times New Roman" w:hAnsi="Times New Roman" w:eastAsia="Times New Roman" w:cs="Times New Roman"/>
        </w:rPr>
        <w:t>Malaki di, “awi ma yɛfrɛ ahantanfo no anigyefo.” Wɔfrɛ Efraim asanomfo no “ahantan ahenkyɛw,” na wɔn ani gye bere a wosusuw sɛ Mose ne Elia, adiyifo baanu a wɔhaw wɔn no, awuwu. Wɔn ani gyee koraa ara, enti wɔsomaa akyɛde kɔmaa wɔn ho wɔn ho.</w:t>
      </w:r>
    </w:p>
    <w:p>
      <w:pPr>
        <w:pStyle w:val="ArticleScripture"/>
        <w:jc w:val="left"/>
      </w:pPr>
      <w:r>
        <w:rPr>
          <w:rFonts w:ascii="Times New Roman" w:hAnsi="Times New Roman" w:eastAsia="Times New Roman" w:cs="Times New Roman"/>
        </w:rPr>
        <w:t>Og likene deres skal bli liggende på gaten i den store stad, som i åndelig betydning kalles Sodoma og Egypt, der også vår Herre ble korsfestet. Og mennesker av folk og stammer og tungemål og nasjoner skal se likene deres i tre og en halv dag, og de skal ikke tillate at likene deres blir lagt i grav. Og de som bor på jorden, skal glede seg over dem og fryde seg, og de skal sende gaver til hverandre, fordi disse to profetene plaget dem som bodde på jorden. Åpenbaringen 11:8–10.</w:t>
      </w:r>
    </w:p>
    <w:p>
      <w:pPr>
        <w:pStyle w:val="ArticleBody"/>
        <w:jc w:val="left"/>
      </w:pPr>
      <w:r>
        <w:rPr>
          <w:rFonts w:ascii="Times New Roman" w:hAnsi="Times New Roman" w:eastAsia="Times New Roman" w:cs="Times New Roman"/>
        </w:rPr>
        <w:t>Wenye kiburi wanafurahi tangu Julai 18, 2020 hadi katika mwaka wa 2023. Tarehe 18 Julai, 2020 ujumbe ulikuwa wa “maneno magumu” dhidi ya “Bwana.” Tarehe 18 Julai, 2020 hatukutambua jinsi tulivyokuwa tumenena kwa kutisha dhidi ya Mungu na Neno Lake. Tukiwa tumekatishwa tamaa tuliingia katika wakati wa kukawia, kama unavyowakilishwa na maombolezo haya: “Ni bure kumtumikia Mungu; tena yafaa nini kwamba tumeishika amri yake, na kwamba tumekwenda kwa huzuni mbele za Bwana wa majeshi?” Hili linalingana na maombolezo ya Yeremia, anapoeleza kukatishwa tamaa kwa kwanza.</w:t>
      </w:r>
    </w:p>
    <w:p>
      <w:pPr>
        <w:pStyle w:val="ArticleScripture"/>
        <w:jc w:val="left"/>
      </w:pPr>
      <w:r>
        <w:rPr>
          <w:rFonts w:ascii="Times New Roman" w:hAnsi="Times New Roman" w:eastAsia="Times New Roman" w:cs="Times New Roman"/>
        </w:rPr>
        <w:t>Je ne me suis point assis dans l’assemblée des moqueurs, et je ne m’y suis point réjoui; je me suis tenu seul à cause de ta main, car tu m’as rempli d’indignation. Pourquoi ma douleur est-elle perpétuelle, et ma plaie incurable, refusant d’être guérie? Serais-tu pour moi comme un torrent trompeur, comme des eaux qui tarissent? Jérémie 15:17, 18.</w:t>
      </w:r>
    </w:p>
    <w:p>
      <w:pPr>
        <w:pStyle w:val="ArticleBody"/>
        <w:jc w:val="left"/>
      </w:pPr>
      <w:r>
        <w:rPr>
          <w:rFonts w:ascii="Times New Roman" w:hAnsi="Times New Roman" w:eastAsia="Times New Roman" w:cs="Times New Roman"/>
        </w:rPr>
        <w:t>Nos paroles furent hardies avec la prédiction du 18 juillet 2020, et nous ne savions pas alors à quel point nous nous étions rebellés. Au moment de la déception, le temps d’attente était en cours, tandis qu’une classe était dans le deuil et que l’autre se réjouissait. Dans ce contexte, Malachie déclare :</w:t>
      </w:r>
    </w:p>
    <w:p>
      <w:pPr>
        <w:pStyle w:val="ArticleScripture"/>
        <w:jc w:val="left"/>
      </w:pPr>
      <w:r>
        <w:rPr>
          <w:rFonts w:ascii="Times New Roman" w:hAnsi="Times New Roman" w:eastAsia="Times New Roman" w:cs="Times New Roman"/>
        </w:rPr>
        <w:t>Потоа оние што се боеја од Господа зборуваа често еден со друг; и Господ внимаваше и чу, и книга за спомен беше запишана пред Него за оние што се бојат од Господа и го почитуваат Неговото име. И тие ќе бидат Мои, вели Господ над воинствата, во оној ден кога ќе ги составам Моите скапоцености; и ќе ги поштедам, како што човек го поштедува својот син кој му служи.</w:t>
      </w:r>
    </w:p>
    <w:p>
      <w:pPr>
        <w:pStyle w:val="ArticleScripture"/>
        <w:jc w:val="left"/>
      </w:pPr>
      <w:r>
        <w:rPr>
          <w:rFonts w:ascii="Times New Roman" w:hAnsi="Times New Roman" w:eastAsia="Times New Roman" w:cs="Times New Roman"/>
        </w:rPr>
        <w:t>Yeroo sanatti deebitanii gidduu nama qajeelaa fi nama hamaa, gidduu isa Waaqayyoon tajaajiluu fi isa isa hin tajaajille ni addaan baaftu. Miilkiyaas 3:16–18.</w:t>
      </w:r>
    </w:p>
    <w:p>
      <w:pPr>
        <w:pStyle w:val="ArticleBody"/>
        <w:jc w:val="left"/>
      </w:pPr>
      <w:r>
        <w:rPr>
          <w:rFonts w:ascii="Times New Roman" w:hAnsi="Times New Roman" w:eastAsia="Times New Roman" w:cs="Times New Roman"/>
        </w:rPr>
        <w:t>Mu mwaka wa 2024, ikigeragezo cy’ibanze cyagereranyijwe n’ubwoba bw’Uwiteka cyarageze. Muri icyo kigeragezo habonetse amatsinda abiri, kandi itsinda ryari rigize ayo matsinda yombi ryari rimaze igihe kinini rikunda kuganira hagati yaryo mu nama za Zoom zihoraho, mu gihe cy’iminsi itatu n’igice yose. Uwiteka yateze amatwi ibiganiro byabo. Itsinda ryubaha Uwiteka ryatekereje ku izina Rye; Palmoni, Intare yo mu muryango wa Yuda, Alufa na Omega, Ukuri, Jambo, Umuhanga w’Indimi w’Igitangaza, ibuye rikomeza imfuruka n’iry’agahebuzo, Umwana w’Intama, Umutambyi Mukuru wo mu Ijuru, Urusengero, Igitare. Abanditswe muri icyo gitabo bagomba kuba amabuye y’agaciro ku ikamba rigereranya ibendera ry’ubwami bw’ubwiza. Igihe azakoranya ayo mabuye y’agaciro, ni bwo bazagaruka, maze batandukanye umukiranutsi n’umunyabyaha. Igihe azashyira ayo mabuye y’agaciro mu gasanduku kabugenewe, ni bwo hazamenyekana uw’umupfapfa n’uw’umunyabwenge.</w:t>
      </w:r>
    </w:p>
    <w:p>
      <w:pPr>
        <w:pStyle w:val="ArticleBody"/>
        <w:jc w:val="left"/>
      </w:pPr>
      <w:r>
        <w:rPr>
          <w:rFonts w:ascii="Times New Roman" w:hAnsi="Times New Roman" w:eastAsia="Times New Roman" w:cs="Times New Roman"/>
        </w:rPr>
        <w:t>Malaki anotara:</w:t>
      </w:r>
    </w:p>
    <w:p>
      <w:pPr>
        <w:pStyle w:val="ArticleScripture"/>
        <w:jc w:val="left"/>
      </w:pPr>
      <w:r>
        <w:rPr>
          <w:rFonts w:ascii="Times New Roman" w:hAnsi="Times New Roman" w:eastAsia="Times New Roman" w:cs="Times New Roman"/>
        </w:rPr>
        <w:t>Revenez à moi, et je reviendrai à vous,</w:t>
      </w:r>
    </w:p>
    <w:p>
      <w:pPr>
        <w:pStyle w:val="ArticleScripture"/>
        <w:jc w:val="left"/>
      </w:pP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പറഞ്ഞു</w:t>
      </w:r>
      <w:r>
        <w:rPr>
          <w:rFonts w:ascii="Times New Roman" w:hAnsi="Times New Roman" w:eastAsia="Times New Roman" w:cs="Times New Roman"/>
        </w:rPr>
        <w:t xml:space="preserve">: </w:t>
      </w: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ഏതിൽ</w:t>
      </w:r>
      <w:r>
        <w:rPr>
          <w:rFonts w:ascii="Times New Roman" w:hAnsi="Times New Roman" w:eastAsia="Times New Roman" w:cs="Times New Roman"/>
        </w:rPr>
        <w:t xml:space="preserve"> </w:t>
      </w:r>
      <w:r>
        <w:rPr>
          <w:rFonts w:ascii="Nirmala UI" w:hAnsi="Nirmala UI" w:eastAsia="Nirmala UI" w:cs="Nirmala UI"/>
        </w:rPr>
        <w:t>തിരിയേണ്ടതു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Ndejenii zaka zonse m’nyumba yosungiramo zinthu, kuti m’nyumba mwanga mukhale chakudya; ndipo mundiyese tsopano pa ichi, ati Yehova wa makamu, ngati sindidzakutsegulirani mazenera akumwamba, ndi kukutsanulirani dalitso, kufikira pakuti sipadzakhala malo okwanira kulandiramo.</w:t>
      </w:r>
    </w:p>
    <w:p>
      <w:pPr>
        <w:pStyle w:val="ArticleBody"/>
        <w:jc w:val="left"/>
      </w:pPr>
      <w:r>
        <w:rPr>
          <w:rFonts w:ascii="Times New Roman" w:hAnsi="Times New Roman" w:eastAsia="Times New Roman" w:cs="Times New Roman"/>
        </w:rPr>
        <w:t>L’entrepôt est le coffret, et les dîmes sont les vierges sages. L’entrepôt est la Parole de Dieu placée dans un nouveau cadre de vérité. Les joyaux qui sont déposés dans ce coffret sont les vérités associées au message du Cri de Minuit. Les dîmes étaient conservées dans une pièce particulière du temple, comme cela est indiqué dans la purification opérée par Néhémie. Le coffret et l’entrepôt, ou la maison spirituelle de Pierre, représentent le temple de Dieu, et les joyaux représentent des temples humains qui sont unis à la Divinité dans le lieu secret du Très-Haut. Les messagers humains ne peuvent être séparés du message divin. Les joyaux sont à la fois les messagers de Dieu, et ils sont aussi le message qu’ils proclament. L’Inspiration identifie souvent le message et le messager comme étant un tout combiné.</w:t>
      </w:r>
    </w:p>
    <w:p>
      <w:pPr>
        <w:pStyle w:val="ArticleScripture"/>
        <w:jc w:val="left"/>
      </w:pPr>
      <w:r>
        <w:rPr>
          <w:rFonts w:ascii="Times New Roman" w:hAnsi="Times New Roman" w:eastAsia="Times New Roman" w:cs="Times New Roman"/>
        </w:rPr>
        <w:t>“Dios ha llamado a Su iglesia en este tiempo, así como llamó al antiguo Israel, para que permanezca como una luz en la tierra. Por medio del poderoso hacha de la verdad, de los mensajes del primero, segundo y tercer ángel, los ha separado de las iglesias y del mundo para llevarlos a una sagrada cercanía con Él mismo. Los ha hecho depositarios de Su ley y les ha confiado las grandes verdades de la profecía para este tiempo. Como los santos oráculos confiados al antiguo Israel, estas son un cometido sagrado que debe ser comunicado al mundo. Los tres ángeles de Apocalipsis 14 representan al pueblo que acepta la luz de los mensajes de Dios y sale como Sus agentes para hacer resonar la amonestación a lo largo y a lo ancho de la tierra. Cristo declara a Sus seguidores: ‘Vosotros sois la luz del mundo.’ A toda alma que acepta a Jesús, la cruz del Calvario le habla: ‘He aquí el valor del alma: “Id por todo el mundo y predicad el evangelio a toda criatura.”’ No se ha de permitir que nada estorbe esta obra. Es la obra de suprema importancia para este tiempo; ha de extenderse tanto como la eternidad. El amor que Jesús manifestó por las almas de los hombres en el sacrificio que hizo para su redención impulsará a todos Sus seguidores.” Testimonios, tomo 5, 455.</w:t>
      </w:r>
    </w:p>
    <w:p>
      <w:pPr>
        <w:pStyle w:val="ArticleBody"/>
        <w:jc w:val="left"/>
      </w:pP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लेखमे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अवधारणासभकेँ</w:t>
      </w:r>
      <w:r>
        <w:rPr>
          <w:rFonts w:ascii="Times New Roman" w:hAnsi="Times New Roman" w:eastAsia="Times New Roman" w:cs="Times New Roman"/>
        </w:rPr>
        <w:t xml:space="preserve"> </w:t>
      </w:r>
      <w:r>
        <w:rPr>
          <w:rFonts w:ascii="Nirmala UI" w:hAnsi="Nirmala UI" w:eastAsia="Nirmala UI" w:cs="Nirmala UI"/>
        </w:rPr>
        <w:t>एकसूत्रमे</w:t>
      </w:r>
      <w:r>
        <w:rPr>
          <w:rFonts w:ascii="Times New Roman" w:hAnsi="Times New Roman" w:eastAsia="Times New Roman" w:cs="Times New Roman"/>
        </w:rPr>
        <w:t xml:space="preserve"> </w:t>
      </w:r>
      <w:r>
        <w:rPr>
          <w:rFonts w:ascii="Nirmala UI" w:hAnsi="Nirmala UI" w:eastAsia="Nirmala UI" w:cs="Nirmala UI"/>
        </w:rPr>
        <w:t>जोड़नाइ</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करब।</w:t>
      </w:r>
    </w:p>
    <w:p>
      <w:pPr>
        <w:pStyle w:val="ArticleScripture"/>
        <w:jc w:val="left"/>
      </w:pPr>
      <w:r>
        <w:rPr>
          <w:rFonts w:ascii="Times New Roman" w:hAnsi="Times New Roman" w:eastAsia="Times New Roman" w:cs="Times New Roman"/>
        </w:rPr>
        <w:t>« Durant les cinquante dernières années de ma vie, j’ai eu de précieuses occasions d’acquérir une expérience. J’ai eu une expérience dans les messages du premier, du deuxième et du troisième ange. Les anges sont représentés comme volant au milieu du ciel, proclamant au monde un message d’avertissement et ayant un rapport direct avec le peuple qui vit dans les derniers jours de l’histoire de cette terre. Personne n’entend la voix de ces anges, car ils sont un symbole représentant le peuple de Dieu qui œuvre en harmonie avec l’univers du ciel. Des hommes et des femmes, éclairés par l’Esprit de Dieu et sanctifiés par la vérité, proclament les trois messages dans leur ordre. »</w:t>
      </w:r>
    </w:p>
    <w:p>
      <w:pPr>
        <w:pStyle w:val="ArticleScripture"/>
        <w:jc w:val="left"/>
      </w:pPr>
      <w:r>
        <w:rPr>
          <w:rFonts w:ascii="Times New Roman" w:hAnsi="Times New Roman" w:eastAsia="Times New Roman" w:cs="Times New Roman"/>
        </w:rPr>
        <w:t>« Mi su unspielet en Part in dis ernsthaftig Werk. Fast all min christlich Erfahrig isch dermit verflochte. Es git jetz Läbendi, wo e Erfahrig hend, wo minere eigete glych chunnt. Si hend d’Wahrheit erkannt, wo sich für die Zyt entfaltet het; si sind im Schrit gblibe mit em grosse Führer, em Hauptmaa vo de Heerschar vom Herr. »</w:t>
      </w:r>
    </w:p>
    <w:p>
      <w:pPr>
        <w:pStyle w:val="ArticleScripture"/>
        <w:jc w:val="left"/>
      </w:pPr>
      <w:r>
        <w:rPr>
          <w:rFonts w:ascii="Times New Roman" w:hAnsi="Times New Roman" w:eastAsia="Times New Roman" w:cs="Times New Roman"/>
        </w:rPr>
        <w:t>“Na italatala ti pannakaikaskasabaan dagiti damag, natungpal ti tunggal detalye ti padto. Dagidiay a naitedan iti gundaway a makipagpaset iti pannakaiwaragawag dagitoy a damag ket nagun-odda iti maysa nga kapadasan a naindaklan unay ti pategna kadakuada; ket ita a maaddatayo iti tengnga dagiti peggad dagitoy maudi nga aldaw, inton mangngegto dagiti timek iti amin a bangir a mangibagbaga, ‘Adda ditoy ni Cristo,’ ‘Adda ditoy ti kinapudno’; kabayatan a ti awit ti adu ket tapno ribokenna ti pamuon ti pammatitayo a nangiturong kadatayo manipud kadagiti iglesia ken manipud iti lubong tapno agtakdertayo a kas maysa a naisina a tattao iti lubong, kas ken Juan, kastoy ti pannakaisaksitayo:”</w:t>
      </w:r>
    </w:p>
    <w:p>
      <w:pPr>
        <w:pStyle w:val="ArticleScripture"/>
        <w:jc w:val="left"/>
      </w:pPr>
      <w:r>
        <w:rPr>
          <w:rFonts w:ascii="Times New Roman" w:hAnsi="Times New Roman" w:eastAsia="Times New Roman" w:cs="Times New Roman"/>
        </w:rPr>
        <w:t>“‘Ko tā nā mei te ʻuluaki, ʻa ia kuo mau fanongo ki ai, ʻa ia kuo mau sio ki ai ʻaki homau mata, ʻa ia kuo mau vakai fakalelei ki ai, pea kuo ala ki ai homau nima, ʻo kau ki he Folofola ʻo e Moʻui; … ko ia kuo mau sio mo fanongo ki ai ʻoku mau fakahā atu kiate kimoutolu, koeʻuhi ke mou maʻu foki ʻa e feohi mo kimautolu.’</w:t>
      </w:r>
    </w:p>
    <w:p>
      <w:pPr>
        <w:pStyle w:val="ArticleScripture"/>
        <w:jc w:val="left"/>
      </w:pPr>
      <w:r>
        <w:rPr>
          <w:rFonts w:ascii="Times New Roman" w:hAnsi="Times New Roman" w:eastAsia="Times New Roman" w:cs="Times New Roman"/>
        </w:rPr>
        <w:t>«Je rends témoignage des choses que j’ai vues, des choses que j’ai entendues, de ce que mes mains ont touché concernant la Parole de vie. Et ce témoignage, je sais qu’il procède du Père et du Fils. Nous avons vu, et nous attestons, que la puissance du Saint-Esprit a accompagné la présentation de la vérité, avertissant par la plume et par la voix, et donnant les messages dans leur ordre. Nier cette œuvre, ce serait nier le Saint-Esprit, et cela nous placerait dans la compagnie de ceux qui se sont détournés de la foi, s’attachant à des esprits séducteurs. »</w:t>
      </w:r>
    </w:p>
    <w:p>
      <w:pPr>
        <w:pStyle w:val="ArticleScripture"/>
        <w:jc w:val="left"/>
      </w:pPr>
      <w:r>
        <w:rPr>
          <w:rFonts w:ascii="Times New Roman" w:hAnsi="Times New Roman" w:eastAsia="Times New Roman" w:cs="Times New Roman"/>
        </w:rPr>
        <w:t>“Shatru sab kuchh kriyaashīl karegā tāki vishvāsiyon kā hamāre vishvās ke stambhon par se, ateet ke sandeshon mein sthāpit us bharose ko ukhaṛ phenke, jinhon ne hamein anant satya ke ūnche manch par sthāpit kiyā hai, aur jinhon ne is kārya ko sthāpit karke usse uska svarūp diyā hai. Israēl ke Prabhu Parmeshvar ne apne logon kā mārgdarshan kiyā hai, unke sāmne svargīya mūl kī satya ko prakaṭ karte hue. Uski vāṇī sunāī dī hai, aur ab bhī sunāī detī hai, yah kahte hue, Shakti se adhik shakti kī or, anugrah se adhik anugrah kī or, mahimā se adhik mahimā kī or baṛhte jāo. Yah kārya dr̥ṛh aur vistārit hotā jā rahā hai, kyonki Israēl kā Prabhu Parmeshvar apne logon kā bachāv hai.”</w:t>
      </w:r>
    </w:p>
    <w:p>
      <w:pPr>
        <w:pStyle w:val="ArticleScripture"/>
        <w:jc w:val="left"/>
      </w:pPr>
      <w:r>
        <w:rPr>
          <w:rFonts w:ascii="Times New Roman" w:hAnsi="Times New Roman" w:eastAsia="Times New Roman" w:cs="Times New Roman"/>
        </w:rPr>
        <w:t>“Waxa kuwa runta si aragtiyeed u qabsaday, oo sidii ay faraha caaradooda ku hayaan, kuwaas oo aan mabaadi’deeda gelin meesha quduuska ah ee gudaha ee nafta, balse runta nool ku sii hayay barxadda dibadda, ma ay arki doonaan wax quduus ah oo ku jira taariikhdii hore ee dadkan taas oo ka dhigtay waxay yihiin, oo ku adkaysay inay dunida ka noqdaan shaqaale adeeg oo dhab ah, go’aan adag leh, oo wacdiyayaal ah.</w:t>
      </w:r>
    </w:p>
    <w:p>
      <w:pPr>
        <w:pStyle w:val="ArticleScripture"/>
        <w:jc w:val="left"/>
      </w:pPr>
      <w:r>
        <w:rPr>
          <w:rFonts w:ascii="Times New Roman" w:hAnsi="Times New Roman" w:eastAsia="Times New Roman" w:cs="Times New Roman"/>
        </w:rPr>
        <w:t>“Haƙiƙa domin wannan lokaci abu ne mai tamani, amma waɗanda ba a karye zukatansu ba ta wurin faɗuwa a kan dutsen nan Almasihu Yesu, ba za su gani su kuma fahimci abin da yake haƙiƙa ba. Za su karɓi abin da yake faranta wa tunaninsu rai, kuma za su fara ƙirƙirar wani harsashi dabam da wanda aka riga aka kafa. Za su yi wa girman kansu da mutuncinsu kirari, suna zaton cewa suna iya kawar da ginshiƙan bangaskiyarmu, su maye gurbinsu da ginshiƙan da su da kansu suka ƙirƙira.”</w:t>
      </w:r>
    </w:p>
    <w:p>
      <w:pPr>
        <w:pStyle w:val="ArticleScripture"/>
        <w:jc w:val="left"/>
      </w:pPr>
      <w:r>
        <w:rPr>
          <w:rFonts w:ascii="Times New Roman" w:hAnsi="Times New Roman" w:eastAsia="Times New Roman" w:cs="Times New Roman"/>
        </w:rPr>
        <w:t>“Hii itaendelea kuwa hivyo maadamu wakati utakapodumu. Yeyote ambaye amekuwa mwanafunzi makini wa Biblia ataona na kuelewa nafasi ya uzito mkuu ya wale wanaoishi katika mandhari za kufunga za historia ya dunia hii. Watahisi kutotosha kwao wenyewe na udhaifu wao, nao watafanya kuwa jambo lao la kwanza kabisa kuwa na siyo tu mfano wa utauwa, bali muungano hai na Mungu. Hawatathubutu kutulia mpaka Kristo atakapoumbika ndani yao, tumaini la utukufu. Nafsi ya ubinafsi itakufa; kiburi kitafukuzwa kutoka rohoni, nao watakuwa na upole na unyenyekevu wa Kristo.”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 raamat ja Laodikeia seitsmenda päeva adventistide kogudus – number nelikümmend</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