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Joël et l’Église adventiste du septième jour de Laodicée - Numéro quarante-cinq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Nambari Arobaini na Tano</w:t>
      </w:r>
    </w:p>
    <w:p>
      <w:pPr>
        <w:pStyle w:val="ArticleHeading"/>
        <w:jc w:val="left"/>
      </w:pPr>
      <w:r>
        <w:rPr>
          <w:rFonts w:ascii="Arial" w:hAnsi="Arial" w:eastAsia="Arial" w:cs="Arial"/>
        </w:rPr>
        <w:t>Revue</w:t>
      </w:r>
    </w:p>
    <w:p>
      <w:pPr>
        <w:pStyle w:val="ArticleBody"/>
        <w:jc w:val="left"/>
      </w:pPr>
      <w:r>
        <w:rPr>
          <w:rFonts w:ascii="Times New Roman" w:hAnsi="Times New Roman" w:eastAsia="Times New Roman" w:cs="Times New Roman"/>
        </w:rPr>
        <w:t>Imiliticus dua puluh tiga mengidentifikasi tiga ujian dalam musim Pentakosta dari seratus empat puluh empat ribu. Menyelaraskan hari pertama Hari Raya Pondok Daun dengan hari Pentakosta, lalu menyelaraskan empat puluh hari ketika Kristus mengajar para murid berhadapan muka sebelum kenaikan-Nya dengan hari buah sulung, membentuk suatu struktur menyeluruh yang melambangkan pekabaran tiga malaikat.</w:t>
      </w:r>
    </w:p>
    <w:p>
      <w:pPr>
        <w:pStyle w:val="ArticleBody"/>
        <w:jc w:val="left"/>
      </w:pPr>
      <w:r>
        <w:rPr>
          <w:rFonts w:ascii="Times New Roman" w:hAnsi="Times New Roman" w:eastAsia="Times New Roman" w:cs="Times New Roman"/>
        </w:rPr>
        <w:t>“Ölüm, gömülme ve diriliş” Mesih’in vaftiziyle temsil edildiği üzere, üç aşamalı tek bir peygamberlik yol işareti olarak uygulandığında, dirilişten beş gün sonra, ilk ürünler gününde, mayasız ekmeklerin yedi günlük bayramının sonunun kutsal bir toplanma olarak geldiğini görürüz. Böylece, ilk ürün sunusuyla uyumlu olan Mesih’in dirilişini, beş günlük bir dönem izler.</w:t>
      </w:r>
    </w:p>
    <w:p>
      <w:pPr>
        <w:pStyle w:val="ArticleBody"/>
        <w:jc w:val="left"/>
      </w:pPr>
      <w:r>
        <w:rPr>
          <w:rFonts w:ascii="Times New Roman" w:hAnsi="Times New Roman" w:eastAsia="Times New Roman" w:cs="Times New Roman"/>
        </w:rPr>
        <w:t>Au bout de la structure qui est créée en alignant le premier jour de la fête des Tabernacles sur le jour de la Pentecôte, il y a un autre repère composé de trois étapes, suivi lui aussi de cinq jours, qui mène jusqu’à la Pentecôte.</w:t>
      </w:r>
    </w:p>
    <w:p>
      <w:pPr>
        <w:pStyle w:val="ArticleBody"/>
        <w:jc w:val="left"/>
      </w:pPr>
      <w:r>
        <w:rPr>
          <w:rFonts w:ascii="Times New Roman" w:hAnsi="Times New Roman" w:eastAsia="Times New Roman" w:cs="Times New Roman"/>
        </w:rPr>
        <w:t>Pakati pa ‘zizindikiro ziwiri za njira ya masitepe atatu zotsatiridwa ndi masiku asanu,’ pali nthawi ya masiku makumi atatu. Tikagwirizanitsa tsiku loyamba la phwando la Misasa ndi tsiku la Pentekoste, timazindikira kuti masiku asanu chisanafike phwando la Misasa linali Tsiku la Chitetezero. Masiku khumi chisanafike Tsiku la Chitetezero linali phwando la Malipenga. Masiku makumi anayi a Khristu akuphunzitsa maso ndi maso pambuyo pa kuuka Kwake pa tsiku la zipatso zoyamba, amagwirizana ndi masiku asanu pambuyo pa phwando la Malipenga, ndi masiku asanu chisanafike tsiku la chitetezero.</w:t>
      </w:r>
    </w:p>
    <w:p>
      <w:pPr>
        <w:pStyle w:val="ArticleBody"/>
        <w:jc w:val="left"/>
      </w:pPr>
      <w:r>
        <w:rPr>
          <w:rFonts w:ascii="Nirmala UI" w:hAnsi="Nirmala UI" w:eastAsia="Nirmala UI" w:cs="Nirmala UI"/>
        </w:rPr>
        <w:t>त्रि</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पथचिह्न</w:t>
      </w:r>
      <w:r>
        <w:rPr>
          <w:rFonts w:ascii="Times New Roman" w:hAnsi="Times New Roman" w:eastAsia="Times New Roman" w:cs="Times New Roman"/>
        </w:rPr>
        <w:t>—</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गाड़े</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अखमीरी</w:t>
      </w:r>
      <w:r>
        <w:rPr>
          <w:rFonts w:ascii="Times New Roman" w:hAnsi="Times New Roman" w:eastAsia="Times New Roman" w:cs="Times New Roman"/>
        </w:rPr>
        <w:t xml:space="preserve"> </w:t>
      </w:r>
      <w:r>
        <w:rPr>
          <w:rFonts w:ascii="Nirmala UI" w:hAnsi="Nirmala UI" w:eastAsia="Nirmala UI" w:cs="Nirmala UI"/>
        </w:rPr>
        <w:t>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नरसिंगों</w:t>
      </w:r>
      <w:r>
        <w:rPr>
          <w:rFonts w:ascii="Times New Roman" w:hAnsi="Times New Roman" w:eastAsia="Times New Roman" w:cs="Times New Roman"/>
        </w:rPr>
        <w:t xml:space="preserve">, </w:t>
      </w:r>
      <w:r>
        <w:rPr>
          <w:rFonts w:ascii="Nirmala UI" w:hAnsi="Nirmala UI" w:eastAsia="Nirmala UI" w:cs="Nirmala UI"/>
        </w:rPr>
        <w:t>आरोहण</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पथचिह्न</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पिन्तेकुस्त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आरंभिक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पथचिह्न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पथचिह्न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सरलता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परिभाषित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परिचय</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गाड़े</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1,260-</w:t>
      </w:r>
      <w:r>
        <w:rPr>
          <w:rFonts w:ascii="Nirmala UI" w:hAnsi="Nirmala UI" w:eastAsia="Nirmala UI" w:cs="Nirmala UI"/>
        </w:rPr>
        <w:t>दिवसीय</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गाड़े</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आकर</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1,260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Malgun Gothic" w:hAnsi="Malgun Gothic" w:eastAsia="Malgun Gothic" w:cs="Malgun Gothic"/>
        </w:rPr>
        <w:t>펜테코스탈</w:t>
      </w:r>
      <w:r>
        <w:rPr>
          <w:rFonts w:ascii="Times New Roman" w:hAnsi="Times New Roman" w:eastAsia="Times New Roman" w:cs="Times New Roman"/>
        </w:rPr>
        <w:t xml:space="preserve"> </w:t>
      </w:r>
      <w:r>
        <w:rPr>
          <w:rFonts w:ascii="Malgun Gothic" w:hAnsi="Malgun Gothic" w:eastAsia="Malgun Gothic" w:cs="Malgun Gothic"/>
        </w:rPr>
        <w:t>절기의</w:t>
      </w:r>
      <w:r>
        <w:rPr>
          <w:rFonts w:ascii="Times New Roman" w:hAnsi="Times New Roman" w:eastAsia="Times New Roman" w:cs="Times New Roman"/>
        </w:rPr>
        <w:t xml:space="preserve"> </w:t>
      </w:r>
      <w:r>
        <w:rPr>
          <w:rFonts w:ascii="Malgun Gothic" w:hAnsi="Malgun Gothic" w:eastAsia="Malgun Gothic" w:cs="Malgun Gothic"/>
        </w:rPr>
        <w:t>끝에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단계의</w:t>
      </w:r>
      <w:r>
        <w:rPr>
          <w:rFonts w:ascii="Times New Roman" w:hAnsi="Times New Roman" w:eastAsia="Times New Roman" w:cs="Times New Roman"/>
        </w:rPr>
        <w:t xml:space="preserve"> </w:t>
      </w:r>
      <w:r>
        <w:rPr>
          <w:rFonts w:ascii="Malgun Gothic" w:hAnsi="Malgun Gothic" w:eastAsia="Malgun Gothic" w:cs="Malgun Gothic"/>
        </w:rPr>
        <w:t>이정표는</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적용을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인식되어야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펜테코스탈</w:t>
      </w:r>
      <w:r>
        <w:rPr>
          <w:rFonts w:ascii="Times New Roman" w:hAnsi="Times New Roman" w:eastAsia="Times New Roman" w:cs="Times New Roman"/>
        </w:rPr>
        <w:t xml:space="preserve"> </w:t>
      </w:r>
      <w:r>
        <w:rPr>
          <w:rFonts w:ascii="Malgun Gothic" w:hAnsi="Malgun Gothic" w:eastAsia="Malgun Gothic" w:cs="Malgun Gothic"/>
        </w:rPr>
        <w:t>절기의</w:t>
      </w:r>
      <w:r>
        <w:rPr>
          <w:rFonts w:ascii="Times New Roman" w:hAnsi="Times New Roman" w:eastAsia="Times New Roman" w:cs="Times New Roman"/>
        </w:rPr>
        <w:t xml:space="preserve"> </w:t>
      </w:r>
      <w:r>
        <w:rPr>
          <w:rFonts w:ascii="Malgun Gothic" w:hAnsi="Malgun Gothic" w:eastAsia="Malgun Gothic" w:cs="Malgun Gothic"/>
        </w:rPr>
        <w:t>오십</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가운데에는</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구조가</w:t>
      </w:r>
      <w:r>
        <w:rPr>
          <w:rFonts w:ascii="Times New Roman" w:hAnsi="Times New Roman" w:eastAsia="Times New Roman" w:cs="Times New Roman"/>
        </w:rPr>
        <w:t xml:space="preserve"> </w:t>
      </w:r>
      <w:r>
        <w:rPr>
          <w:rFonts w:ascii="Malgun Gothic" w:hAnsi="Malgun Gothic" w:eastAsia="Malgun Gothic" w:cs="Malgun Gothic"/>
        </w:rPr>
        <w:t>시작과</w:t>
      </w:r>
      <w:r>
        <w:rPr>
          <w:rFonts w:ascii="Times New Roman" w:hAnsi="Times New Roman" w:eastAsia="Times New Roman" w:cs="Times New Roman"/>
        </w:rPr>
        <w:t xml:space="preserve"> </w:t>
      </w:r>
      <w:r>
        <w:rPr>
          <w:rFonts w:ascii="Malgun Gothic" w:hAnsi="Malgun Gothic" w:eastAsia="Malgun Gothic" w:cs="Malgun Gothic"/>
        </w:rPr>
        <w:t>끝에</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발견된다</w:t>
      </w:r>
      <w:r>
        <w:rPr>
          <w:rFonts w:ascii="Times New Roman" w:hAnsi="Times New Roman" w:eastAsia="Times New Roman" w:cs="Times New Roman"/>
        </w:rPr>
        <w:t xml:space="preserve">. </w:t>
      </w:r>
      <w:r>
        <w:rPr>
          <w:rFonts w:ascii="Malgun Gothic" w:hAnsi="Malgun Gothic" w:eastAsia="Malgun Gothic" w:cs="Malgun Gothic"/>
        </w:rPr>
        <w:t>그리스도께서</w:t>
      </w:r>
      <w:r>
        <w:rPr>
          <w:rFonts w:ascii="Times New Roman" w:hAnsi="Times New Roman" w:eastAsia="Times New Roman" w:cs="Times New Roman"/>
        </w:rPr>
        <w:t xml:space="preserve"> </w:t>
      </w:r>
      <w:r>
        <w:rPr>
          <w:rFonts w:ascii="Malgun Gothic" w:hAnsi="Malgun Gothic" w:eastAsia="Malgun Gothic" w:cs="Malgun Gothic"/>
        </w:rPr>
        <w:t>항상</w:t>
      </w:r>
      <w:r>
        <w:rPr>
          <w:rFonts w:ascii="Times New Roman" w:hAnsi="Times New Roman" w:eastAsia="Times New Roman" w:cs="Times New Roman"/>
        </w:rPr>
        <w:t xml:space="preserve"> </w:t>
      </w:r>
      <w:r>
        <w:rPr>
          <w:rFonts w:ascii="Malgun Gothic" w:hAnsi="Malgun Gothic" w:eastAsia="Malgun Gothic" w:cs="Malgun Gothic"/>
        </w:rPr>
        <w:t>시작으로</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예증하신다는</w:t>
      </w:r>
      <w:r>
        <w:rPr>
          <w:rFonts w:ascii="Times New Roman" w:hAnsi="Times New Roman" w:eastAsia="Times New Roman" w:cs="Times New Roman"/>
        </w:rPr>
        <w:t xml:space="preserve"> </w:t>
      </w:r>
      <w:r>
        <w:rPr>
          <w:rFonts w:ascii="Malgun Gothic" w:hAnsi="Malgun Gothic" w:eastAsia="Malgun Gothic" w:cs="Malgun Gothic"/>
        </w:rPr>
        <w:t>원칙에</w:t>
      </w:r>
      <w:r>
        <w:rPr>
          <w:rFonts w:ascii="Times New Roman" w:hAnsi="Times New Roman" w:eastAsia="Times New Roman" w:cs="Times New Roman"/>
        </w:rPr>
        <w:t xml:space="preserve"> </w:t>
      </w:r>
      <w:r>
        <w:rPr>
          <w:rFonts w:ascii="Malgun Gothic" w:hAnsi="Malgun Gothic" w:eastAsia="Malgun Gothic" w:cs="Malgun Gothic"/>
        </w:rPr>
        <w:t>기초하여</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나팔절이</w:t>
      </w:r>
      <w:r>
        <w:rPr>
          <w:rFonts w:ascii="Times New Roman" w:hAnsi="Times New Roman" w:eastAsia="Times New Roman" w:cs="Times New Roman"/>
        </w:rPr>
        <w:t xml:space="preserve"> </w:t>
      </w:r>
      <w:r>
        <w:rPr>
          <w:rFonts w:ascii="Malgun Gothic" w:hAnsi="Malgun Gothic" w:eastAsia="Malgun Gothic" w:cs="Malgun Gothic"/>
        </w:rPr>
        <w:t>있고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뒤에</w:t>
      </w:r>
      <w:r>
        <w:rPr>
          <w:rFonts w:ascii="Times New Roman" w:hAnsi="Times New Roman" w:eastAsia="Times New Roman" w:cs="Times New Roman"/>
        </w:rPr>
        <w:t xml:space="preserve"> </w:t>
      </w:r>
      <w:r>
        <w:rPr>
          <w:rFonts w:ascii="Malgun Gothic" w:hAnsi="Malgun Gothic" w:eastAsia="Malgun Gothic" w:cs="Malgun Gothic"/>
        </w:rPr>
        <w:t>승천이</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뒤에</w:t>
      </w:r>
      <w:r>
        <w:rPr>
          <w:rFonts w:ascii="Times New Roman" w:hAnsi="Times New Roman" w:eastAsia="Times New Roman" w:cs="Times New Roman"/>
        </w:rPr>
        <w:t xml:space="preserve"> </w:t>
      </w:r>
      <w:r>
        <w:rPr>
          <w:rFonts w:ascii="Malgun Gothic" w:hAnsi="Malgun Gothic" w:eastAsia="Malgun Gothic" w:cs="Malgun Gothic"/>
        </w:rPr>
        <w:t>속죄일이</w:t>
      </w:r>
      <w:r>
        <w:rPr>
          <w:rFonts w:ascii="Times New Roman" w:hAnsi="Times New Roman" w:eastAsia="Times New Roman" w:cs="Times New Roman"/>
        </w:rPr>
        <w:t xml:space="preserve"> </w:t>
      </w:r>
      <w:r>
        <w:rPr>
          <w:rFonts w:ascii="Malgun Gothic" w:hAnsi="Malgun Gothic" w:eastAsia="Malgun Gothic" w:cs="Malgun Gothic"/>
        </w:rPr>
        <w:t>있고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뒤에</w:t>
      </w:r>
      <w:r>
        <w:rPr>
          <w:rFonts w:ascii="Times New Roman" w:hAnsi="Times New Roman" w:eastAsia="Times New Roman" w:cs="Times New Roman"/>
        </w:rPr>
        <w:t xml:space="preserve"> </w:t>
      </w:r>
      <w:r>
        <w:rPr>
          <w:rFonts w:ascii="Malgun Gothic" w:hAnsi="Malgun Gothic" w:eastAsia="Malgun Gothic" w:cs="Malgun Gothic"/>
        </w:rPr>
        <w:t>오</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있는바</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단계의</w:t>
      </w:r>
      <w:r>
        <w:rPr>
          <w:rFonts w:ascii="Times New Roman" w:hAnsi="Times New Roman" w:eastAsia="Times New Roman" w:cs="Times New Roman"/>
        </w:rPr>
        <w:t xml:space="preserve"> </w:t>
      </w:r>
      <w:r>
        <w:rPr>
          <w:rFonts w:ascii="Malgun Gothic" w:hAnsi="Malgun Gothic" w:eastAsia="Malgun Gothic" w:cs="Malgun Gothic"/>
        </w:rPr>
        <w:t>이정표</w:t>
      </w:r>
      <w:r>
        <w:rPr>
          <w:rFonts w:ascii="Times New Roman" w:hAnsi="Times New Roman" w:eastAsia="Times New Roman" w:cs="Times New Roman"/>
        </w:rPr>
        <w:t xml:space="preserve"> </w:t>
      </w:r>
      <w:r>
        <w:rPr>
          <w:rFonts w:ascii="Malgun Gothic" w:hAnsi="Malgun Gothic" w:eastAsia="Malgun Gothic" w:cs="Malgun Gothic"/>
        </w:rPr>
        <w:t>뒤에</w:t>
      </w:r>
      <w:r>
        <w:rPr>
          <w:rFonts w:ascii="Times New Roman" w:hAnsi="Times New Roman" w:eastAsia="Times New Roman" w:cs="Times New Roman"/>
        </w:rPr>
        <w:t xml:space="preserve"> </w:t>
      </w:r>
      <w:r>
        <w:rPr>
          <w:rFonts w:ascii="Malgun Gothic" w:hAnsi="Malgun Gothic" w:eastAsia="Malgun Gothic" w:cs="Malgun Gothic"/>
        </w:rPr>
        <w:t>오</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w:t>
      </w:r>
      <w:r>
        <w:rPr>
          <w:rFonts w:ascii="Malgun Gothic" w:hAnsi="Malgun Gothic" w:eastAsia="Malgun Gothic" w:cs="Malgun Gothic"/>
        </w:rPr>
        <w:t>이라는</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구조를</w:t>
      </w:r>
      <w:r>
        <w:rPr>
          <w:rFonts w:ascii="Times New Roman" w:hAnsi="Times New Roman" w:eastAsia="Times New Roman" w:cs="Times New Roman"/>
        </w:rPr>
        <w:t xml:space="preserve"> </w:t>
      </w:r>
      <w:r>
        <w:rPr>
          <w:rFonts w:ascii="Malgun Gothic" w:hAnsi="Malgun Gothic" w:eastAsia="Malgun Gothic" w:cs="Malgun Gothic"/>
        </w:rPr>
        <w:t>식별할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Nous éprouvons aussi les trois étapes proposées à la lumière des directives bibliques relatives aux caractéristiques propres à chacune d’elles. Ces trois étapes sont représentées à maintes reprises dans la Parole de Dieu. Ce sont les trois anges; ce sont le parvis, le lieu saint et le lieu très saint; ce sont l’œuvre du Saint-Esprit convainquant de péché, de justice et de jugement. Identifier la fête des trompettes, l’ascension et le jour des Expiations comme étant ces trois étapes exige que chacune de ces étapes soit en harmonie avec le témoignage biblique établi.</w:t>
      </w:r>
    </w:p>
    <w:p>
      <w:pPr>
        <w:pStyle w:val="ArticleBody"/>
        <w:jc w:val="left"/>
      </w:pPr>
      <w:r>
        <w:rPr>
          <w:rFonts w:ascii="Times New Roman" w:hAnsi="Times New Roman" w:eastAsia="Times New Roman" w:cs="Times New Roman"/>
        </w:rPr>
        <w:t>Les trompettes constituent un message d’avertissement, et elles sont associées au premier ange qui s’écrie : « craignez Dieu ». L’ascension du Christ est un symbole de la gloire de Sa seconde venue, car la seconde expression du premier ange est : « donnez-Lui gloire ». Le jour des expiations est le symbole du jugement, et la troisième expression du premier ange est : « l’heure de Son jugement est venue ». Il existe plusieurs manières d’identifier que les caractéristiques prophétiques des trois étapes du repère à la fin de la saison pentecostale représentent les trois étapes de l’Évangile éternel, où beaucoup sont « purifiés, blanchis et éprouvés ».</w:t>
      </w:r>
    </w:p>
    <w:p>
      <w:pPr>
        <w:pStyle w:val="ArticleBody"/>
        <w:jc w:val="left"/>
      </w:pPr>
      <w:r>
        <w:rPr>
          <w:rFonts w:ascii="Times New Roman" w:hAnsi="Times New Roman" w:eastAsia="Times New Roman" w:cs="Times New Roman"/>
        </w:rPr>
        <w:t>Puisqu’il en est ainsi, vous pouvez donc voir que, dans le premier repère de trois étapes, l’offrande des prémices de l’orge est présentée, et que, dans le dernier repère des trois étapes, l’offrande des prémices du blé est présentée. Vous pourriez alors voir que les trois étapes alpha de la saison de la Pentecôte désignent le pain sans levain, mais que le repère oméga de trois étapes désigne le pain levé. Vous pourriez même voir que, dans le repère de trois étapes du commencement, c’est là que Christ fut élevé afin d’attirer tous les hommes, et que, dans le repère final de trois étapes, l’étendard des cent quarante-quatre mille est élevé afin d’attirer les Gentils.</w:t>
      </w:r>
    </w:p>
    <w:p>
      <w:pPr>
        <w:pStyle w:val="ArticleBody"/>
        <w:jc w:val="left"/>
      </w:pPr>
      <w:r>
        <w:rPr>
          <w:rFonts w:ascii="Times New Roman" w:hAnsi="Times New Roman" w:eastAsia="Times New Roman" w:cs="Times New Roman"/>
        </w:rPr>
        <w:t>O farishta ya nnọọ mbụ na nke atọ bụ otu farishta ahụ n’ogo amụma, n’ihi na nke mbụ bụ mmalite—ma nke atọ bụ njedebe. Farishta mbụ nke alfa na-ekwupụta mmeghe nke ikpe, ma farishta ikpeazụ nke omega na-ekwupụta mmechi nke ikpe. E nyere ozi nke farishta mbụ ike site n’imezu nke Islam n’August 11, 1840, ma e nyere farishta nke atọ ike site n’imezu nke Islam na 9/11. Nwanyị White na-agwa anyị na ozi nke ma farishta mbụ ma nke atọ bụ ime ka ụwa mụọ ọkụ site n’ebube ya. Ndị akaebe ndị ọzọ dị ukwuu n’ọnụ ọgụgụ, ha na-enyekwa nkwado zuru ezu maka ịmata usoro nke oge Pentikọst dịka e gosipụtara ya n’ime ụbọchị iri ise site na mbilite n’ọnwụ Kraịst ruo Pentikọst, ya na amaokwu iri abụọ na abụọ mbụ nke Leviticus iri abụọ na atọ na amaokwu iri abụọ na abụọ ikpeazụ nke Leviticus iri abụọ na atọ. N’etiti waymark abụọ ahụ, nke bụ waymark nke nzọụkwụ atọ e sochiri ụbọchị ise, e nwere oge ụbọchị iri atọ nke na-anọchi anya farishta nke abụọ.</w:t>
      </w:r>
    </w:p>
    <w:p>
      <w:pPr>
        <w:pStyle w:val="ArticleBody"/>
        <w:jc w:val="left"/>
      </w:pPr>
      <w:r>
        <w:rPr>
          <w:rFonts w:ascii="Times New Roman" w:hAnsi="Times New Roman" w:eastAsia="Times New Roman" w:cs="Times New Roman"/>
        </w:rPr>
        <w:t>Gutanga kwa mbere kw'ikimenyetso c'inzira c'“iminsi itatu ikurikiwe n'itanu” ni umumarayika wa mbere, iminsi mirongo itatu ni umumarayika wa kabiri, kandi ikimenyetso ca kabiri c'inzira c'“iminsi itatu ikurikiwe n'itanu” ni umumarayika wa gatatu. Izi ntambwe zitatu zikubiyemwo igihe cose ca Pentekote gushika kuri Pentekote, ico na co kikaba ari co gitangura iminsi indwi y'umusi mukuru w'Insago, igereranya iseswa ry'imvura y'itumba ry'inyuma mu gihe c'ikibazo c'itegeko ryo ku wa Mbere gitangurira ku tegeko ryo ku wa Mbere muri Leta Zunze Ubumwe za Amerika kandi kigakomeza gushika Mikaheli ahagurutse maze igihe c'igeragezwa c'abantu kigafungwa. Imiterere ni iy'Imana, ariko ivamwo ivyiyumviro bikomeye cane.</w:t>
      </w:r>
    </w:p>
    <w:p>
      <w:pPr>
        <w:pStyle w:val="ArticleHeading"/>
        <w:jc w:val="left"/>
      </w:pPr>
      <w:r>
        <w:rPr>
          <w:rFonts w:ascii="Arial" w:hAnsi="Arial" w:eastAsia="Arial" w:cs="Arial"/>
        </w:rPr>
        <w:t>Réflexions sérieuses</w:t>
      </w:r>
    </w:p>
    <w:p>
      <w:pPr>
        <w:pStyle w:val="ArticleBody"/>
        <w:jc w:val="left"/>
      </w:pPr>
      <w:r>
        <w:rPr>
          <w:rFonts w:ascii="Times New Roman" w:hAnsi="Times New Roman" w:eastAsia="Times New Roman" w:cs="Times New Roman"/>
        </w:rPr>
        <w:t>Il est manifeste que le jalon représenté par les « trompettes, l’ascension et le jugement » constitue l’épreuve décisive et la troisième épreuve. La troisième épreuve est toujours l’épreuve décisive, où le caractère se manifeste, sans jamais s’y développer.</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អត្តចរិតត្រូវបានបើកសម្ដែងដោយវិបត្តិមួយ។</w:t>
      </w:r>
      <w:r>
        <w:rPr>
          <w:rFonts w:ascii="Times New Roman" w:hAnsi="Times New Roman" w:eastAsia="Times New Roman" w:cs="Times New Roman"/>
        </w:rPr>
        <w:t xml:space="preserve"> </w:t>
      </w:r>
      <w:r>
        <w:rPr>
          <w:rFonts w:ascii="Leelawadee UI" w:hAnsi="Leelawadee UI" w:eastAsia="Leelawadee UI" w:cs="Leelawadee UI"/>
        </w:rPr>
        <w:t>នៅពេលសំឡេងដ៏ទន្ទឹងទន្ទាញបានប្រកាសនៅពាក់កណ្ដាលអធ្រាត្រថា</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កូនកំលោះមកហើយ</w:t>
      </w:r>
      <w:r>
        <w:rPr>
          <w:rFonts w:ascii="Times New Roman" w:hAnsi="Times New Roman" w:eastAsia="Times New Roman" w:cs="Times New Roman"/>
        </w:rPr>
        <w:t xml:space="preserve">; </w:t>
      </w:r>
      <w:r>
        <w:rPr>
          <w:rFonts w:ascii="Leelawadee UI" w:hAnsi="Leelawadee UI" w:eastAsia="Leelawadee UI" w:cs="Leelawadee UI"/>
        </w:rPr>
        <w:t>ចូរអ្នករាល់គ្នាចេញទៅទទួលលោកចុះ</w:t>
      </w:r>
      <w:r>
        <w:rPr>
          <w:rFonts w:ascii="Times New Roman" w:hAnsi="Times New Roman" w:eastAsia="Times New Roman" w:cs="Times New Roman"/>
        </w:rPr>
        <w:t xml:space="preserve">” </w:t>
      </w:r>
      <w:r>
        <w:rPr>
          <w:rFonts w:ascii="Leelawadee UI" w:hAnsi="Leelawadee UI" w:eastAsia="Leelawadee UI" w:cs="Leelawadee UI"/>
        </w:rPr>
        <w:t>ព្រហ្មចារីដែលកំពុងដេកលក់បានភ្ញាក់ពីដំណេករបស់ខ្លួនឡើង</w:t>
      </w:r>
      <w:r>
        <w:rPr>
          <w:rFonts w:ascii="Times New Roman" w:hAnsi="Times New Roman" w:eastAsia="Times New Roman" w:cs="Times New Roman"/>
        </w:rPr>
        <w:t xml:space="preserve"> </w:t>
      </w:r>
      <w:r>
        <w:rPr>
          <w:rFonts w:ascii="Leelawadee UI" w:hAnsi="Leelawadee UI" w:eastAsia="Leelawadee UI" w:cs="Leelawadee UI"/>
        </w:rPr>
        <w:t>ហើយគេបានឃើញថា</w:t>
      </w:r>
      <w:r>
        <w:rPr>
          <w:rFonts w:ascii="Times New Roman" w:hAnsi="Times New Roman" w:eastAsia="Times New Roman" w:cs="Times New Roman"/>
        </w:rPr>
        <w:t xml:space="preserve"> </w:t>
      </w:r>
      <w:r>
        <w:rPr>
          <w:rFonts w:ascii="Leelawadee UI" w:hAnsi="Leelawadee UI" w:eastAsia="Leelawadee UI" w:cs="Leelawadee UI"/>
        </w:rPr>
        <w:t>នរណាខ្លះបានរៀបចំខ្លួនសម្រាប់ព្រឹត្តិការណ៍នោះ។</w:t>
      </w:r>
      <w:r>
        <w:rPr>
          <w:rFonts w:ascii="Times New Roman" w:hAnsi="Times New Roman" w:eastAsia="Times New Roman" w:cs="Times New Roman"/>
        </w:rPr>
        <w:t xml:space="preserve"> </w:t>
      </w:r>
      <w:r>
        <w:rPr>
          <w:rFonts w:ascii="Leelawadee UI" w:hAnsi="Leelawadee UI" w:eastAsia="Leelawadee UI" w:cs="Leelawadee UI"/>
        </w:rPr>
        <w:t>ទាំងពីរក្រុមសុទ្ធតែត្រូវបានចាប់ឲ្យមិនទាន់ដឹងខ្លួន</w:t>
      </w:r>
      <w:r>
        <w:rPr>
          <w:rFonts w:ascii="Times New Roman" w:hAnsi="Times New Roman" w:eastAsia="Times New Roman" w:cs="Times New Roman"/>
        </w:rPr>
        <w:t xml:space="preserve"> </w:t>
      </w:r>
      <w:r>
        <w:rPr>
          <w:rFonts w:ascii="Leelawadee UI" w:hAnsi="Leelawadee UI" w:eastAsia="Leelawadee UI" w:cs="Leelawadee UI"/>
        </w:rPr>
        <w:t>ប៉ុន្តែក្រុមមួយបានត្រៀមខ្លួនសម្រាប់គ្រាអាសន្ន</w:t>
      </w:r>
      <w:r>
        <w:rPr>
          <w:rFonts w:ascii="Times New Roman" w:hAnsi="Times New Roman" w:eastAsia="Times New Roman" w:cs="Times New Roman"/>
        </w:rPr>
        <w:t xml:space="preserve"> </w:t>
      </w:r>
      <w:r>
        <w:rPr>
          <w:rFonts w:ascii="Leelawadee UI" w:hAnsi="Leelawadee UI" w:eastAsia="Leelawadee UI" w:cs="Leelawadee UI"/>
        </w:rPr>
        <w:t>ខណៈដែលក្រុមមួយទៀតត្រូវបានឃើញថាគ្មានការត្រៀមខ្លួនទេ។</w:t>
      </w:r>
      <w:r>
        <w:rPr>
          <w:rFonts w:ascii="Times New Roman" w:hAnsi="Times New Roman" w:eastAsia="Times New Roman" w:cs="Times New Roman"/>
        </w:rPr>
        <w:t xml:space="preserve"> </w:t>
      </w:r>
      <w:r>
        <w:rPr>
          <w:rFonts w:ascii="Leelawadee UI" w:hAnsi="Leelawadee UI" w:eastAsia="Leelawadee UI" w:cs="Leelawadee UI"/>
        </w:rPr>
        <w:t>អត្តចរិតត្រូវបានបើកសម្ដែងដោយកាលៈទេសៈ។</w:t>
      </w:r>
      <w:r>
        <w:rPr>
          <w:rFonts w:ascii="Times New Roman" w:hAnsi="Times New Roman" w:eastAsia="Times New Roman" w:cs="Times New Roman"/>
        </w:rPr>
        <w:t xml:space="preserve"> </w:t>
      </w:r>
      <w:r>
        <w:rPr>
          <w:rFonts w:ascii="Leelawadee UI" w:hAnsi="Leelawadee UI" w:eastAsia="Leelawadee UI" w:cs="Leelawadee UI"/>
        </w:rPr>
        <w:t>គ្រាអាសន្ននានាបង្ហាញឲ្យឃើញធាតុពិតនៃអត្តចរិត។</w:t>
      </w:r>
      <w:r>
        <w:rPr>
          <w:rFonts w:ascii="Times New Roman" w:hAnsi="Times New Roman" w:eastAsia="Times New Roman" w:cs="Times New Roman"/>
        </w:rPr>
        <w:t xml:space="preserve"> </w:t>
      </w:r>
      <w:r>
        <w:rPr>
          <w:rFonts w:ascii="Leelawadee UI" w:hAnsi="Leelawadee UI" w:eastAsia="Leelawadee UI" w:cs="Leelawadee UI"/>
        </w:rPr>
        <w:t>មហន្តរាយខ្លះដែលកើតឡើងភ្លាមៗ</w:t>
      </w:r>
      <w:r>
        <w:rPr>
          <w:rFonts w:ascii="Times New Roman" w:hAnsi="Times New Roman" w:eastAsia="Times New Roman" w:cs="Times New Roman"/>
        </w:rPr>
        <w:t xml:space="preserve"> </w:t>
      </w:r>
      <w:r>
        <w:rPr>
          <w:rFonts w:ascii="Leelawadee UI" w:hAnsi="Leelawadee UI" w:eastAsia="Leelawadee UI" w:cs="Leelawadee UI"/>
        </w:rPr>
        <w:t>និងមិនបានរំពឹងទុក</w:t>
      </w:r>
      <w:r>
        <w:rPr>
          <w:rFonts w:ascii="Times New Roman" w:hAnsi="Times New Roman" w:eastAsia="Times New Roman" w:cs="Times New Roman"/>
        </w:rPr>
        <w:t xml:space="preserve"> </w:t>
      </w:r>
      <w:r>
        <w:rPr>
          <w:rFonts w:ascii="Leelawadee UI" w:hAnsi="Leelawadee UI" w:eastAsia="Leelawadee UI" w:cs="Leelawadee UI"/>
        </w:rPr>
        <w:t>ការបាត់បង់មនុស្សជាទីស្រឡាញ់</w:t>
      </w:r>
      <w:r>
        <w:rPr>
          <w:rFonts w:ascii="Times New Roman" w:hAnsi="Times New Roman" w:eastAsia="Times New Roman" w:cs="Times New Roman"/>
        </w:rPr>
        <w:t xml:space="preserve"> </w:t>
      </w:r>
      <w:r>
        <w:rPr>
          <w:rFonts w:ascii="Leelawadee UI" w:hAnsi="Leelawadee UI" w:eastAsia="Leelawadee UI" w:cs="Leelawadee UI"/>
        </w:rPr>
        <w:t>ឬវិបត្តិណាមួយ</w:t>
      </w:r>
      <w:r>
        <w:rPr>
          <w:rFonts w:ascii="Times New Roman" w:hAnsi="Times New Roman" w:eastAsia="Times New Roman" w:cs="Times New Roman"/>
        </w:rPr>
        <w:t xml:space="preserve"> </w:t>
      </w:r>
      <w:r>
        <w:rPr>
          <w:rFonts w:ascii="Leelawadee UI" w:hAnsi="Leelawadee UI" w:eastAsia="Leelawadee UI" w:cs="Leelawadee UI"/>
        </w:rPr>
        <w:t>ជំងឺឬទុក្ខវេទនាដែលកើតមកដោយមិននឹកស្មាន</w:t>
      </w:r>
      <w:r>
        <w:rPr>
          <w:rFonts w:ascii="Times New Roman" w:hAnsi="Times New Roman" w:eastAsia="Times New Roman" w:cs="Times New Roman"/>
        </w:rPr>
        <w:t xml:space="preserve"> </w:t>
      </w:r>
      <w:r>
        <w:rPr>
          <w:rFonts w:ascii="Leelawadee UI" w:hAnsi="Leelawadee UI" w:eastAsia="Leelawadee UI" w:cs="Leelawadee UI"/>
        </w:rPr>
        <w:t>អ្វីមួយណាដែលនាំព្រលឹងឲ្យឈរមុខទល់នឹងសេចក្ដីស្លាប់</w:t>
      </w:r>
      <w:r>
        <w:rPr>
          <w:rFonts w:ascii="Times New Roman" w:hAnsi="Times New Roman" w:eastAsia="Times New Roman" w:cs="Times New Roman"/>
        </w:rPr>
        <w:t xml:space="preserve"> </w:t>
      </w:r>
      <w:r>
        <w:rPr>
          <w:rFonts w:ascii="Leelawadee UI" w:hAnsi="Leelawadee UI" w:eastAsia="Leelawadee UI" w:cs="Leelawadee UI"/>
        </w:rPr>
        <w:t>នឹងបង្ហាញឲ្យឃើញសភាពខាងក្នុងដ៏ពិតនៃអត្តចរិត។</w:t>
      </w:r>
      <w:r>
        <w:rPr>
          <w:rFonts w:ascii="Times New Roman" w:hAnsi="Times New Roman" w:eastAsia="Times New Roman" w:cs="Times New Roman"/>
        </w:rPr>
        <w:t xml:space="preserve"> </w:t>
      </w:r>
      <w:r>
        <w:rPr>
          <w:rFonts w:ascii="Leelawadee UI" w:hAnsi="Leelawadee UI" w:eastAsia="Leelawadee UI" w:cs="Leelawadee UI"/>
        </w:rPr>
        <w:t>នោះនឹងត្រូវបានបើកសម្ដែងថា</w:t>
      </w:r>
      <w:r>
        <w:rPr>
          <w:rFonts w:ascii="Times New Roman" w:hAnsi="Times New Roman" w:eastAsia="Times New Roman" w:cs="Times New Roman"/>
        </w:rPr>
        <w:t xml:space="preserve"> </w:t>
      </w:r>
      <w:r>
        <w:rPr>
          <w:rFonts w:ascii="Leelawadee UI" w:hAnsi="Leelawadee UI" w:eastAsia="Leelawadee UI" w:cs="Leelawadee UI"/>
        </w:rPr>
        <w:t>តើមានសេចក្ដីជំនឿពិតណាមួយលើព្រះបន្ទូលសន្យានៃព្រះបន្ទូលរបស់ព្រះជាម្ចាស់ឬអត់។</w:t>
      </w:r>
      <w:r>
        <w:rPr>
          <w:rFonts w:ascii="Times New Roman" w:hAnsi="Times New Roman" w:eastAsia="Times New Roman" w:cs="Times New Roman"/>
        </w:rPr>
        <w:t xml:space="preserve"> </w:t>
      </w:r>
      <w:r>
        <w:rPr>
          <w:rFonts w:ascii="Leelawadee UI" w:hAnsi="Leelawadee UI" w:eastAsia="Leelawadee UI" w:cs="Leelawadee UI"/>
        </w:rPr>
        <w:t>នោះនឹងត្រូវបានបើកសម្ដែងថា</w:t>
      </w:r>
      <w:r>
        <w:rPr>
          <w:rFonts w:ascii="Times New Roman" w:hAnsi="Times New Roman" w:eastAsia="Times New Roman" w:cs="Times New Roman"/>
        </w:rPr>
        <w:t xml:space="preserve"> </w:t>
      </w:r>
      <w:r>
        <w:rPr>
          <w:rFonts w:ascii="Leelawadee UI" w:hAnsi="Leelawadee UI" w:eastAsia="Leelawadee UI" w:cs="Leelawadee UI"/>
        </w:rPr>
        <w:t>តើព្រលឹងត្រូវបានទ្រទ្រង់ដោយព្រះគុណឬអត់</w:t>
      </w:r>
      <w:r>
        <w:rPr>
          <w:rFonts w:ascii="Times New Roman" w:hAnsi="Times New Roman" w:eastAsia="Times New Roman" w:cs="Times New Roman"/>
        </w:rPr>
        <w:t xml:space="preserve"> </w:t>
      </w:r>
      <w:r>
        <w:rPr>
          <w:rFonts w:ascii="Leelawadee UI" w:hAnsi="Leelawadee UI" w:eastAsia="Leelawadee UI" w:cs="Leelawadee UI"/>
        </w:rPr>
        <w:t>ហើយតើមានប្រេងនៅក្នុងភាជន៍ជាមួយនឹងចង្កៀងឬអត់។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«Ցանկացածի կյանքում գալիս են փորձության ժամանակներ։ Ինչպե՞ս ենք վարվում Աստծո փորձության և քննության ներքո։ Արդյո՞ք մեր ճրագները մարում են, թե՞ մենք դեռ պահում ենք դրանք վառված։ Պատրա՞ստ ենք յուրաքանչյուր արտակարգ իրավիճակի՝ շնորհով և ճշմարտությամբ լի Նրա հետ մեր կապի միջոցով։ Հինգ իմաստուն կույսերը չէին կարող իրենց բնավորությունը հաղորդել հինգ անմիտ կույսերին։ Բնավորությունը պետք է կազմավորվի մեր կողմից՝ որպես առանձին անհատներ»։ Review and Herald, October 17, 1895.</w:t>
      </w:r>
    </w:p>
    <w:p>
      <w:pPr>
        <w:pStyle w:val="ArticleBody"/>
        <w:jc w:val="left"/>
      </w:pP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তূর্যধ্বনির</w:t>
      </w:r>
      <w:r>
        <w:rPr>
          <w:rFonts w:ascii="Times New Roman" w:hAnsi="Times New Roman" w:eastAsia="Times New Roman" w:cs="Times New Roman"/>
        </w:rPr>
        <w:t xml:space="preserve"> </w:t>
      </w:r>
      <w:r>
        <w:rPr>
          <w:rFonts w:ascii="Nirmala UI" w:hAnsi="Nirmala UI" w:eastAsia="Nirmala UI" w:cs="Nirmala UI"/>
        </w:rPr>
        <w:t>পর্বের</w:t>
      </w:r>
      <w:r>
        <w:rPr>
          <w:rFonts w:ascii="Times New Roman" w:hAnsi="Times New Roman" w:eastAsia="Times New Roman" w:cs="Times New Roman"/>
        </w:rPr>
        <w:t xml:space="preserve"> </w:t>
      </w:r>
      <w:r>
        <w:rPr>
          <w:rFonts w:ascii="Nirmala UI" w:hAnsi="Nirmala UI" w:eastAsia="Nirmala UI" w:cs="Nirmala UI"/>
        </w:rPr>
        <w:t>পথচিহ্ন</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চরিত্র</w:t>
      </w:r>
      <w:r>
        <w:rPr>
          <w:rFonts w:ascii="Times New Roman" w:hAnsi="Times New Roman" w:eastAsia="Times New Roman" w:cs="Times New Roman"/>
        </w:rPr>
        <w:t xml:space="preserve"> </w:t>
      </w:r>
      <w:r>
        <w:rPr>
          <w:rFonts w:ascii="Nirmala UI" w:hAnsi="Nirmala UI" w:eastAsia="Nirmala UI" w:cs="Nirmala UI"/>
        </w:rPr>
        <w:t>চিরদিনের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সীলমোহরপ্রাপ্ত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পতাকাচিহ্নরূপে</w:t>
      </w:r>
      <w:r>
        <w:rPr>
          <w:rFonts w:ascii="Times New Roman" w:hAnsi="Times New Roman" w:eastAsia="Times New Roman" w:cs="Times New Roman"/>
        </w:rPr>
        <w:t xml:space="preserve"> </w:t>
      </w:r>
      <w:r>
        <w:rPr>
          <w:rFonts w:ascii="Nirmala UI" w:hAnsi="Nirmala UI" w:eastAsia="Nirmala UI" w:cs="Nirmala UI"/>
        </w:rPr>
        <w:t>উচ্চে</w:t>
      </w:r>
      <w:r>
        <w:rPr>
          <w:rFonts w:ascii="Times New Roman" w:hAnsi="Times New Roman" w:eastAsia="Times New Roman" w:cs="Times New Roman"/>
        </w:rPr>
        <w:t xml:space="preserve"> </w:t>
      </w:r>
      <w:r>
        <w:rPr>
          <w:rFonts w:ascii="Nirmala UI" w:hAnsi="Nirmala UI" w:eastAsia="Nirmala UI" w:cs="Nirmala UI"/>
        </w:rPr>
        <w:t>উত্তোলন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পাপসমূহ</w:t>
      </w:r>
      <w:r>
        <w:rPr>
          <w:rFonts w:ascii="Times New Roman" w:hAnsi="Times New Roman" w:eastAsia="Times New Roman" w:cs="Times New Roman"/>
        </w:rPr>
        <w:t xml:space="preserve"> </w:t>
      </w:r>
      <w:r>
        <w:rPr>
          <w:rFonts w:ascii="Nirmala UI" w:hAnsi="Nirmala UI" w:eastAsia="Nirmala UI" w:cs="Nirmala UI"/>
        </w:rPr>
        <w:t>চিরদিনের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মুছে</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ধাপ</w:t>
      </w:r>
      <w:r>
        <w:rPr>
          <w:rFonts w:ascii="Times New Roman" w:hAnsi="Times New Roman" w:eastAsia="Times New Roman" w:cs="Times New Roman"/>
        </w:rPr>
        <w:t xml:space="preserve"> </w:t>
      </w:r>
      <w:r>
        <w:rPr>
          <w:rFonts w:ascii="Nirmala UI" w:hAnsi="Nirmala UI" w:eastAsia="Nirmala UI" w:cs="Nirmala UI"/>
        </w:rPr>
        <w:t>সীলমোহরের</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দিককে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আহ্বানের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আবির্ভাব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পতাকাচিহ্নরূপে</w:t>
      </w:r>
      <w:r>
        <w:rPr>
          <w:rFonts w:ascii="Times New Roman" w:hAnsi="Times New Roman" w:eastAsia="Times New Roman" w:cs="Times New Roman"/>
        </w:rPr>
        <w:t xml:space="preserve"> </w:t>
      </w:r>
      <w:r>
        <w:rPr>
          <w:rFonts w:ascii="Nirmala UI" w:hAnsi="Nirmala UI" w:eastAsia="Nirmala UI" w:cs="Nirmala UI"/>
        </w:rPr>
        <w:t>উচ্চে</w:t>
      </w:r>
      <w:r>
        <w:rPr>
          <w:rFonts w:ascii="Times New Roman" w:hAnsi="Times New Roman" w:eastAsia="Times New Roman" w:cs="Times New Roman"/>
        </w:rPr>
        <w:t xml:space="preserve"> </w:t>
      </w:r>
      <w:r>
        <w:rPr>
          <w:rFonts w:ascii="Nirmala UI" w:hAnsi="Nirmala UI" w:eastAsia="Nirmala UI" w:cs="Nirmala UI"/>
        </w:rPr>
        <w:t>উত্তোলিত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পাপসমূহ</w:t>
      </w:r>
      <w:r>
        <w:rPr>
          <w:rFonts w:ascii="Times New Roman" w:hAnsi="Times New Roman" w:eastAsia="Times New Roman" w:cs="Times New Roman"/>
        </w:rPr>
        <w:t xml:space="preserve"> </w:t>
      </w:r>
      <w:r>
        <w:rPr>
          <w:rFonts w:ascii="Nirmala UI" w:hAnsi="Nirmala UI" w:eastAsia="Nirmala UI" w:cs="Nirmala UI"/>
        </w:rPr>
        <w:t>অপসারিত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w:t>
      </w:r>
      <w:r>
        <w:rPr>
          <w:rFonts w:ascii="Nirmala UI" w:hAnsi="Nirmala UI" w:eastAsia="Nirmala UI" w:cs="Nirmala UI"/>
        </w:rPr>
        <w:t>এসবই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পথচিহ্ন।</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পথচিহ্ন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আত্মাকে</w:t>
      </w:r>
      <w:r>
        <w:rPr>
          <w:rFonts w:ascii="Times New Roman" w:hAnsi="Times New Roman" w:eastAsia="Times New Roman" w:cs="Times New Roman"/>
        </w:rPr>
        <w:t xml:space="preserve"> </w:t>
      </w:r>
      <w:r>
        <w:rPr>
          <w:rFonts w:ascii="Nirmala UI" w:hAnsi="Nirmala UI" w:eastAsia="Nirmala UI" w:cs="Nirmala UI"/>
        </w:rPr>
        <w:t>মৃত্যুর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মুখোমুখি</w:t>
      </w:r>
      <w:r>
        <w:rPr>
          <w:rFonts w:ascii="Times New Roman" w:hAnsi="Times New Roman" w:eastAsia="Times New Roman" w:cs="Times New Roman"/>
        </w:rPr>
        <w:t xml:space="preserve"> </w:t>
      </w:r>
      <w:r>
        <w:rPr>
          <w:rFonts w:ascii="Nirmala UI" w:hAnsi="Nirmala UI" w:eastAsia="Nirmala UI" w:cs="Nirmala UI"/>
        </w:rPr>
        <w:t>দাঁড়</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অপ্রত্যাশিত</w:t>
      </w:r>
      <w:r>
        <w:rPr>
          <w:rFonts w:ascii="Times New Roman" w:hAnsi="Times New Roman" w:eastAsia="Times New Roman" w:cs="Times New Roman"/>
        </w:rPr>
        <w:t xml:space="preserve"> </w:t>
      </w:r>
      <w:r>
        <w:rPr>
          <w:rFonts w:ascii="Nirmala UI" w:hAnsi="Nirmala UI" w:eastAsia="Nirmala UI" w:cs="Nirmala UI"/>
        </w:rPr>
        <w:t>বিপর্যয়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তূর্য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অপ্রত্যাশিত</w:t>
      </w:r>
      <w:r>
        <w:rPr>
          <w:rFonts w:ascii="Times New Roman" w:hAnsi="Times New Roman" w:eastAsia="Times New Roman" w:cs="Times New Roman"/>
        </w:rPr>
        <w:t xml:space="preserve"> </w:t>
      </w:r>
      <w:r>
        <w:rPr>
          <w:rFonts w:ascii="Nirmala UI" w:hAnsi="Nirmala UI" w:eastAsia="Nirmala UI" w:cs="Nirmala UI"/>
        </w:rPr>
        <w:t>বিপর্যয়</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আসিতেছেন</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পাঁচ</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পরিবর্তিত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উচ্চধ্বনির</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Times New Roman" w:hAnsi="Times New Roman" w:eastAsia="Times New Roman" w:cs="Times New Roman"/>
        </w:rPr>
        <w:t>E sika song pɛ a ɛwɔ waymark no yɛ nneɛma a ɛda asɔretwa no ne mmarima apem ɔha aduanan anan no so ma wonim wɔn, ne wɔn so a wɔma wɔn so kɔ soro, ansa na Sunday mmara no aba. Ɛda adi pefee sɛ sɔhwɛ kyerɛwdua a ɛne “ntorobɛnto, foro kɔ soro, ne atemmu” no, gyinaa Exeter camp meeting no ananmu. Nnaanum a ɛda Mpata Da no ne Pentecost ntam no gyina hɔ ma nna aduosia nsia a ɛda Exeter camp meeting no awiei wɔ August 17 ne October 22, 1844 ntam, bere a wɔtoo pon no mu no. Saa nna aduosia nsia no wɔ Millerite abakɔsɛm mu no, kyerɛ nna a edi akyiri no, na saa kwan yi so no, ɛreyɛ mfonini ama Midnight Cry nkrasɛm no ho dawuru a mmarima apem ɔha aduanan anan no bɔe no.</w:t>
      </w:r>
    </w:p>
    <w:p>
      <w:pPr>
        <w:pStyle w:val="ArticleBody"/>
        <w:jc w:val="left"/>
      </w:pPr>
      <w:r>
        <w:rPr>
          <w:rFonts w:ascii="Times New Roman" w:hAnsi="Times New Roman" w:eastAsia="Times New Roman" w:cs="Times New Roman"/>
        </w:rPr>
        <w:t>Ang limang araw hanggang Pentecostes ay umaayon sa animnapu’t anim na araw ng mga Millerita sa pagpapahayag ng mensahe ng Sigaw sa Hatinggabi, na isinagisag din ng matagumpay na pagpasok ni Cristo sa Jerusalem. Ang una sa tatlong hakbang ay ang kapistahan ng mga trumpeta, na siyang ikapitong trumpeta, o ikatlong kahabag-habag, o Islam sa mga huling araw, at ang matagumpay na pagpasok ni Cristo ay sinundan ng pagpapakawala sa isang asno.</w:t>
      </w:r>
    </w:p>
    <w:p>
      <w:pPr>
        <w:pStyle w:val="ArticleBody"/>
        <w:jc w:val="left"/>
      </w:pPr>
      <w:r>
        <w:rPr>
          <w:rFonts w:ascii="Times New Roman" w:hAnsi="Times New Roman" w:eastAsia="Times New Roman" w:cs="Times New Roman"/>
        </w:rPr>
        <w:t>Mwa uneneri, lokhu kubonisa ukuthi ukukhululwa kwembongolo kuphawula ukuqala kokungena kokunqoba, okuyisikhalo saphakathi kobusuku. Isiprofetho seBhayibheli kufanele sisetshenziswe ezinsukwini zokugcina embusweni wesithupha wesiprofetho seBhayibheli—isilwane somhlaba, i-United States. UbuSulumane buyoshaya i-United States, njengoba benza ngo-9/11, ngaleyo ndlela buphawule ukuqala kokumenyezelwa kweSikhalo Saphakathi Kobusuku ngokushaya okukhulu i-United States ngobuSulumane, kanye nokuphela kokumenyezelwa kweSikhalo Saphakathi Kobusuku ngokunye ukushaya okukhulu i-United States ngobuSulumane, ngoba uJesu uhlale efanekisa ukuphela kwento ngesiqalo sento.</w:t>
      </w:r>
    </w:p>
    <w:p>
      <w:pPr>
        <w:pStyle w:val="ArticleBody"/>
        <w:jc w:val="left"/>
      </w:pPr>
      <w:r>
        <w:rPr>
          <w:rFonts w:ascii="Times New Roman" w:hAnsi="Times New Roman" w:eastAsia="Times New Roman" w:cs="Times New Roman"/>
        </w:rPr>
        <w:t>Pentikọsti mannaarineq tassaavoq nipituumik suaartarnermik mannaarineq, aammalu nipituumik suaartarneq tassaaginnarluni Unnuap Qiterpasissuani Suaartarnerup mannaarineqarnerata annertusineqarnera. Millerikkut oqaluttuarisaaneranni Unnuap Qiterpasissuani Suaartarneq naavoq ulloq 22. oktobari 1844 matu matuneqarmat, aammalu ulluni kingullerni sapaatip ulluani inatsisip nalaani matu matuneqalerpat aamma naassaaq. Pentikọstimi Petrusi Joelip mannaarineqartoq nalunaarutigaa, aammalu Pentikọsti tassaavoq Unnuap Qiterpasissuani Suaartarnerup omega-mik naanerata inernera, taamaattumillu Unnuap Qiterpasissuani Suaartarnerup alpha-mik aallartinnerani Petrusip pruffiitikkut pisariaqavissumik aamma Joelip mannaarineqartoq saqqummiuttussaavaa. Unnuap Qiterpasissuani Suaartarnerup nalaani Petrusiippoq Apustilit Suliaat immikkoortortaq marluk-mi, qullerpaamik ini-mi nal. pingasut, taamatullu ulloq taanna nal. qulinganni naalaffimmiippoq Joelip mannaarineqartoq nalunaarutigalugu.</w:t>
      </w:r>
    </w:p>
    <w:p>
      <w:pPr>
        <w:pStyle w:val="ArticleBody"/>
        <w:jc w:val="left"/>
      </w:pPr>
      <w:r>
        <w:rPr>
          <w:rFonts w:ascii="Times New Roman" w:hAnsi="Times New Roman" w:eastAsia="Times New Roman" w:cs="Times New Roman"/>
        </w:rPr>
        <w:t>Pierre est le symbole des cent quarante-quatre mille à la Pentecôte, laquelle marque la fin du Cri de Minuit, et il est le symbole des cent quarante-quatre mille au commencement du Cri de Minuit. Le scellement et le relèvement des cent quarante-quatre mille commencent avec le déliement de l’ânon lorsque l’islam frappe. Lorsque les millérites quittèrent la réunion de camp d’Exeter, ils portèrent le message comme un raz-de-marée, et, symboliquement, ils préfigurèrent les cent quarante-quatre mille qui répètent cette expérience.</w:t>
      </w:r>
    </w:p>
    <w:p>
      <w:pPr>
        <w:pStyle w:val="ArticleBody"/>
        <w:jc w:val="left"/>
      </w:pPr>
      <w:r>
        <w:rPr>
          <w:rFonts w:ascii="Times New Roman" w:hAnsi="Times New Roman" w:eastAsia="Times New Roman" w:cs="Times New Roman"/>
        </w:rPr>
        <w:t>Cette application devient plus solennelle lorsque l’on reconnaît que Pierre représente ceux qui proclament le message du Cri de Minuit au test décisif et au troisième test de la saison pentecostale. La troisième heure, pour Pierre à la Pentecôte, le situe dans la chambre haute, et la chambre haute correspond aussi aux dix jours qui précèdent la Pentecôte. Le deuxième test de la saison pentecostale est l’épreuve de trente jours dans le temple qui suit l’épreuve fondamentale. Le deuxième test du temple exige que les fidèles entrent par la foi dans le lieu très saint, où leurs péchés sont effacés et où ils sont assis par la foi avec Christ dans les lieux célestes. Le livre des Actes nous apprend que Pierre commença son sermon sur le livre de Joël à la troisième heure dans la chambre haute, puis qu’à la neuvième heure il se trouvait dans le temple.</w:t>
      </w:r>
    </w:p>
    <w:p>
      <w:pPr>
        <w:pStyle w:val="ArticleScripture"/>
        <w:jc w:val="left"/>
      </w:pPr>
      <w:r>
        <w:rPr>
          <w:rFonts w:ascii="Times New Roman" w:hAnsi="Times New Roman" w:eastAsia="Times New Roman" w:cs="Times New Roman"/>
        </w:rPr>
        <w:t>Ma Pita, isagoo la istaagay kow iyo tobanka, codkiisii kor u qaaday oo ku yidhi iyaga, Nimanka Yahuudiya jooga iyo kulligiin deggan Yeruusaalem, tan ha idiin caddaato, oo hadalladayda dhegaysta; waayo, kuwanu ma sakhraansana sida aad malaynaysaan, maxaa yeelay waa saacaddii saddexaad oo keliya ee maalinta. Laakiin kanu waa wixii uu kaga hadlay nebi Yoo’eel. … Haddaba Pita iyo Yooxanaa waxay wada kor ugu socdeen macbudka saacaddii salaadda, taas oo ahayd saacaddii sagaalaad. Falimaha Rasuullada 2:14–16; 3:1.</w:t>
      </w:r>
    </w:p>
    <w:p>
      <w:pPr>
        <w:pStyle w:val="ArticleBody"/>
        <w:jc w:val="left"/>
      </w:pPr>
      <w:r>
        <w:rPr>
          <w:rFonts w:ascii="Times New Roman" w:hAnsi="Times New Roman" w:eastAsia="Times New Roman" w:cs="Times New Roman"/>
        </w:rPr>
        <w:t>Christ a été cloué à la croix à la troisième heure, et Il mourut à la neuvième heure. Sa mort, son ensevelissement et sa résurrection constituent un seul repère comportant trois étapes. La troisième étape, le jour des prémices, inaugure les cinquante jours qui s’achèvent à la Pentecôte. Dans l’alpha de la période pentecostale, la troisième et la neuvième heure représentent un contraste distinct, car Christ était vivant à la troisième heure et mort à la neuvième. Pierre était dans la chambre haute à la troisième heure et dans le temple à la neuvième.</w:t>
      </w:r>
    </w:p>
    <w:p>
      <w:pPr>
        <w:pStyle w:val="ArticleBody"/>
        <w:jc w:val="left"/>
      </w:pPr>
      <w:r>
        <w:rPr>
          <w:rFonts w:ascii="Times New Roman" w:hAnsi="Times New Roman" w:eastAsia="Times New Roman" w:cs="Times New Roman"/>
        </w:rPr>
        <w:t>In de tijd van Christus was de pinkstertijd van vijftig heilige dagen een heilige profetische periode die rechtstreeks verbonden was met de profetie van tweeëntwintighonderd jaar. Zij was in het bijzonder verbonden met de laatste week van de vierhonderdnegentig jaar voor het Joodse volk in Daniël 9. Die heilige week, waarin Christus het verbond bevestigde, was verdeeld in twee gelijke perioden van 1.260 profetische dagen. Het middelpunt van die week was het kruis. Het kruis markeert het derde en het negende uur, en Petrus doet op Pinksteren hetzelfde. In het jaar 34, aan het einde van diezelfde heilige week, toen Cornelius vanuit Caesarea Maritima om Petrus zond, was het het negende uur.</w:t>
      </w:r>
    </w:p>
    <w:p>
      <w:pPr>
        <w:pStyle w:val="ArticleScripture"/>
        <w:jc w:val="left"/>
      </w:pPr>
      <w:r>
        <w:rPr>
          <w:rFonts w:ascii="Times New Roman" w:hAnsi="Times New Roman" w:eastAsia="Times New Roman" w:cs="Times New Roman"/>
        </w:rPr>
        <w:t>Kulikuwa na mtu mmoja katika Kaisaria, jina lake Kornelio, akida wa kikosi kilichoitwa Kikosi cha Kiitalia, mtu mcha Mungu na mwenye kumcha Mungu pamoja na nyumba yake yote, aliyetoa sadaka nyingi kwa watu, na kumwomba Mungu sikuzote. Aliona katika maono waziwazi, yapata saa ya tisa ya mchana, malaika wa Mungu akiingia kwake na kumwambia, Kornelio. Naye alipomtazama, akaingiwa na hofu, akasema, Ni nini, Bwana? Akamwambia, Sala zako na sadaka zako zimepanda kuwa ukumbusho mbele za Mungu. Na sasa tuma watu waende Yopa, ukamwite mtu mmoja Simoni, aitwaye pia Petro. Matendo 10:1–5.</w:t>
      </w:r>
    </w:p>
    <w:p>
      <w:pPr>
        <w:pStyle w:val="ArticleBody"/>
        <w:jc w:val="left"/>
      </w:pPr>
      <w:r>
        <w:rPr>
          <w:rFonts w:ascii="Times New Roman" w:hAnsi="Times New Roman" w:eastAsia="Times New Roman" w:cs="Times New Roman"/>
        </w:rPr>
        <w:t>Le lendemain, Pierre monta sur le toit pour prier vers la sixième heure.</w:t>
      </w:r>
    </w:p>
    <w:p>
      <w:pPr>
        <w:pStyle w:val="ArticleScripture"/>
        <w:jc w:val="left"/>
      </w:pPr>
      <w:r>
        <w:rPr>
          <w:rFonts w:ascii="Times New Roman" w:hAnsi="Times New Roman" w:eastAsia="Times New Roman" w:cs="Times New Roman"/>
        </w:rPr>
        <w:t>Ngày hôm sau, khi họ đang đi đường và đến gần thành, Phi-e-rơ lên sân thượng cầu nguyện vào khoảng giờ thứ sáu. Người đói lắm và muốn ăn; nhưng trong khi người ta đang dọn sẵn, thì người ngây ngất, và thấy trời mở ra, cùng một vật nào đó từ trên xuống đến với mình, như một tấm khăn lớn buộc nơi bốn góc, thả xuống đất. Trong đó có đủ mọi loài thú bốn chân trên đất, thú rừng, loài bò sát và chim trời. Bấy giờ có tiếng phán cùng người rằng: Phi-e-rơ, hãy chỗi dậy, giết và ăn. Nhưng Phi-e-rơ thưa rằng: Lạy Chúa, không được đâu; vì tôi chưa hề ăn vật gì tục hay ô uế. Tiếng ấy lại phán cùng người lần thứ hai rằng: Sự gì Đức Chúa Trời đã làm cho thanh sạch, thì ngươi chớ gọi là tục. Việc đó xảy ra đến ba lần; rồi vật ấy lại được cất lên trời. Công-vụ 10:9–16.</w:t>
      </w:r>
    </w:p>
    <w:p>
      <w:pPr>
        <w:pStyle w:val="ArticleBody"/>
        <w:jc w:val="left"/>
      </w:pPr>
      <w:r>
        <w:rPr>
          <w:rFonts w:ascii="Times New Roman" w:hAnsi="Times New Roman" w:eastAsia="Times New Roman" w:cs="Times New Roman"/>
        </w:rPr>
        <w:t>ٹھیک ہے.</w:t>
      </w:r>
    </w:p>
    <w:p>
      <w:pPr>
        <w:pStyle w:val="ArticleBody"/>
        <w:jc w:val="left"/>
      </w:pPr>
      <w:r>
        <w:rPr>
          <w:rFonts w:ascii="Times New Roman" w:hAnsi="Times New Roman" w:eastAsia="Times New Roman" w:cs="Times New Roman"/>
        </w:rPr>
        <w:t>Kornelio yuko katika Kaisaria Maritima, ambayo wakati mwingine huitwa Kaisaria ya baharini. Ufunuo kumi na saba hutuarifu kwamba “maji” “ni watu, na makutano, na mataifa, na lugha.” Maji hayo ni wale walio nje ya kanisa la Mungu, na katika Ufunuo vilevile katika ono la Petro la wanyama walio najisi, namba nne huwakilisha ulimwengu wote. Wanyama wa namna nne mbalimbali wako katika ono la Petro, nao hushuka ndani ya shuka linaloshikiliwa katika pembe zake nne. Uhusiano wa Petro na Kornelio pia unawakilishwa na Nuhu na wanyama walioingia katika safina.</w:t>
      </w:r>
    </w:p>
    <w:p>
      <w:pPr>
        <w:pStyle w:val="ArticleBody"/>
        <w:jc w:val="left"/>
      </w:pPr>
      <w:r>
        <w:rPr>
          <w:rFonts w:ascii="Times New Roman" w:hAnsi="Times New Roman" w:eastAsia="Times New Roman" w:cs="Times New Roman"/>
        </w:rPr>
        <w:t>Petro alikuwa katika Yafa, ambalo maana yake ni “angavu na zuri,” kwa maana, kama ishara ya wale mia moja arobaini na nne elfu, Petro ndiye bendera angavu na nzuri kwa Mataifa. Saa ya tisa, Mataifa huamshwa kwa bendera hiyo ambayo Sister White huitambulisha kuwa ni Sabato, sheria ya Mungu, ujumbe wa malaika wa tatu, na wamisionari ulimwenguni kote wanaoubeba ujumbe wa siku za mwisho. Kornelio aliamshwa kwa bendera hiyo malaika alipofika saa ya tisa huko Kaisaria kando ya bahari. Ujumbe katika sheria ya Jumapili ya Kipentekoste ndipo huenda kwa ulimwengu—bahari.</w:t>
      </w:r>
    </w:p>
    <w:p>
      <w:pPr>
        <w:pStyle w:val="ArticleBody"/>
        <w:jc w:val="left"/>
      </w:pPr>
      <w:r>
        <w:rPr>
          <w:rFonts w:ascii="Times New Roman" w:hAnsi="Times New Roman" w:eastAsia="Times New Roman" w:cs="Times New Roman"/>
        </w:rPr>
        <w:t>Kebangkitan panji itu juga digambarkan sebagai rumah Tuhan yang ditinggikan di atas gunung-gunung, dan Petrus sedang berdoa di atas sotoh kota Yope yang indah dan terang, pada jam keenam, tepat sebelum undang-undang hari Minggu pada jam kesembilan. Apabila seratus empat puluh empat ribu dimeteraikan, keadaan krisis di dalam dunia akan mendorong anak-anak Allah yang lain, yang masih berada di Babel, untuk mencari terang. Mereka dipimpin untuk menemukan Petrus di atas rumah itu di Yope.</w:t>
      </w:r>
    </w:p>
    <w:p>
      <w:pPr>
        <w:pStyle w:val="ArticleBody"/>
        <w:jc w:val="left"/>
      </w:pPr>
      <w:r>
        <w:rPr>
          <w:rFonts w:ascii="Times New Roman" w:hAnsi="Times New Roman" w:eastAsia="Times New Roman" w:cs="Times New Roman"/>
        </w:rPr>
        <w:t>Petro alikuwa pia katika Kaisaria Filipi katika Mathayo kumi na sita. Kaisaria Filipi, chini ya Mlima Hermoni, lilikuwa na jina lilelile kama Kaisaria ya pwani, lakini lilikuwa na tofauti iliyo wazi, kwa kuwa mji mmoja ulikuwa juu ya nchi na mwingine juu ya bahari. Kusulubiwa kwa Kristo saa ya tatu na kufa Kwake saa ya tisa kunatambulisha tofauti iliyo bayana ya uzima na mauti. Petro katika Pentekoste, saa ya tatu na ya tisa, kunatambulisha tofauti iliyo dhahiri kutoka chumba cha juu hata hekaluni. Kaisaria ya nchi kavu au Kaisaria ya baharini huwakilisha tofauti ya lazima ya kinabii ya saa ya tatu na ya tisa, lakini hakuna rejea ya moja kwa moja kwa saa ya tatu wakati Petro alipokuwa katika Kaisaria Filipi. Kwa ushuhuda wa wawili au watatu jambo huthibitishwa, na kwa saa ya tatu na ya tisa ya msalaba, na pia katika siku ya Pentekoste, vielelezo vyote viwili vinawakilishwa na mtu mmoja, awe Kristo akiwa hai au kaburini, au Petro katika chumba cha juu au hekaluni.</w:t>
      </w:r>
    </w:p>
    <w:p>
      <w:pPr>
        <w:pStyle w:val="ArticleBody"/>
        <w:jc w:val="left"/>
      </w:pPr>
      <w:r>
        <w:rPr>
          <w:rFonts w:ascii="Times New Roman" w:hAnsi="Times New Roman" w:eastAsia="Times New Roman" w:cs="Times New Roman"/>
        </w:rPr>
        <w:t>Le troisième témoignage d’une troisième et d’une neuvième heure, dans les deux Césarées, identifie Pierre comme le personnage principal dans les deux cas, de même que le Christ l’était au commencement de la saison de la Pentecôte et Pierre à la fin de cette même saison. Le caractère alpha de la troisième heure est le même que le caractère oméga de la neuvième heure, fournissant un premier témoignage que Césarée de Philippe est l’alpha des deux Césarées. Le second témoignage est que le nom des deux villes est le même, de sorte que le nom du personnage principal et le nom de la ville sont identiques. Un troisième témoignage est le contraste entre la terre et la mer. Lorsque Pierre était à Césarée de Philippe, c’était la troisième heure. C’est ici que le message devient encore plus grave.</w:t>
      </w:r>
    </w:p>
    <w:p>
      <w:pPr>
        <w:pStyle w:val="ArticleBody"/>
        <w:jc w:val="left"/>
      </w:pPr>
      <w:r>
        <w:rPr>
          <w:rFonts w:ascii="Times New Roman" w:hAnsi="Times New Roman" w:eastAsia="Times New Roman" w:cs="Times New Roman"/>
        </w:rPr>
        <w:t>Mae’n gywir cydweddu dwy ddinas o’r un enw, a dyna yr ydym yn ei wneud; ond yr ydym hefyd yn ymgorffori’r drydedd a’r nawfed awr yn y cymhwysiad, ar sail tystiolaeth Crist ar y groes a Phedr ar y Pentecost. Drwy ddwyn y tair llinell ynghyd—trydedd a nawfed awr Crist, trydedd a nawfed awr Pedr ar y Pentecost—yr ydym yn sefydlu’r drydedd awr yng Nghaesarea Philipi. Y mae’r union un rhesymeg broffwydol i’w chymhwyso i Cornelius ar y nawfed awr, Pedr ar y chweched awr, ac yna Pedr yng Nghaesarea Philipi ar y drydedd awr.</w:t>
      </w:r>
    </w:p>
    <w:p>
      <w:pPr>
        <w:pStyle w:val="ArticleBody"/>
        <w:jc w:val="left"/>
      </w:pPr>
      <w:r>
        <w:rPr>
          <w:rFonts w:ascii="Times New Roman" w:hAnsi="Times New Roman" w:eastAsia="Times New Roman" w:cs="Times New Roman"/>
        </w:rPr>
        <w:t>Pierre ezali na bilembo nyonso misato ya nzela; Korneyo azali elongo na Pierre na ngonga ya motoba mpe ya libwa, kasi na ya misato te, na Sezarea Filipi. Molɔngɔ yango esangisami, mpo ete litambe mokomoko ezali, na kolandana, ngonga ya misato, ya motoba, mpe ya libwa, longwa na Sezarea Filipi kino na Jopa mpe kino na Sezarea Maritima. Ba-Sezarea nyonso mibale ezalaki na misisa na yango ya bonkoko ekangami na Grɛsi mpe na Roma, kasi bokeseni ya Sezarea Filipi ezalaki komonisama lokola nzoto ya bonganga-nzambe ya bapakano ya mosika mpe ya mabombami; mpe Sezarea ya pembeni ya mbu ezalaki esika ya mombongo mpe ya bokambi, oyo ezalaki kosangisa bonkoko ya Grɛsi na boyangeli ya Roma. Sezarea Filipi ezalaki elembo ya bokonzi ya lingomba, mpe Sezarea Maritima ya bokonzi ya Leta.</w:t>
      </w:r>
    </w:p>
    <w:p>
      <w:pPr>
        <w:pStyle w:val="ArticleBody"/>
        <w:jc w:val="left"/>
      </w:pPr>
      <w:r>
        <w:rPr>
          <w:rFonts w:ascii="Times New Roman" w:hAnsi="Times New Roman" w:eastAsia="Times New Roman" w:cs="Times New Roman"/>
        </w:rPr>
        <w:t>Dans la ligne de Césarée à Césarée, Joppé constitue l’étape intermédiaire de trois étapes. Les trois étapes sont représentées par les troisième, sixième et neuvième heures. Césarée au bord de la mer, à la neuvième heure, est la loi du dimanche lorsque l’Évangile va aux Gentils. Trois heures auparavant, à la sixième heure, Pierre est à Joppé, la ville brillante et resplendissante. Trois heures avant cela, Pierre est à la fête des Trompettes, à la troisième heure. Césarée à Césarée est la période du Cri de Minuit. Pierre représente ceux qui proclament le Cri de Minuit depuis le commencement jusqu’à la fin, car Jésus aligne toujours le commencement sur la fin. Le Cri de Minuit commence lorsque l’ânesse est détachée au repère de la fête des Trompettes, où Pierre proclame le message de Joël.</w:t>
      </w:r>
    </w:p>
    <w:p>
      <w:pPr>
        <w:pStyle w:val="ArticleBody"/>
        <w:jc w:val="left"/>
      </w:pP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नरसिंगों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वेमार्क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आरोहण</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वेमार्क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उठाया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परिवर्तित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शिला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शिला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निर्मित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 xml:space="preserve"> </w:t>
      </w:r>
      <w:r>
        <w:rPr>
          <w:rFonts w:ascii="Nirmala UI" w:hAnsi="Nirmala UI" w:eastAsia="Nirmala UI" w:cs="Nirmala UI"/>
        </w:rPr>
        <w:t>फिलिप्पी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योप्पा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आमने</w:t>
      </w:r>
      <w:r>
        <w:rPr>
          <w:rFonts w:ascii="Times New Roman" w:hAnsi="Times New Roman" w:eastAsia="Times New Roman" w:cs="Times New Roman"/>
        </w:rPr>
        <w:t>-</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आरोहण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आरोहण</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परदे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फट</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घंटे।</w:t>
      </w:r>
    </w:p>
    <w:p>
      <w:pPr>
        <w:pStyle w:val="ArticleScripture"/>
        <w:jc w:val="left"/>
      </w:pPr>
      <w:r>
        <w:rPr>
          <w:rFonts w:ascii="Times New Roman" w:hAnsi="Times New Roman" w:eastAsia="Times New Roman" w:cs="Times New Roman"/>
        </w:rPr>
        <w:t>Maintenant, depuis la sixième heure, il y eut des ténèbres sur tout le pays jusqu’à la neuvième heure. Et vers la neuvième heure, Jésus s’écria d’une voix forte, disant : Eli, Eli, lama sabachthani ? c’est-à-dire : Mon Dieu, mon Dieu, pourquoi m’as-tu abandonné ? Matthieu 27:45, 46.</w:t>
      </w:r>
    </w:p>
    <w:p>
      <w:pPr>
        <w:pStyle w:val="ArticleBody"/>
        <w:jc w:val="left"/>
      </w:pPr>
      <w:r>
        <w:rPr>
          <w:rFonts w:ascii="Times New Roman" w:hAnsi="Times New Roman" w:eastAsia="Times New Roman" w:cs="Times New Roman"/>
        </w:rPr>
        <w:t>Ġo Ġoppa, fis-sitt siegħa, Pietru jinsab f’punt profetiku ta’ qasma, bejn il-mitlufin u s-salvati, bejn id-dawl u d-dlam, u bejn il-bidu u t-tmiem tal-Għajta ta’ Nofsillejl. Dik il-qasma qed tenfasizza t-tranżizzjoni tal-moviment Laodiċejan tal-mija u erbgħa u erbgħin elf lejn il-moviment Filadelfjan tal-mija u erbgħa u erbgħin elf. Hija qed timmarka ċ-ċaħda sħiħa tal-knisja Laodiċejana tal-Avventisti tas-Seba’ Jum. Dak il-bieb magħluq tal-ġudizzju rrappreżentat mill-Jum tal-Patrijazzjoni jiġi ħamest ijiem qabel il-liġi tal-Ħadd Pentekostali. Dak il-ġudizzju jiġi qabel minnu t-tlugħ, u qabel dan, il-messaġġ tat-tromba. Dawk it-tliet passi jirrappreżentaw il-waymark fejn is-siġill ta’ Alla jiġi mnaqqax, u l-messaġġ tal-Għajta ta’ Nofsillejl jiġi mxandar mill-knisja trijonfanti lil dawk irrappreżentati minn Kornelju.</w:t>
      </w:r>
    </w:p>
    <w:p>
      <w:pPr>
        <w:pStyle w:val="ArticleBody"/>
        <w:jc w:val="left"/>
      </w:pPr>
      <w:r>
        <w:rPr>
          <w:rFonts w:ascii="Times New Roman" w:hAnsi="Times New Roman" w:eastAsia="Times New Roman" w:cs="Times New Roman"/>
        </w:rPr>
        <w:t>Peter azali kosakola nsango na Pantekote, mpe Pantekote ezali komonisa suka ya nsango ya Eleli ya Na Bongo ya Butu. Yango wana, na bosenga ya esakweli, esengeli mpe ete Peter asakola nsango yango na ebandeli ya eleko ya Eleli ya Na Bongo ya Butu. Ebandeli ntango nyonso emonisaka suka. Nsango ya Eleli ya Na Bongo ya Butu ya Peter epesami nguya ntango mpunda ya mobali ya Islam efungolami, mpe etei Etazini, ndenge ekosala lisusu na mobeko ya Lomingo. Peter kosakola nsango na ngonga ya misato mpe ya libwa ya Pantekote ezali koyebisa ebandeli mpe suka ya Eleli ya Na Bongo ya Butu.</w:t>
      </w:r>
    </w:p>
    <w:p>
      <w:pPr>
        <w:pStyle w:val="ArticleBody"/>
        <w:jc w:val="left"/>
      </w:pPr>
      <w:r>
        <w:rPr>
          <w:rFonts w:ascii="Times New Roman" w:hAnsi="Times New Roman" w:eastAsia="Times New Roman" w:cs="Times New Roman"/>
        </w:rPr>
        <w:t>A cikin layin da muke la’akari da shi, kwanaki arba’in da suka ƙare da hawan Almasihu zuwa sama su ma suna fara kwanaki goma a ɗakin sama. Kwanaki biyar cikin kwanaki goman, Ranar Kafara tana nuna cewa an shafe zunuban Isra’ila, kuma ikilisiya ta shirya kanta. A sa’a ta uku ne Bitrus yake a ɗakin sama a ranar Fentikos. A sa’a ta tara ta dokar Lahadi, saƙon yana sauyawa daga tsakar dare zuwa babban ihu.</w:t>
      </w:r>
    </w:p>
    <w:p>
      <w:pPr>
        <w:pStyle w:val="ArticleBody"/>
        <w:jc w:val="left"/>
      </w:pP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घंटे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गदहा</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 xml:space="preserve"> </w:t>
      </w:r>
      <w:r>
        <w:rPr>
          <w:rFonts w:ascii="Nirmala UI" w:hAnsi="Nirmala UI" w:eastAsia="Nirmala UI" w:cs="Nirmala UI"/>
        </w:rPr>
        <w:t>फिलिप्पी</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 xml:space="preserve"> </w:t>
      </w:r>
      <w:r>
        <w:rPr>
          <w:rFonts w:ascii="Nirmala UI" w:hAnsi="Nirmala UI" w:eastAsia="Nirmala UI" w:cs="Nirmala UI"/>
        </w:rPr>
        <w:t>फिलिप्पी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निरूपण</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तेरहवीं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पंद्रहवीं</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आघात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गदहा</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आघात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समांतर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Nous poursuivrons ces choses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Joël et l’Église adventiste du septième jour de Laodicée - Numéro quarante-cinq</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