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Laodicée - Numéro deux</w:t>
      </w:r>
    </w:p>
    <w:p>
      <w:pPr>
        <w:pStyle w:val="ArticleSubtitle"/>
        <w:jc w:val="left"/>
      </w:pPr>
      <w:r>
        <w:rPr>
          <w:rFonts w:ascii="Arial" w:hAnsi="Arial" w:eastAsia="Arial" w:cs="Arial"/>
        </w:rPr>
        <w:t>Tanduk Protestan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Kunzwa ko, kugira ngo ubutumwa burimo guhishurwa mu gitabo cy’Ibyahishuwe busobanuke, hamenyekane imizi, uko Ivugurura ry’Abaporotesitanti ryakuze, n’akamaro karyo. Imirongo itatu y’ingenzi yo mu mateka y’iryo Vugurura ivuga kuri Bibiliya, no ku buryo bukwiriye bugomba gukoreshwa mu kwiga Bibiliya, kandi nanone ko intumwa zatoranyijwe muri ayo mateka ari ibimenyetso by’inzira by’ayo mateka. Nk’uko bisanzwe, Satani yagerageje guhisha Bibiliya yitiriwe King James akoresheje impimbano nyinshi; kandi yashatse guhisha uburyo nyakuri bwo gusobanukirwa Bibiliya akoresheje impimbano nyinshi; kandi nanone yashatse guhisha intumwa nyakuri (ibimenyetso by’inzira) zazamuwe uko urugendo rw’ayo mateka rwagendaga rukomeza.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សាតាំងមិនបាននៅស្ងៀមទេ។</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វាបានព្យាយាមនូវអ្វីដែលវាបានព្យាយាមក្នុងគ្រប់ចលនាកំណែទម្រង់ផ្សេងទៀត</w:t>
      </w:r>
      <w:r>
        <w:rPr>
          <w:rFonts w:ascii="Times New Roman" w:hAnsi="Times New Roman" w:eastAsia="Times New Roman" w:cs="Times New Roman"/>
        </w:rPr>
        <w:t xml:space="preserve"> </w:t>
      </w:r>
      <w:r>
        <w:rPr>
          <w:rFonts w:ascii="Leelawadee UI" w:hAnsi="Leelawadee UI" w:eastAsia="Leelawadee UI" w:cs="Leelawadee UI"/>
        </w:rPr>
        <w:t>គឺបោកបញ្ឆោត</w:t>
      </w:r>
      <w:r>
        <w:rPr>
          <w:rFonts w:ascii="Times New Roman" w:hAnsi="Times New Roman" w:eastAsia="Times New Roman" w:cs="Times New Roman"/>
        </w:rPr>
        <w:t xml:space="preserve"> </w:t>
      </w:r>
      <w:r>
        <w:rPr>
          <w:rFonts w:ascii="Leelawadee UI" w:hAnsi="Leelawadee UI" w:eastAsia="Leelawadee UI" w:cs="Leelawadee UI"/>
        </w:rPr>
        <w:t>និងបំផ្លាញប្រជាជន</w:t>
      </w:r>
      <w:r>
        <w:rPr>
          <w:rFonts w:ascii="Times New Roman" w:hAnsi="Times New Roman" w:eastAsia="Times New Roman" w:cs="Times New Roman"/>
        </w:rPr>
        <w:t xml:space="preserve"> </w:t>
      </w:r>
      <w:r>
        <w:rPr>
          <w:rFonts w:ascii="Leelawadee UI" w:hAnsi="Leelawadee UI" w:eastAsia="Leelawadee UI" w:cs="Leelawadee UI"/>
        </w:rPr>
        <w:t>ដោយយករបស់ក្លែងក្លាយមកបោកឲ្យពួកគេទទួលជំនួសកិច្ចការពិត។</w:t>
      </w:r>
      <w:r>
        <w:rPr>
          <w:rFonts w:ascii="Times New Roman" w:hAnsi="Times New Roman" w:eastAsia="Times New Roman" w:cs="Times New Roman"/>
        </w:rPr>
        <w:t xml:space="preserve"> </w:t>
      </w:r>
      <w:r>
        <w:rPr>
          <w:rFonts w:ascii="Leelawadee UI" w:hAnsi="Leelawadee UI" w:eastAsia="Leelawadee UI" w:cs="Leelawadee UI"/>
        </w:rPr>
        <w:t>ដូចដែលមានព្រះគ្រីស្ទក្លែងក្លាយនៅក្នុងសតវត្សទីមួយនៃព្រះវិហារគ្រីស្ទាន</w:t>
      </w:r>
      <w:r>
        <w:rPr>
          <w:rFonts w:ascii="Times New Roman" w:hAnsi="Times New Roman" w:eastAsia="Times New Roman" w:cs="Times New Roman"/>
        </w:rPr>
        <w:t xml:space="preserve"> </w:t>
      </w:r>
      <w:r>
        <w:rPr>
          <w:rFonts w:ascii="Leelawadee UI" w:hAnsi="Leelawadee UI" w:eastAsia="Leelawadee UI" w:cs="Leelawadee UI"/>
        </w:rPr>
        <w:t>ដូច្នេះក៏មានហោរាក្លែងក្លាយកើតឡើងនៅក្នុងសតវត្សទីដប់ប្រាំមួយផងដែរ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186.</w:t>
      </w:r>
    </w:p>
    <w:p>
      <w:pPr>
        <w:pStyle w:val="ArticleBody"/>
        <w:jc w:val="left"/>
      </w:pPr>
      <w:r>
        <w:rPr>
          <w:rFonts w:ascii="Times New Roman" w:hAnsi="Times New Roman" w:eastAsia="Times New Roman" w:cs="Times New Roman"/>
        </w:rPr>
        <w:t>Trong lịch sử Phong trào Miller từ năm 1840 đến năm 1844, chiếc áo choàng của Đạo Tin Lành (vốn là một trong hai sừng của con thú từ đất, tức là Hoa Kỳ) đã được chuyển sang cho Phong trào Cơ Đốc Phục Lâm Miller, và Phong trào này trở thành sừng Tin Lành. Đồng thời, các hội thánh trước đó từng xưng mình là Tin Lành thì trở thành Tin Lành bội đạo, hay như những người Miller đã gọi họ, “các con gái của La Mã.” Khi những người Tin Lành khước từ sứ điệp của thiên sứ thứ nhất vào năm 1843, họ đã sa ngã, và những người Miller tiếp tục mang lấy chiếc áo choàng của Đạo Tin Lành. Lịch sử Phong trào Miller là đỉnh điểm của công việc Đức Chúa Trời trong việc đưa “hội thánh trong đồng vắng” của Ngài đến chỗ hiểu biết trọn vẹn về Lời Đức Chúa Trời.</w:t>
      </w:r>
    </w:p>
    <w:p>
      <w:pPr>
        <w:pStyle w:val="ArticleBody"/>
        <w:jc w:val="left"/>
      </w:pPr>
      <w:r>
        <w:rPr>
          <w:rFonts w:ascii="Times New Roman" w:hAnsi="Times New Roman" w:eastAsia="Times New Roman" w:cs="Times New Roman"/>
        </w:rPr>
        <w:t>Η έναρξη της ανακριτικής κρίσεως επέφερε τη δοκιμασία του νόμου του Θεού, και ιδιαίτερα του Σαββάτου. Για να κηρυχθεί το μήνυμα του τρίτου αγγέλου απαιτείτο μια εκκλησία που να υπερασπίζεται τον νόμο του Θεού, ο οποίος είχε θαφτεί κάτω από τις παπικές παραδόσεις και συνήθειες κατά τους Σκοτεινούς Αιώνες. Ο Χριστός έφερε τους Προτεστάντες στην ιστορία του 1840 έως 1844 και παρουσίασε τη δοκιμασία του Ηλία, του οποίου προτυπώθηκε ο William Miller, και όταν οι Προτεστάντες απέρριψαν το μήνυμα του Miller, επέστρεψαν στη Ρώμη. Η δοκιμασία του μηνύματος του πρώτου αγγέλου, όπως παραδόθηκε από τον Miller, προτυπώθηκε από τον Ηλία στο Όρος Κάρμηλος.</w:t>
      </w:r>
    </w:p>
    <w:p>
      <w:pPr>
        <w:pStyle w:val="ArticleScripture"/>
        <w:jc w:val="left"/>
      </w:pPr>
      <w:r>
        <w:rPr>
          <w:rFonts w:ascii="Times New Roman" w:hAnsi="Times New Roman" w:eastAsia="Times New Roman" w:cs="Times New Roman"/>
        </w:rPr>
        <w:t>И пришел Илия ко всему народу и сказал: долго ли вам хромать на оба колена? если Господь есть Бог, то последуйте Ему; а если Ваал, то ему последуйте. И не отвечал народ ему ни слова. 3 Царств 18:21.</w:t>
      </w:r>
    </w:p>
    <w:p>
      <w:pPr>
        <w:pStyle w:val="ArticleBody"/>
        <w:jc w:val="left"/>
      </w:pPr>
      <w:r>
        <w:rPr>
          <w:rFonts w:ascii="Times New Roman" w:hAnsi="Times New Roman" w:eastAsia="Times New Roman" w:cs="Times New Roman"/>
        </w:rPr>
        <w:t>Sa 1840, nang maharap sa mensahe ni Elias, na kinakatawan ni Miller at ng unang anghel, pinili ng mga Protestante si Baal!</w:t>
      </w:r>
    </w:p>
    <w:p>
      <w:pPr>
        <w:pStyle w:val="ArticleBody"/>
        <w:jc w:val="left"/>
      </w:pPr>
      <w:r>
        <w:rPr>
          <w:rFonts w:ascii="Nirmala UI" w:hAnsi="Nirmala UI" w:eastAsia="Nirmala UI" w:cs="Nirmala UI"/>
        </w:rPr>
        <w:t>ପ୍ରୋଟେଷ୍ଟାଣ୍ଟ</w:t>
      </w:r>
      <w:r>
        <w:rPr>
          <w:rFonts w:ascii="Times New Roman" w:hAnsi="Times New Roman" w:eastAsia="Times New Roman" w:cs="Times New Roman"/>
        </w:rPr>
        <w:t xml:space="preserve"> </w:t>
      </w:r>
      <w:r>
        <w:rPr>
          <w:rFonts w:ascii="Nirmala UI" w:hAnsi="Nirmala UI" w:eastAsia="Nirmala UI" w:cs="Nirmala UI"/>
        </w:rPr>
        <w:t>ସୁଧାର</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w:t>
      </w:r>
      <w:r>
        <w:rPr>
          <w:rFonts w:ascii="Nirmala UI" w:hAnsi="Nirmala UI" w:eastAsia="Nirmala UI" w:cs="Nirmala UI"/>
        </w:rPr>
        <w:t>ବାଇବେଲର</w:t>
      </w:r>
      <w:r>
        <w:rPr>
          <w:rFonts w:ascii="Times New Roman" w:hAnsi="Times New Roman" w:eastAsia="Times New Roman" w:cs="Times New Roman"/>
        </w:rPr>
        <w:t xml:space="preserve"> </w:t>
      </w:r>
      <w:r>
        <w:rPr>
          <w:rFonts w:ascii="Nirmala UI" w:hAnsi="Nirmala UI" w:eastAsia="Nirmala UI" w:cs="Nirmala UI"/>
        </w:rPr>
        <w:t>ସତ୍ୟଗୁଡ଼ିକର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ମୋହର</w:t>
      </w:r>
      <w:r>
        <w:rPr>
          <w:rFonts w:ascii="Times New Roman" w:hAnsi="Times New Roman" w:eastAsia="Times New Roman" w:cs="Times New Roman"/>
        </w:rPr>
        <w:t>-</w:t>
      </w:r>
      <w:r>
        <w:rPr>
          <w:rFonts w:ascii="Nirmala UI" w:hAnsi="Nirmala UI" w:eastAsia="Nirmala UI" w:cs="Nirmala UI"/>
        </w:rPr>
        <w:t>ଖୋଲାଯାଇବା</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ପ୍ରଭାତୀୟ</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ଥ୍ୟାତିରା</w:t>
      </w:r>
      <w:r>
        <w:rPr>
          <w:rFonts w:ascii="Times New Roman" w:hAnsi="Times New Roman" w:eastAsia="Times New Roman" w:cs="Times New Roman"/>
        </w:rPr>
        <w:t xml:space="preserve"> </w:t>
      </w:r>
      <w:r>
        <w:rPr>
          <w:rFonts w:ascii="Nirmala UI" w:hAnsi="Nirmala UI" w:eastAsia="Nirmala UI" w:cs="Nirmala UI"/>
        </w:rPr>
        <w:t>ସଭାର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ଦିଆଯିବ</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ପ୍ରତିଜ୍ଞା</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ବାଇବେଲ</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ପ୍ରତ୍ୟକ୍ଷ</w:t>
      </w:r>
      <w:r>
        <w:rPr>
          <w:rFonts w:ascii="Times New Roman" w:hAnsi="Times New Roman" w:eastAsia="Times New Roman" w:cs="Times New Roman"/>
        </w:rPr>
        <w:t xml:space="preserve"> </w:t>
      </w:r>
      <w:r>
        <w:rPr>
          <w:rFonts w:ascii="Nirmala UI" w:hAnsi="Nirmala UI" w:eastAsia="Nirmala UI" w:cs="Nirmala UI"/>
        </w:rPr>
        <w:t>ଆକ୍ରମଣ</w:t>
      </w:r>
      <w:r>
        <w:rPr>
          <w:rFonts w:ascii="Times New Roman" w:hAnsi="Times New Roman" w:eastAsia="Times New Roman" w:cs="Times New Roman"/>
        </w:rPr>
        <w:t xml:space="preserve"> </w:t>
      </w:r>
      <w:r>
        <w:rPr>
          <w:rFonts w:ascii="Nirmala UI" w:hAnsi="Nirmala UI" w:eastAsia="Nirmala UI" w:cs="Nirmala UI"/>
        </w:rPr>
        <w:t>ଏହାର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ଶତାବ୍ଦୀ</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The Great Controversy </w:t>
      </w:r>
      <w:r>
        <w:rPr>
          <w:rFonts w:ascii="Nirmala UI" w:hAnsi="Nirmala UI" w:eastAsia="Nirmala UI" w:cs="Nirmala UI"/>
        </w:rPr>
        <w:t>ଗ୍ରନ୍ଥରେ</w:t>
      </w:r>
      <w:r>
        <w:rPr>
          <w:rFonts w:ascii="Times New Roman" w:hAnsi="Times New Roman" w:eastAsia="Times New Roman" w:cs="Times New Roman"/>
        </w:rPr>
        <w:t xml:space="preserve">, </w:t>
      </w:r>
      <w:r>
        <w:rPr>
          <w:rFonts w:ascii="Nirmala UI" w:hAnsi="Nirmala UI" w:eastAsia="Nirmala UI" w:cs="Nirmala UI"/>
        </w:rPr>
        <w:t>ବିଶେଷକରି</w:t>
      </w:r>
      <w:r>
        <w:rPr>
          <w:rFonts w:ascii="Times New Roman" w:hAnsi="Times New Roman" w:eastAsia="Times New Roman" w:cs="Times New Roman"/>
        </w:rPr>
        <w:t xml:space="preserve"> </w:t>
      </w:r>
      <w:r>
        <w:rPr>
          <w:rFonts w:ascii="Nirmala UI" w:hAnsi="Nirmala UI" w:eastAsia="Nirmala UI" w:cs="Nirmala UI"/>
        </w:rPr>
        <w:t>ୱାଲ୍ଡେନ୍ସିୟମାନଙ୍କର</w:t>
      </w:r>
      <w:r>
        <w:rPr>
          <w:rFonts w:ascii="Times New Roman" w:hAnsi="Times New Roman" w:eastAsia="Times New Roman" w:cs="Times New Roman"/>
        </w:rPr>
        <w:t xml:space="preserve"> </w:t>
      </w:r>
      <w:r>
        <w:rPr>
          <w:rFonts w:ascii="Nirmala UI" w:hAnsi="Nirmala UI" w:eastAsia="Nirmala UI" w:cs="Nirmala UI"/>
        </w:rPr>
        <w:t>ଇତିହାସ</w:t>
      </w:r>
      <w:r>
        <w:rPr>
          <w:rFonts w:ascii="Times New Roman" w:hAnsi="Times New Roman" w:eastAsia="Times New Roman" w:cs="Times New Roman"/>
        </w:rPr>
        <w:t xml:space="preserve"> </w:t>
      </w:r>
      <w:r>
        <w:rPr>
          <w:rFonts w:ascii="Nirmala UI" w:hAnsi="Nirmala UI" w:eastAsia="Nirmala UI" w:cs="Nirmala UI"/>
        </w:rPr>
        <w:t>ମାଧ୍ୟମରେ</w:t>
      </w:r>
      <w:r>
        <w:rPr>
          <w:rFonts w:ascii="Times New Roman" w:hAnsi="Times New Roman" w:eastAsia="Times New Roman" w:cs="Times New Roman"/>
        </w:rPr>
        <w:t xml:space="preserve">, </w:t>
      </w:r>
      <w:r>
        <w:rPr>
          <w:rFonts w:ascii="Nirmala UI" w:hAnsi="Nirmala UI" w:eastAsia="Nirmala UI" w:cs="Nirmala UI"/>
        </w:rPr>
        <w:t>ସ୍ପଷ୍ଟ</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ପ୍ରଦର୍ଶିତ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1930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ବେଞ୍ଜାମିନ୍</w:t>
      </w:r>
      <w:r>
        <w:rPr>
          <w:rFonts w:ascii="Times New Roman" w:hAnsi="Times New Roman" w:eastAsia="Times New Roman" w:cs="Times New Roman"/>
        </w:rPr>
        <w:t xml:space="preserve"> </w:t>
      </w:r>
      <w:r>
        <w:rPr>
          <w:rFonts w:ascii="Nirmala UI" w:hAnsi="Nirmala UI" w:eastAsia="Nirmala UI" w:cs="Nirmala UI"/>
        </w:rPr>
        <w:t>ୱିଲ୍କର୍ସନ୍</w:t>
      </w:r>
      <w:r>
        <w:rPr>
          <w:rFonts w:ascii="Times New Roman" w:hAnsi="Times New Roman" w:eastAsia="Times New Roman" w:cs="Times New Roman"/>
        </w:rPr>
        <w:t xml:space="preserve"> Our Authorized Bible Vindicated </w:t>
      </w:r>
      <w:r>
        <w:rPr>
          <w:rFonts w:ascii="Nirmala UI" w:hAnsi="Nirmala UI" w:eastAsia="Nirmala UI" w:cs="Nirmala UI"/>
        </w:rPr>
        <w:t>ନାମକ</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ପାଠ୍ୟଗୁଡ଼ିକ</w:t>
      </w:r>
      <w:r>
        <w:rPr>
          <w:rFonts w:ascii="Times New Roman" w:hAnsi="Times New Roman" w:eastAsia="Times New Roman" w:cs="Times New Roman"/>
        </w:rPr>
        <w:t xml:space="preserve"> </w:t>
      </w:r>
      <w:r>
        <w:rPr>
          <w:rFonts w:ascii="Nirmala UI" w:hAnsi="Nirmala UI" w:eastAsia="Nirmala UI" w:cs="Nirmala UI"/>
        </w:rPr>
        <w:t>ବିରୁଦ୍ଧରେ</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ସଂଘର୍ଷକୁ</w:t>
      </w:r>
      <w:r>
        <w:rPr>
          <w:rFonts w:ascii="Times New Roman" w:hAnsi="Times New Roman" w:eastAsia="Times New Roman" w:cs="Times New Roman"/>
        </w:rPr>
        <w:t xml:space="preserve"> </w:t>
      </w:r>
      <w:r>
        <w:rPr>
          <w:rFonts w:ascii="Nirmala UI" w:hAnsi="Nirmala UI" w:eastAsia="Nirmala UI" w:cs="Nirmala UI"/>
        </w:rPr>
        <w:t>ଲିପିବଦ୍ଧ</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ପାଠ୍ୟଗୁଡ଼ିକ</w:t>
      </w:r>
      <w:r>
        <w:rPr>
          <w:rFonts w:ascii="Times New Roman" w:hAnsi="Times New Roman" w:eastAsia="Times New Roman" w:cs="Times New Roman"/>
        </w:rPr>
        <w:t xml:space="preserve"> </w:t>
      </w:r>
      <w:r>
        <w:rPr>
          <w:rFonts w:ascii="Nirmala UI" w:hAnsi="Nirmala UI" w:eastAsia="Nirmala UI" w:cs="Nirmala UI"/>
        </w:rPr>
        <w:t>ଅବଶେଷରେ</w:t>
      </w:r>
      <w:r>
        <w:rPr>
          <w:rFonts w:ascii="Times New Roman" w:hAnsi="Times New Roman" w:eastAsia="Times New Roman" w:cs="Times New Roman"/>
        </w:rPr>
        <w:t xml:space="preserve"> King James Bible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ଅନୁବାଦ</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ବ୍ୟବହୃତ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ବିଭିନ୍ନ</w:t>
      </w:r>
      <w:r>
        <w:rPr>
          <w:rFonts w:ascii="Times New Roman" w:hAnsi="Times New Roman" w:eastAsia="Times New Roman" w:cs="Times New Roman"/>
        </w:rPr>
        <w:t xml:space="preserve"> </w:t>
      </w:r>
      <w:r>
        <w:rPr>
          <w:rFonts w:ascii="Nirmala UI" w:hAnsi="Nirmala UI" w:eastAsia="Nirmala UI" w:cs="Nirmala UI"/>
        </w:rPr>
        <w:t>ଶୈତାନୀୟ</w:t>
      </w:r>
      <w:r>
        <w:rPr>
          <w:rFonts w:ascii="Times New Roman" w:hAnsi="Times New Roman" w:eastAsia="Times New Roman" w:cs="Times New Roman"/>
        </w:rPr>
        <w:t xml:space="preserve"> </w:t>
      </w:r>
      <w:r>
        <w:rPr>
          <w:rFonts w:ascii="Nirmala UI" w:hAnsi="Nirmala UI" w:eastAsia="Nirmala UI" w:cs="Nirmala UI"/>
        </w:rPr>
        <w:t>କୃତ୍ରିମ</w:t>
      </w:r>
      <w:r>
        <w:rPr>
          <w:rFonts w:ascii="Times New Roman" w:hAnsi="Times New Roman" w:eastAsia="Times New Roman" w:cs="Times New Roman"/>
        </w:rPr>
        <w:t xml:space="preserve"> </w:t>
      </w:r>
      <w:r>
        <w:rPr>
          <w:rFonts w:ascii="Nirmala UI" w:hAnsi="Nirmala UI" w:eastAsia="Nirmala UI" w:cs="Nirmala UI"/>
        </w:rPr>
        <w:t>ପାଠ୍ୟଗୁଡ଼ିକୁ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ଯେଗୁଡ଼ିକୁ</w:t>
      </w:r>
      <w:r>
        <w:rPr>
          <w:rFonts w:ascii="Times New Roman" w:hAnsi="Times New Roman" w:eastAsia="Times New Roman" w:cs="Times New Roman"/>
        </w:rPr>
        <w:t xml:space="preserve"> </w:t>
      </w:r>
      <w:r>
        <w:rPr>
          <w:rFonts w:ascii="Nirmala UI" w:hAnsi="Nirmala UI" w:eastAsia="Nirmala UI" w:cs="Nirmala UI"/>
        </w:rPr>
        <w:t>କାଥୋଲିକମାନେ</w:t>
      </w:r>
      <w:r>
        <w:rPr>
          <w:rFonts w:ascii="Times New Roman" w:hAnsi="Times New Roman" w:eastAsia="Times New Roman" w:cs="Times New Roman"/>
        </w:rPr>
        <w:t xml:space="preserve">, </w:t>
      </w:r>
      <w:r>
        <w:rPr>
          <w:rFonts w:ascii="Nirmala UI" w:hAnsi="Nirmala UI" w:eastAsia="Nirmala UI" w:cs="Nirmala UI"/>
        </w:rPr>
        <w:t>ପତିତ</w:t>
      </w:r>
      <w:r>
        <w:rPr>
          <w:rFonts w:ascii="Times New Roman" w:hAnsi="Times New Roman" w:eastAsia="Times New Roman" w:cs="Times New Roman"/>
        </w:rPr>
        <w:t xml:space="preserve"> </w:t>
      </w:r>
      <w:r>
        <w:rPr>
          <w:rFonts w:ascii="Nirmala UI" w:hAnsi="Nirmala UI" w:eastAsia="Nirmala UI" w:cs="Nirmala UI"/>
        </w:rPr>
        <w:t>ପ୍ରୋଟେଷ୍ଟାଣ୍ଟବାଦ</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ଲାଓଡିସୀୟ</w:t>
      </w:r>
      <w:r>
        <w:rPr>
          <w:rFonts w:ascii="Times New Roman" w:hAnsi="Times New Roman" w:eastAsia="Times New Roman" w:cs="Times New Roman"/>
        </w:rPr>
        <w:t xml:space="preserve"> </w:t>
      </w:r>
      <w:r>
        <w:rPr>
          <w:rFonts w:ascii="Nirmala UI" w:hAnsi="Nirmala UI" w:eastAsia="Nirmala UI" w:cs="Nirmala UI"/>
        </w:rPr>
        <w:t>ଆଡଭେଣ୍ଟିଷ୍ଟମାନେ</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 xml:space="preserve"> </w:t>
      </w:r>
      <w:r>
        <w:rPr>
          <w:rFonts w:ascii="Nirmala UI" w:hAnsi="Nirmala UI" w:eastAsia="Nirmala UI" w:cs="Nirmala UI"/>
        </w:rPr>
        <w:t>କରିଆସିଛନ୍ତି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ଏପର୍ଯ୍ୟନ୍ତ</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ସଂଘର୍ଷ</w:t>
      </w:r>
      <w:r>
        <w:rPr>
          <w:rFonts w:ascii="Times New Roman" w:hAnsi="Times New Roman" w:eastAsia="Times New Roman" w:cs="Times New Roman"/>
        </w:rPr>
        <w:t xml:space="preserve"> </w:t>
      </w:r>
      <w:r>
        <w:rPr>
          <w:rFonts w:ascii="Nirmala UI" w:hAnsi="Nirmala UI" w:eastAsia="Nirmala UI" w:cs="Nirmala UI"/>
        </w:rPr>
        <w:t>ୱାଲ୍ଡେନ୍ସିୟମାନଙ୍କ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ବହୁତ</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ଲୋକମାନଙ୍କର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1611 </w:t>
      </w:r>
      <w:r>
        <w:rPr>
          <w:rFonts w:ascii="Nirmala UI" w:hAnsi="Nirmala UI" w:eastAsia="Nirmala UI" w:cs="Nirmala UI"/>
        </w:rPr>
        <w:t>ମସିହାର</w:t>
      </w:r>
      <w:r>
        <w:rPr>
          <w:rFonts w:ascii="Times New Roman" w:hAnsi="Times New Roman" w:eastAsia="Times New Roman" w:cs="Times New Roman"/>
        </w:rPr>
        <w:t xml:space="preserve"> King James Bible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ଅନୁବାଦ</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ପାଣ୍ଡୁଲିପିଗୁଡ଼ିକର</w:t>
      </w:r>
      <w:r>
        <w:rPr>
          <w:rFonts w:ascii="Times New Roman" w:hAnsi="Times New Roman" w:eastAsia="Times New Roman" w:cs="Times New Roman"/>
        </w:rPr>
        <w:t xml:space="preserve"> </w:t>
      </w:r>
      <w:r>
        <w:rPr>
          <w:rFonts w:ascii="Nirmala UI" w:hAnsi="Nirmala UI" w:eastAsia="Nirmala UI" w:cs="Nirmala UI"/>
        </w:rPr>
        <w:t>ଗୁରୁତ୍ୱ</w:t>
      </w:r>
      <w:r>
        <w:rPr>
          <w:rFonts w:ascii="Times New Roman" w:hAnsi="Times New Roman" w:eastAsia="Times New Roman" w:cs="Times New Roman"/>
        </w:rPr>
        <w:t xml:space="preserve"> </w:t>
      </w:r>
      <w:r>
        <w:rPr>
          <w:rFonts w:ascii="Nirmala UI" w:hAnsi="Nirmala UI" w:eastAsia="Nirmala UI" w:cs="Nirmala UI"/>
        </w:rPr>
        <w:t>ସନ୍ଦର୍ଭରେ</w:t>
      </w:r>
      <w:r>
        <w:rPr>
          <w:rFonts w:ascii="Times New Roman" w:hAnsi="Times New Roman" w:eastAsia="Times New Roman" w:cs="Times New Roman"/>
        </w:rPr>
        <w:t xml:space="preserve"> </w:t>
      </w:r>
      <w:r>
        <w:rPr>
          <w:rFonts w:ascii="Nirmala UI" w:hAnsi="Nirmala UI" w:eastAsia="Nirmala UI" w:cs="Nirmala UI"/>
        </w:rPr>
        <w:t>ସାକ୍ଷ୍ୟ</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ଦେଇଥିଲେ।</w:t>
      </w:r>
    </w:p>
    <w:p>
      <w:pPr>
        <w:pStyle w:val="ArticleBody"/>
        <w:jc w:val="left"/>
      </w:pPr>
      <w:r>
        <w:rPr>
          <w:rFonts w:ascii="Times New Roman" w:hAnsi="Times New Roman" w:eastAsia="Times New Roman" w:cs="Times New Roman"/>
        </w:rPr>
        <w:t>A produção da Bíblia King James em 1611 passou por um processo de tradução muito específico. O processo de tradução e publicação da Bíblia foi realizado por meio de sete etapas de produção. Também levou sete anos para ser concluído, e sete anos bíblicos correspondem a dois mil quinhentos e vinte dias. Esse é, naturalmente, o mesmo número de dias proféticos em que Jesus confirmou a aliança com muitos, em cumprimento de Daniel nove. No centro dessa semana sagrada, Cristo foi crucificado; e, evidentemente, Cristo crucificado é o centro da Bíblia. Essas sete etapas para produzir a pura Palavra de Deus foram as seguintes.</w:t>
      </w:r>
    </w:p>
    <w:p>
      <w:pPr>
        <w:pStyle w:val="ArticleListItem"/>
        <w:ind w:left="576" w:hanging="259"/>
        <w:jc w:val="left"/>
      </w:pPr>
      <w:r>
        <w:rPr>
          <w:rFonts w:ascii="Times New Roman" w:hAnsi="Times New Roman" w:eastAsia="Times New Roman" w:cs="Times New Roman"/>
        </w:rPr>
        <w:t>• Premye: Tradiksyon inisyal pa endividi yo: Anviwon 50 tradiktè te divize an sis komite, chak te responsab pou diferan seksyon nan Bib la. Endividi sa yo te travay sou tradui soti nan lang orijinal yo (ebre, arameyen, ak grèk) pou mete yo an anglè.</w:t>
      </w:r>
    </w:p>
    <w:p>
      <w:pPr>
        <w:pStyle w:val="ArticleListItem"/>
        <w:ind w:left="576" w:hanging="259"/>
        <w:jc w:val="left"/>
      </w:pPr>
      <w:r>
        <w:rPr>
          <w:rFonts w:ascii="Times New Roman" w:hAnsi="Times New Roman" w:eastAsia="Times New Roman" w:cs="Times New Roman"/>
        </w:rPr>
        <w:t xml:space="preserve">• </w:t>
      </w:r>
      <w:r>
        <w:rPr>
          <w:rFonts w:ascii="Leelawadee UI" w:hAnsi="Leelawadee UI" w:eastAsia="Leelawadee UI" w:cs="Leelawadee UI"/>
        </w:rPr>
        <w:t>ទីពីរ៖</w:t>
      </w:r>
      <w:r>
        <w:rPr>
          <w:rFonts w:ascii="Times New Roman" w:hAnsi="Times New Roman" w:eastAsia="Times New Roman" w:cs="Times New Roman"/>
        </w:rPr>
        <w:t xml:space="preserve"> </w:t>
      </w:r>
      <w:r>
        <w:rPr>
          <w:rFonts w:ascii="Leelawadee UI" w:hAnsi="Leelawadee UI" w:eastAsia="Leelawadee UI" w:cs="Leelawadee UI"/>
        </w:rPr>
        <w:t>ការពិនិត្យឡើងវិញដោយគណៈកម្មការ៖</w:t>
      </w:r>
      <w:r>
        <w:rPr>
          <w:rFonts w:ascii="Times New Roman" w:hAnsi="Times New Roman" w:eastAsia="Times New Roman" w:cs="Times New Roman"/>
        </w:rPr>
        <w:t xml:space="preserve"> </w:t>
      </w:r>
      <w:r>
        <w:rPr>
          <w:rFonts w:ascii="Leelawadee UI" w:hAnsi="Leelawadee UI" w:eastAsia="Leelawadee UI" w:cs="Leelawadee UI"/>
        </w:rPr>
        <w:t>បន្ទាប់ពីគណៈកម្មការនីមួយៗបានបញ្ចប់ការបកប្រែនៃផ្នែកមួយ</w:t>
      </w:r>
      <w:r>
        <w:rPr>
          <w:rFonts w:ascii="Times New Roman" w:hAnsi="Times New Roman" w:eastAsia="Times New Roman" w:cs="Times New Roman"/>
        </w:rPr>
        <w:t xml:space="preserve"> </w:t>
      </w:r>
      <w:r>
        <w:rPr>
          <w:rFonts w:ascii="Leelawadee UI" w:hAnsi="Leelawadee UI" w:eastAsia="Leelawadee UI" w:cs="Leelawadee UI"/>
        </w:rPr>
        <w:t>កិច្ចការនោះត្រូវបានពិនិត្យឡើងវិញដោយសមាជិកគណៈកម្មការទាំងនោះផ្ទាល់។</w:t>
      </w:r>
      <w:r>
        <w:rPr>
          <w:rFonts w:ascii="Times New Roman" w:hAnsi="Times New Roman" w:eastAsia="Times New Roman" w:cs="Times New Roman"/>
        </w:rPr>
        <w:t xml:space="preserve"> </w:t>
      </w:r>
      <w:r>
        <w:rPr>
          <w:rFonts w:ascii="Leelawadee UI" w:hAnsi="Leelawadee UI" w:eastAsia="Leelawadee UI" w:cs="Leelawadee UI"/>
        </w:rPr>
        <w:t>ការនេះបានអនុញ្ញាតឲ្យមានការផ្តល់យោបល់រួម</w:t>
      </w:r>
      <w:r>
        <w:rPr>
          <w:rFonts w:ascii="Times New Roman" w:hAnsi="Times New Roman" w:eastAsia="Times New Roman" w:cs="Times New Roman"/>
        </w:rPr>
        <w:t xml:space="preserve"> </w:t>
      </w:r>
      <w:r>
        <w:rPr>
          <w:rFonts w:ascii="Leelawadee UI" w:hAnsi="Leelawadee UI" w:eastAsia="Leelawadee UI" w:cs="Leelawadee UI"/>
        </w:rPr>
        <w:t>និងការកែតម្រូវកំហុស។</w:t>
      </w:r>
    </w:p>
    <w:p>
      <w:pPr>
        <w:pStyle w:val="ArticleListItem"/>
        <w:ind w:left="576" w:hanging="259"/>
        <w:jc w:val="left"/>
      </w:pPr>
      <w:r>
        <w:rPr>
          <w:rFonts w:ascii="Times New Roman" w:hAnsi="Times New Roman" w:eastAsia="Times New Roman" w:cs="Times New Roman"/>
        </w:rPr>
        <w:t>• Troisième étape : Révision par le Comité général : Les traductions des différents comités furent ensuite soumises à un groupe plus large d’érudits, désigné sous le nom de Comité général. Ce comité était composé de représentants de chacun des six comités de traduction. Ils examinèrent l’ensemble de l’ouvrage, en comparant et en harmonisant les différentes traductions des comités.</w:t>
      </w:r>
    </w:p>
    <w:p>
      <w:pPr>
        <w:pStyle w:val="ArticleListItem"/>
        <w:ind w:left="576" w:hanging="259"/>
        <w:jc w:val="left"/>
      </w:pPr>
      <w:r>
        <w:rPr>
          <w:rFonts w:ascii="Times New Roman" w:hAnsi="Times New Roman" w:eastAsia="Times New Roman" w:cs="Times New Roman"/>
        </w:rPr>
        <w:t>• Quatrièmement : Révision et correction supplémentaires : la version révisée du Comité général fut renvoyée aux comités individuels pour un examen plus approfondi et un perfectionnement supplémentaire. Ce processus itératif contribua à garantir que la traduction fût cohérente et exacte.</w:t>
      </w:r>
    </w:p>
    <w:p>
      <w:pPr>
        <w:pStyle w:val="ArticleListItem"/>
        <w:ind w:left="576" w:hanging="259"/>
        <w:jc w:val="left"/>
      </w:pPr>
      <w:r>
        <w:rPr>
          <w:rFonts w:ascii="Times New Roman" w:hAnsi="Times New Roman" w:eastAsia="Times New Roman" w:cs="Times New Roman"/>
        </w:rPr>
        <w:t>• Tanu biakɔso: Nhwehwɛmu a etwa to ne pene so: Bere a komiti ahorow no wiee wɔn nsiesiei no, wɔde ɔkyerɛw a etwa to no kɔmaa Komiti Panyin no ma wɔn nhwehwɛmu a etwa to ne pene so.</w:t>
      </w:r>
    </w:p>
    <w:p>
      <w:pPr>
        <w:pStyle w:val="ArticleListItem"/>
        <w:ind w:left="576" w:hanging="259"/>
        <w:jc w:val="left"/>
      </w:pPr>
      <w:r>
        <w:rPr>
          <w:rFonts w:ascii="Times New Roman" w:hAnsi="Times New Roman" w:eastAsia="Times New Roman" w:cs="Times New Roman"/>
        </w:rPr>
        <w:t xml:space="preserve">• </w:t>
      </w:r>
      <w:r>
        <w:rPr>
          <w:rFonts w:ascii="Leelawadee UI" w:hAnsi="Leelawadee UI" w:eastAsia="Leelawadee UI" w:cs="Leelawadee UI"/>
        </w:rPr>
        <w:t>ទីប្រាំមួយ៖</w:t>
      </w:r>
      <w:r>
        <w:rPr>
          <w:rFonts w:ascii="Times New Roman" w:hAnsi="Times New Roman" w:eastAsia="Times New Roman" w:cs="Times New Roman"/>
        </w:rPr>
        <w:t xml:space="preserve"> </w:t>
      </w:r>
      <w:r>
        <w:rPr>
          <w:rFonts w:ascii="Leelawadee UI" w:hAnsi="Leelawadee UI" w:eastAsia="Leelawadee UI" w:cs="Leelawadee UI"/>
        </w:rPr>
        <w:t>ការអនុម័តដោយព្រះមហាក្សត្រ</w:t>
      </w:r>
      <w:r>
        <w:rPr>
          <w:rFonts w:ascii="Times New Roman" w:hAnsi="Times New Roman" w:eastAsia="Times New Roman" w:cs="Times New Roman"/>
        </w:rPr>
        <w:t xml:space="preserve"> </w:t>
      </w:r>
      <w:r>
        <w:rPr>
          <w:rFonts w:ascii="Leelawadee UI" w:hAnsi="Leelawadee UI" w:eastAsia="Leelawadee UI" w:cs="Leelawadee UI"/>
        </w:rPr>
        <w:t>និងការបោះពុម្ពផ្សាយ៖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ការបកប្រែដែលបានអនុម័ត</w:t>
      </w:r>
      <w:r>
        <w:rPr>
          <w:rFonts w:ascii="Times New Roman" w:hAnsi="Times New Roman" w:eastAsia="Times New Roman" w:cs="Times New Roman"/>
        </w:rPr>
        <w:t xml:space="preserve"> </w:t>
      </w:r>
      <w:r>
        <w:rPr>
          <w:rFonts w:ascii="Leelawadee UI" w:hAnsi="Leelawadee UI" w:eastAsia="Leelawadee UI" w:cs="Leelawadee UI"/>
        </w:rPr>
        <w:t>ត្រូវបានថ្វាយជូនព្រះបាទជេមស៍ទី១</w:t>
      </w:r>
      <w:r>
        <w:rPr>
          <w:rFonts w:ascii="Times New Roman" w:hAnsi="Times New Roman" w:eastAsia="Times New Roman" w:cs="Times New Roman"/>
        </w:rPr>
        <w:t xml:space="preserve"> </w:t>
      </w:r>
      <w:r>
        <w:rPr>
          <w:rFonts w:ascii="Leelawadee UI" w:hAnsi="Leelawadee UI" w:eastAsia="Leelawadee UI" w:cs="Leelawadee UI"/>
        </w:rPr>
        <w:t>ដើម្បីសុំការអនុម័តពីព្រះអង្គ។</w:t>
      </w:r>
    </w:p>
    <w:p>
      <w:pPr>
        <w:pStyle w:val="ArticleListItem"/>
        <w:ind w:left="576" w:hanging="259"/>
        <w:jc w:val="left"/>
      </w:pPr>
      <w:r>
        <w:rPr>
          <w:rFonts w:ascii="Times New Roman" w:hAnsi="Times New Roman" w:eastAsia="Times New Roman" w:cs="Times New Roman"/>
        </w:rPr>
        <w:t>• Le septième point : Après avoir accordé son approbation royale, la traduction fut publiée en 1611 sous le nom de King James Version (Authorized Version) de la Bible.</w:t>
      </w:r>
    </w:p>
    <w:p>
      <w:pPr>
        <w:pStyle w:val="ArticleScripture"/>
        <w:jc w:val="left"/>
      </w:pPr>
      <w:r>
        <w:rPr>
          <w:rFonts w:ascii="Times New Roman" w:hAnsi="Times New Roman" w:eastAsia="Times New Roman" w:cs="Times New Roman"/>
        </w:rPr>
        <w:t>Господните думи са чисти думи, като сребро, пречистено в земна пещ, очистено седем пъти. Ти ще ги опазиш, Господи, ще ги съхраниш от това поколение довека. Псалми 12:6, 7.</w:t>
      </w:r>
    </w:p>
    <w:p>
      <w:pPr>
        <w:pStyle w:val="ArticleBody"/>
        <w:jc w:val="left"/>
      </w:pPr>
      <w:r>
        <w:rPr>
          <w:rFonts w:ascii="Times New Roman" w:hAnsi="Times New Roman" w:eastAsia="Times New Roman" w:cs="Times New Roman"/>
        </w:rPr>
        <w:t>I ke Satan laban long Tok Bilong God, na laban long ol mak bilong rot em ol i soim long ol kain kain mesenja bilong dispela histori i go kamap isi isi wantaim stretpela metodoloji em i mas yusim long stretim gut Hap Tok Bilong Em—King James Bible bilong 1611 em i wanpela mak bilong rot em i stap klia long Psalm twelve. I no gat wanpela bilong ol kain kain giaman Baibel em ol i bin wokim long ol bagarap Katolik manuskrip i inapim ol mak bilong Psalm twelve. Dispela proses bilong mekim klin i bin go long sevenpela step, na dispela taim bilong tupela tausen faiv handret na twenti de i makim olsem King James Bible em i “ol tok i klin tru” bilong God. God i tok promis long lukautim King James Bible olsem klinpela Tok Bilong Em inap oltaim, na olsem na Em i tok promis tu long strongim metodoloji bilong “historicism” em ol Protestant Reformer, wantaim William Miller, i bin yusim.</w:t>
      </w:r>
    </w:p>
    <w:p>
      <w:pPr>
        <w:pStyle w:val="ArticleBody"/>
        <w:jc w:val="left"/>
      </w:pPr>
      <w:r>
        <w:rPr>
          <w:rFonts w:ascii="Times New Roman" w:hAnsi="Times New Roman" w:eastAsia="Times New Roman" w:cs="Times New Roman"/>
        </w:rPr>
        <w:t>Mu karne ya goma sha huɗu, an yi amfani da John Wycliffe, wanda aka bayyana a matsayin “tauraron safiya na Gyaran Addini” a cikin littafin The Great Controversy, ta wurin Allah domin ya fassara Littafi Mai Tsarki zuwa cikin harshen da ko talaka ma zai iya fahimta. Shi ne manzon da ke nuna alamar farkon Gyaran Addinin Furotesta.</w:t>
      </w:r>
    </w:p>
    <w:p>
      <w:pPr>
        <w:pStyle w:val="ArticleScripture"/>
        <w:jc w:val="left"/>
      </w:pPr>
      <w:r>
        <w:rPr>
          <w:rFonts w:ascii="Times New Roman" w:hAnsi="Times New Roman" w:eastAsia="Times New Roman" w:cs="Times New Roman"/>
        </w:rPr>
        <w:t>“Ọ̀nà ìgbòkègbodò ńlá tí Wycliffe bẹ̀rẹ̀, èyí tí yóò tú ẹ̀rí-ọkàn àti ọgbọ́n-inú sílẹ̀, tí yóò sì dá àwọn orílẹ̀-èdè tí a ti fi ìgbà pípẹ́ dè mọ́ kẹ̀kẹ́ ìṣẹ́gun ti Rome sílẹ̀, ní ìpilẹ̀ rẹ̀ nínú Bíbélì. Níhìn-ín ni orísun odò ìbùkún náà wà, èyí tí, gẹ́gẹ́ bí omi ìyè, ti ń ṣàn kọjá àwọn ọ̀rúndún láti ọrundún kẹrìnlá wá. Wycliffe gba Ìwé Mímọ́ pẹ̀lú ìgbàgbọ́ pípé gẹ́gẹ́ bí ìfihàn amísí ti ìfẹ́ Ọlọ́run, gẹ́gẹ́ bí òfin tó pé fún ìgbàgbọ́ àti ìwà. A ti kọ́ ọ́ láti ka Ìjọ Rome sí àṣẹ àtọ̀runwá tí kò lè ṣìṣe, àti láti fi ọ̀wọ̀ àìbéèrè gba àwọn ẹ̀kọ́ àti àṣà tí a ti fi múlẹ̀ fún ẹgbẹ̀rún ọdún; ṣùgbọ́n ó yà kúrò nínú gbogbo wọ̀nyí láti fetí sí ọ̀rọ̀ mímọ́ Ọlọ́run. Èyí ni àṣẹ tí ó rọ àwọn ènìyàn pé kí wọ́n jẹ́wọ́. Dípò kí ìjọ máa sọ̀rọ̀ nípasẹ̀ póòpù, ó kéde pé àṣẹ otitọ kan ṣoṣo ni ohùn Ọlọ́run tí ń sọ̀rọ̀ nípasẹ̀ ọ̀rọ̀ Rẹ̀. Ó sì kọ́ni pé kì í ṣe pé Bíbélì nìkan ni ìfihàn pípé ti ìfẹ́ Ọlọ́run, ṣùgbọ́n pé Ẹ̀mí Mímọ́ nikan ni olùtumọ̀ rẹ̀, àti pé olúkúlùkù ènìyàn gbọ́dọ̀, nípasẹ̀ ìkẹ́kọ̀ọ́ àwọn ẹ̀kọ́ rẹ̀, kọ́ ojúṣe rẹ̀ fúnra rẹ̀. Báyìí ni ó ṣe yí ọkàn àwọn ènìyàn padà kúrò lọ́dọ̀ póòpù àti Ìjọ Rome sí ọ̀rọ̀ Ọlọ́run.”</w:t>
      </w:r>
    </w:p>
    <w:p>
      <w:pPr>
        <w:pStyle w:val="ArticleScripture"/>
        <w:jc w:val="left"/>
      </w:pPr>
      <w:r>
        <w:rPr>
          <w:rFonts w:ascii="Times New Roman" w:hAnsi="Times New Roman" w:eastAsia="Times New Roman" w:cs="Times New Roman"/>
        </w:rPr>
        <w:t>«Уиклиф был одним из величайших реформаторов. По широте ума, по ясности мысли, по твердости в отстаивании истины и по смелости в ее защите немногие из пришедших после него могли сравниться с ним. Чистота жизни, неутомимое усердие в учении и труде, неподкупная честность, а также христоподобная любовь и верность в его служении отличали первого из реформаторов. И это — несмотря на умственную тьму и нравственное растление той эпохи, из которой он вышел.»</w:t>
      </w:r>
    </w:p>
    <w:p>
      <w:pPr>
        <w:pStyle w:val="ArticleScripture"/>
        <w:jc w:val="left"/>
      </w:pPr>
      <w:r>
        <w:rPr>
          <w:rFonts w:ascii="Times New Roman" w:hAnsi="Times New Roman" w:eastAsia="Times New Roman" w:cs="Times New Roman"/>
        </w:rPr>
        <w:t>«Սա Ուիքլիֆի բնավորությունը վկայություն է Սուրբ Գրքերի կրթող, կերպափոխող զորության մասին։ Աստվածաշունչն էր, որ նրան դարձրեց այն, ինչ նա էր։ Հայտնության մեծ ճշմարտությունները ըմբռնելու ջանքը թարմություն և զորություն է հաղորդում բոլոր ունակություններին։ Այն ընդարձակում է միտքը, սրում ընկալումները և հասունացնում դատողությունը։ Աստվածաշնչի ուսումնասիրությունը կազնվացնի յուրաքանչյուր միտք, զգացում և ձգտում այնպես, ինչպես ոչ մի այլ ուսումնասիրություն չի կարող։ Այն տալիս է նպատակի հաստատություն, համբերություն, արիություն և տոկունություն, զտում է բնավորությունը և սրբացնում հոգին։ Սուրբ Գրքերի անկեղծ ու երկյուղած ուսումնասիրությունը, որը սովորողի միտքը անմիջական շփման մեջ է բերում անսահման մտքի հետ, աշխարհին կտար ավելի զորեղ և գործուն մտավոր կարողություններով, ինչպես նաև ավելի ազնիվ սկզբունքներով մարդկանց, քան երբևէ տվել է մարդկային փիլիսոփայության ընձեռած ամենահմուտ կրթությունը։ «Քո խոսքերի բացվելը,— ասում է սաղմոսերգուն,— լույս է տալիս, իմաստություն է պարգևում»։ Սաղմոս 119:130»։ The Great Controversy, 93, 94.</w:t>
      </w:r>
    </w:p>
    <w:p>
      <w:pPr>
        <w:pStyle w:val="ArticleBody"/>
        <w:jc w:val="left"/>
      </w:pPr>
      <w:r>
        <w:rPr>
          <w:rFonts w:ascii="Times New Roman" w:hAnsi="Times New Roman" w:eastAsia="Times New Roman" w:cs="Times New Roman"/>
        </w:rPr>
        <w:t>Mora ya bohlatse mabapi le John Wycliffe ho The Great Controversy, Khaitseli White o fana ka lethathamo la bahlophisi ba tšepahalang (matšoao a tsela), leo qetellong le fihlang ho mohlophisi John Knox. O supa potso ea bohlokoa e ileng ea botsoa John Knox ke Maria, Mofumahali oa Scotland.</w:t>
      </w:r>
    </w:p>
    <w:p>
      <w:pPr>
        <w:pStyle w:val="ArticleScripture"/>
        <w:jc w:val="left"/>
      </w:pPr>
      <w:r>
        <w:rPr>
          <w:rFonts w:ascii="Times New Roman" w:hAnsi="Times New Roman" w:eastAsia="Times New Roman" w:cs="Times New Roman"/>
        </w:rPr>
        <w:t>«Johannes Knox avait délaissé les traditions et les mysticismes de l’Église pour se nourrir des vérités de la Parole de Dieu, et l’enseignement de Wishart avait affermi sa résolution d’abandonner la communion de Rome et de se joindre aux réformateurs persécutés....»</w:t>
      </w:r>
    </w:p>
    <w:p>
      <w:pPr>
        <w:pStyle w:val="ArticleScripture"/>
        <w:jc w:val="left"/>
      </w:pP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স্কটল্যান্ডের</w:t>
      </w:r>
      <w:r>
        <w:rPr>
          <w:rFonts w:ascii="Times New Roman" w:hAnsi="Times New Roman" w:eastAsia="Times New Roman" w:cs="Times New Roman"/>
        </w:rPr>
        <w:t xml:space="preserve"> </w:t>
      </w:r>
      <w:r>
        <w:rPr>
          <w:rFonts w:ascii="Nirmala UI" w:hAnsi="Nirmala UI" w:eastAsia="Nirmala UI" w:cs="Nirmala UI"/>
        </w:rPr>
        <w:t>রাণীর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উপস্থিতিতে</w:t>
      </w:r>
      <w:r>
        <w:rPr>
          <w:rFonts w:ascii="Times New Roman" w:hAnsi="Times New Roman" w:eastAsia="Times New Roman" w:cs="Times New Roman"/>
        </w:rPr>
        <w:t xml:space="preserve"> </w:t>
      </w:r>
      <w:r>
        <w:rPr>
          <w:rFonts w:ascii="Nirmala UI" w:hAnsi="Nirmala UI" w:eastAsia="Nirmala UI" w:cs="Nirmala UI"/>
        </w:rPr>
        <w:t>প্রোটেস্ট্যান্টদের</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উৎসাহ</w:t>
      </w:r>
      <w:r>
        <w:rPr>
          <w:rFonts w:ascii="Times New Roman" w:hAnsi="Times New Roman" w:eastAsia="Times New Roman" w:cs="Times New Roman"/>
        </w:rPr>
        <w:t xml:space="preserve"> </w:t>
      </w:r>
      <w:r>
        <w:rPr>
          <w:rFonts w:ascii="Nirmala UI" w:hAnsi="Nirmala UI" w:eastAsia="Nirmala UI" w:cs="Nirmala UI"/>
        </w:rPr>
        <w:t>ম্লান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নক্স</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অটল</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স্নেহপ্রদর্শনে</w:t>
      </w:r>
      <w:r>
        <w:rPr>
          <w:rFonts w:ascii="Times New Roman" w:hAnsi="Times New Roman" w:eastAsia="Times New Roman" w:cs="Times New Roman"/>
        </w:rPr>
        <w:t xml:space="preserve"> </w:t>
      </w:r>
      <w:r>
        <w:rPr>
          <w:rFonts w:ascii="Nirmala UI" w:hAnsi="Nirmala UI" w:eastAsia="Nirmala UI" w:cs="Nirmala UI"/>
        </w:rPr>
        <w:t>জয়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যায়নি</w:t>
      </w:r>
      <w:r>
        <w:rPr>
          <w:rFonts w:ascii="Times New Roman" w:hAnsi="Times New Roman" w:eastAsia="Times New Roman" w:cs="Times New Roman"/>
        </w:rPr>
        <w:t xml:space="preserve">; </w:t>
      </w:r>
      <w:r>
        <w:rPr>
          <w:rFonts w:ascii="Nirmala UI" w:hAnsi="Nirmala UI" w:eastAsia="Nirmala UI" w:cs="Nirmala UI"/>
        </w:rPr>
        <w:t>ভয়প্রদর্শনেও</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ভীত</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বিধর্মিতার</w:t>
      </w:r>
      <w:r>
        <w:rPr>
          <w:rFonts w:ascii="Times New Roman" w:hAnsi="Times New Roman" w:eastAsia="Times New Roman" w:cs="Times New Roman"/>
        </w:rPr>
        <w:t xml:space="preserve"> </w:t>
      </w:r>
      <w:r>
        <w:rPr>
          <w:rFonts w:ascii="Nirmala UI" w:hAnsi="Nirmala UI" w:eastAsia="Nirmala UI" w:cs="Nirmala UI"/>
        </w:rPr>
        <w:t>অভিযোগ</w:t>
      </w:r>
      <w:r>
        <w:rPr>
          <w:rFonts w:ascii="Times New Roman" w:hAnsi="Times New Roman" w:eastAsia="Times New Roman" w:cs="Times New Roman"/>
        </w:rPr>
        <w:t xml:space="preserve"> </w:t>
      </w:r>
      <w:r>
        <w:rPr>
          <w:rFonts w:ascii="Nirmala UI" w:hAnsi="Nirmala UI" w:eastAsia="Nirmala UI" w:cs="Nirmala UI"/>
        </w:rPr>
        <w:t>আনলেন।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নক্স</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রাষ্ট্র</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নিষিদ্ধ</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দিয়েছেন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রাজপুরুষদের</w:t>
      </w:r>
      <w:r>
        <w:rPr>
          <w:rFonts w:ascii="Times New Roman" w:hAnsi="Times New Roman" w:eastAsia="Times New Roman" w:cs="Times New Roman"/>
        </w:rPr>
        <w:t xml:space="preserve"> </w:t>
      </w:r>
      <w:r>
        <w:rPr>
          <w:rFonts w:ascii="Nirmala UI" w:hAnsi="Nirmala UI" w:eastAsia="Nirmala UI" w:cs="Nirmala UI"/>
        </w:rPr>
        <w:t>আজ্ঞা</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নির্দেশদানকারী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লঙ্ঘন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নক্স</w:t>
      </w:r>
      <w:r>
        <w:rPr>
          <w:rFonts w:ascii="Times New Roman" w:hAnsi="Times New Roman" w:eastAsia="Times New Roman" w:cs="Times New Roman"/>
        </w:rPr>
        <w:t xml:space="preserve"> </w:t>
      </w:r>
      <w:r>
        <w:rPr>
          <w:rFonts w:ascii="Nirmala UI" w:hAnsi="Nirmala UI" w:eastAsia="Nirmala UI" w:cs="Nirmala UI"/>
        </w:rPr>
        <w:t>দৃঢ়ভাবে</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উৎপত্তি</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কোনোটিই</w:t>
      </w:r>
      <w:r>
        <w:rPr>
          <w:rFonts w:ascii="Times New Roman" w:hAnsi="Times New Roman" w:eastAsia="Times New Roman" w:cs="Times New Roman"/>
        </w:rPr>
        <w:t xml:space="preserve"> </w:t>
      </w:r>
      <w:r>
        <w:rPr>
          <w:rFonts w:ascii="Nirmala UI" w:hAnsi="Nirmala UI" w:eastAsia="Nirmala UI" w:cs="Nirmala UI"/>
        </w:rPr>
        <w:t>রাজপুরুষদের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একমাত্র</w:t>
      </w:r>
      <w:r>
        <w:rPr>
          <w:rFonts w:ascii="Times New Roman" w:hAnsi="Times New Roman" w:eastAsia="Times New Roman" w:cs="Times New Roman"/>
        </w:rPr>
        <w:t xml:space="preserve"> </w:t>
      </w:r>
      <w:r>
        <w:rPr>
          <w:rFonts w:ascii="Nirmala UI" w:hAnsi="Nirmala UI" w:eastAsia="Nirmala UI" w:cs="Nirmala UI"/>
        </w:rPr>
        <w:t>অনন্ত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প্রজারাও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রাজপুরুষদের</w:t>
      </w:r>
      <w:r>
        <w:rPr>
          <w:rFonts w:ascii="Times New Roman" w:hAnsi="Times New Roman" w:eastAsia="Times New Roman" w:cs="Times New Roman"/>
        </w:rPr>
        <w:t xml:space="preserve"> </w:t>
      </w:r>
      <w:r>
        <w:rPr>
          <w:rFonts w:ascii="Nirmala UI" w:hAnsi="Nirmala UI" w:eastAsia="Nirmala UI" w:cs="Nirmala UI"/>
        </w:rPr>
        <w:t>রুচি</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নিজেদের</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গঠন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প্রায়ই</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রাজপুরুষেরাই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সর্বাধিক</w:t>
      </w:r>
      <w:r>
        <w:rPr>
          <w:rFonts w:ascii="Times New Roman" w:hAnsi="Times New Roman" w:eastAsia="Times New Roman" w:cs="Times New Roman"/>
        </w:rPr>
        <w:t xml:space="preserve"> </w:t>
      </w:r>
      <w:r>
        <w:rPr>
          <w:rFonts w:ascii="Nirmala UI" w:hAnsi="Nirmala UI" w:eastAsia="Nirmala UI" w:cs="Nirmala UI"/>
        </w:rPr>
        <w:t>অজ্ঞ।</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আব্রাহামের</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বংশ</w:t>
      </w:r>
      <w:r>
        <w:rPr>
          <w:rFonts w:ascii="Times New Roman" w:hAnsi="Times New Roman" w:eastAsia="Times New Roman" w:cs="Times New Roman"/>
        </w:rPr>
        <w:t xml:space="preserve"> </w:t>
      </w:r>
      <w:r>
        <w:rPr>
          <w:rFonts w:ascii="Nirmala UI" w:hAnsi="Nirmala UI" w:eastAsia="Nirmala UI" w:cs="Nirmala UI"/>
        </w:rPr>
        <w:t>ফারাওয়ের</w:t>
      </w:r>
      <w:r>
        <w:rPr>
          <w:rFonts w:ascii="Times New Roman" w:hAnsi="Times New Roman" w:eastAsia="Times New Roman" w:cs="Times New Roman"/>
        </w:rPr>
        <w:t xml:space="preserve"> </w:t>
      </w:r>
      <w:r>
        <w:rPr>
          <w:rFonts w:ascii="Nirmala UI" w:hAnsi="Nirmala UI" w:eastAsia="Nirmala UI" w:cs="Nirmala UI"/>
        </w:rPr>
        <w:t>ধর্মের</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দীর্ঘকাল</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আপনাকে</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মহারাণী</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প্রেরিতদের</w:t>
      </w:r>
      <w:r>
        <w:rPr>
          <w:rFonts w:ascii="Times New Roman" w:hAnsi="Times New Roman" w:eastAsia="Times New Roman" w:cs="Times New Roman"/>
        </w:rPr>
        <w:t xml:space="preserve"> </w:t>
      </w:r>
      <w:r>
        <w:rPr>
          <w:rFonts w:ascii="Nirmala UI" w:hAnsi="Nirmala UI" w:eastAsia="Nirmala UI" w:cs="Nirmala UI"/>
        </w:rPr>
        <w:t>যুগে</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রোমীয়</w:t>
      </w:r>
      <w:r>
        <w:rPr>
          <w:rFonts w:ascii="Times New Roman" w:hAnsi="Times New Roman" w:eastAsia="Times New Roman" w:cs="Times New Roman"/>
        </w:rPr>
        <w:t xml:space="preserve"> </w:t>
      </w:r>
      <w:r>
        <w:rPr>
          <w:rFonts w:ascii="Nirmala UI" w:hAnsi="Nirmala UI" w:eastAsia="Nirmala UI" w:cs="Nirmala UI"/>
        </w:rPr>
        <w:t>সম্রাটদের</w:t>
      </w:r>
      <w:r>
        <w:rPr>
          <w:rFonts w:ascii="Times New Roman" w:hAnsi="Times New Roman" w:eastAsia="Times New Roman" w:cs="Times New Roman"/>
        </w:rPr>
        <w:t xml:space="preserve"> </w:t>
      </w:r>
      <w:r>
        <w:rPr>
          <w:rFonts w:ascii="Nirmala UI" w:hAnsi="Nirmala UI" w:eastAsia="Nirmala UI" w:cs="Nirmala UI"/>
        </w:rPr>
        <w:t>ধর্মের</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আপনাকে</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মহারাণী</w:t>
      </w:r>
      <w:r>
        <w:rPr>
          <w:rFonts w:ascii="Times New Roman" w:hAnsi="Times New Roman" w:eastAsia="Times New Roman" w:cs="Times New Roman"/>
        </w:rPr>
        <w:t xml:space="preserve">, </w:t>
      </w:r>
      <w:r>
        <w:rPr>
          <w:rFonts w:ascii="Nirmala UI" w:hAnsi="Nirmala UI" w:eastAsia="Nirmala UI" w:cs="Nirmala UI"/>
        </w:rPr>
        <w:t>আজ</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মহারাণী</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প্রজারা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রাজপুরুষদের</w:t>
      </w:r>
      <w:r>
        <w:rPr>
          <w:rFonts w:ascii="Times New Roman" w:hAnsi="Times New Roman" w:eastAsia="Times New Roman" w:cs="Times New Roman"/>
        </w:rPr>
        <w:t xml:space="preserve"> </w:t>
      </w:r>
      <w:r>
        <w:rPr>
          <w:rFonts w:ascii="Nirmala UI" w:hAnsi="Nirmala UI" w:eastAsia="Nirmala UI" w:cs="Nirmala UI"/>
        </w:rPr>
        <w:t>ধর্ম</w:t>
      </w:r>
      <w:r>
        <w:rPr>
          <w:rFonts w:ascii="Times New Roman" w:hAnsi="Times New Roman" w:eastAsia="Times New Roman" w:cs="Times New Roman"/>
        </w:rPr>
        <w:t xml:space="preserve"> </w:t>
      </w:r>
      <w:r>
        <w:rPr>
          <w:rFonts w:ascii="Nirmala UI" w:hAnsi="Nirmala UI" w:eastAsia="Nirmala UI" w:cs="Nirmala UI"/>
        </w:rPr>
        <w:t>মানতে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শ্রদ্ধা</w:t>
      </w:r>
      <w:r>
        <w:rPr>
          <w:rFonts w:ascii="Times New Roman" w:hAnsi="Times New Roman" w:eastAsia="Times New Roman" w:cs="Times New Roman"/>
        </w:rPr>
        <w:t xml:space="preserve"> </w:t>
      </w:r>
      <w:r>
        <w:rPr>
          <w:rFonts w:ascii="Nirmala UI" w:hAnsi="Nirmala UI" w:eastAsia="Nirmala UI" w:cs="Nirmala UI"/>
        </w:rPr>
        <w:t>প্রদর্শনের</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“Mary kwuru, ‘Ị na-akọwa Akwụkwọ Nsọ n’otu ụzọ, ha [ndị nkụzi Romish] na-akọwakwa ya n’ụzọ ọzọ; onye ka m ga-ekwere, ònye ga-abụkwa onyeikpe?’”</w:t>
      </w:r>
    </w:p>
    <w:p>
      <w:pPr>
        <w:pStyle w:val="ArticleScripture"/>
        <w:jc w:val="left"/>
      </w:pPr>
      <w:r>
        <w:rPr>
          <w:rFonts w:ascii="Times New Roman" w:hAnsi="Times New Roman" w:eastAsia="Times New Roman" w:cs="Times New Roman"/>
        </w:rPr>
        <w:t>“‘</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अस्पष्टता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हठपूर्वक</w:t>
      </w:r>
      <w:r>
        <w:rPr>
          <w:rFonts w:ascii="Times New Roman" w:hAnsi="Times New Roman" w:eastAsia="Times New Roman" w:cs="Times New Roman"/>
        </w:rPr>
        <w:t xml:space="preserve"> </w:t>
      </w:r>
      <w:r>
        <w:rPr>
          <w:rFonts w:ascii="Nirmala UI" w:hAnsi="Nirmala UI" w:eastAsia="Nirmala UI" w:cs="Nirmala UI"/>
        </w:rPr>
        <w:t>अज्ञानी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सन्देह</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निडर</w:t>
      </w:r>
      <w:r>
        <w:rPr>
          <w:rFonts w:ascii="Times New Roman" w:hAnsi="Times New Roman" w:eastAsia="Times New Roman" w:cs="Times New Roman"/>
        </w:rPr>
        <w:t xml:space="preserve"> </w:t>
      </w:r>
      <w:r>
        <w:rPr>
          <w:rFonts w:ascii="Nirmala UI" w:hAnsi="Nirmala UI" w:eastAsia="Nirmala UI" w:cs="Nirmala UI"/>
        </w:rPr>
        <w:t>सुधारक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अडिग</w:t>
      </w:r>
      <w:r>
        <w:rPr>
          <w:rFonts w:ascii="Times New Roman" w:hAnsi="Times New Roman" w:eastAsia="Times New Roman" w:cs="Times New Roman"/>
        </w:rPr>
        <w:t xml:space="preserve"> </w:t>
      </w:r>
      <w:r>
        <w:rPr>
          <w:rFonts w:ascii="Nirmala UI" w:hAnsi="Nirmala UI" w:eastAsia="Nirmala UI" w:cs="Nirmala UI"/>
        </w:rPr>
        <w:t>साहस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लड़ता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स्कॉटलैण्ड</w:t>
      </w:r>
      <w:r>
        <w:rPr>
          <w:rFonts w:ascii="Times New Roman" w:hAnsi="Times New Roman" w:eastAsia="Times New Roman" w:cs="Times New Roman"/>
        </w:rPr>
        <w:t xml:space="preserve"> </w:t>
      </w:r>
      <w:r>
        <w:rPr>
          <w:rFonts w:ascii="Nirmala UI" w:hAnsi="Nirmala UI" w:eastAsia="Nirmala UI" w:cs="Nirmala UI"/>
        </w:rPr>
        <w:t>पोपवाद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The Great Controversy, 250, 251.</w:t>
      </w:r>
    </w:p>
    <w:p>
      <w:pPr>
        <w:pStyle w:val="ArticleBody"/>
        <w:jc w:val="left"/>
      </w:pPr>
      <w:r>
        <w:rPr>
          <w:rFonts w:ascii="Times New Roman" w:hAnsi="Times New Roman" w:eastAsia="Times New Roman" w:cs="Times New Roman"/>
        </w:rPr>
        <w:t>L’interaction entre le réformateur et la reine met en lumière le troisième fil de l’histoire de la Réforme, lequel identifie l’effort de Satan pour contrefaire la Bible, les réformateurs et la méthodologie de l’étude biblique. La réponse de John à la reine fut que la méthodologie correcte est « l’historicisme », lequel repose sur le principe selon lequel une ligne d’histoire prophétique est expliquée par le Saint-Esprit au moyen d’une autre ligne d’histoire prophétique.</w:t>
      </w:r>
    </w:p>
    <w:p>
      <w:pPr>
        <w:pStyle w:val="ArticleBody"/>
        <w:jc w:val="left"/>
      </w:pPr>
      <w:r>
        <w:rPr>
          <w:rFonts w:ascii="Times New Roman" w:hAnsi="Times New Roman" w:eastAsia="Times New Roman" w:cs="Times New Roman"/>
        </w:rPr>
        <w:t>La lumière s’était ouverte dans les ténèbres. Wycliffe et les premiers réformateurs, tout au long de l’histoire millérite, employèrent une méthode d’étude biblique désignée sous le nom d’« historicisme ». L’histoire de cette méthode biblique d’étude des Écritures est souvent négligée, mais il est essentiel de la reconnaître si l’on veut véritablement discerner la portée des règles d’interprétation prophétique adoptées par Miller et, par la suite, par Future for America.</w:t>
      </w:r>
    </w:p>
    <w:p>
      <w:pPr>
        <w:pStyle w:val="ArticleBody"/>
        <w:jc w:val="left"/>
      </w:pPr>
      <w:r>
        <w:rPr>
          <w:rFonts w:ascii="Times New Roman" w:hAnsi="Times New Roman" w:eastAsia="Times New Roman" w:cs="Times New Roman"/>
        </w:rPr>
        <w:t>Il n’y a que deux Églises que Sister White désigne comme le peuple de Dieu portant un nom distinctif : l’ancien Israël et l’Église adventiste du septième jour.</w:t>
      </w:r>
    </w:p>
    <w:p>
      <w:pPr>
        <w:pStyle w:val="ArticleScripture"/>
        <w:jc w:val="left"/>
      </w:pPr>
      <w:r>
        <w:rPr>
          <w:rFonts w:ascii="Times New Roman" w:hAnsi="Times New Roman" w:eastAsia="Times New Roman" w:cs="Times New Roman"/>
        </w:rPr>
        <w:t>«Les raisons pour lesquelles nous sommes appelés peuple de Dieu doivent être répétées et répétées. Deutéronome 4:1–13» Manuscript Releases, volume 8, 426.</w:t>
      </w:r>
    </w:p>
    <w:p>
      <w:pPr>
        <w:pStyle w:val="ArticleBody"/>
        <w:jc w:val="left"/>
      </w:pPr>
      <w:r>
        <w:rPr>
          <w:rFonts w:ascii="Times New Roman" w:hAnsi="Times New Roman" w:eastAsia="Times New Roman" w:cs="Times New Roman"/>
        </w:rPr>
        <w:t>“Mitumeen waldaa,” waldaan bara dukkana paaphaasummaa keessatti lafa ona keessatti jirtu, yeroo kam iyyuu “saba waamamaa Waaqayyoo” jedhamee hin waamamin; jechuunis jechi kun (maqaan waamamuu jechuudha) waldaa itti gaafatamummaa seera Waaqayyoo kuusaa fi eegduu taʼuuf itti kennamte agarsiisa; akkasumas, Adventizimii wajjinis isaan dhugaa raajii Waaqayyoo kuusaa fi eegduu taʼuuf turan.</w:t>
      </w:r>
    </w:p>
    <w:p>
      <w:pPr>
        <w:pStyle w:val="ArticleScripture"/>
        <w:jc w:val="left"/>
      </w:pPr>
      <w:r>
        <w:rPr>
          <w:rFonts w:ascii="Times New Roman" w:hAnsi="Times New Roman" w:eastAsia="Times New Roman" w:cs="Times New Roman"/>
        </w:rPr>
        <w:t>“Lefu o biditse kereke ya Hae mo motlheng ono, fela jaaka A ne a bitsa Iseraele wa bogologolo, gore e eme e le lesedi mo lefatsheng. Ka seripa se se maatla sa boammaaruri, e leng melaetsa ya moengele wa ntlha, wa bobedi, le wa boraro, O ba kgaogantse mo dikerekeng le mo lefatsheng gore a ba tlise mo katamelong e e boitshepo le Ene. O ba dirile balebedi ba molao wa Hae mme a ba neela boammaaruri jo bogolo jwa boperofeti jwa nako eno. Jaaka mafoko a a boitshepo a ne a neetswe Iseraele wa bogologolo, le tsone ke taolo e e boitshepo e e tshwanetseng go itsisiwe lefatshe. Baengele ba bararo ba Tshenolo 14 ba emela batho ba ba amogelang lesedi la melaetsa ya Modimo mme ba tswelela pele e le baemedi ba Hae go utlwatsa tlhagiso mo boleeleng le bophareng jotlhe jwa lefatshe.” Testimonies, bolumu 5, 455.</w:t>
      </w:r>
    </w:p>
    <w:p>
      <w:pPr>
        <w:pStyle w:val="ArticleBody"/>
        <w:jc w:val="left"/>
      </w:pPr>
      <w:r>
        <w:rPr>
          <w:rFonts w:ascii="Times New Roman" w:hAnsi="Times New Roman" w:eastAsia="Times New Roman" w:cs="Times New Roman"/>
        </w:rPr>
        <w:t>William Miller ff ginan nagrepresentar han pinili nga mensahero ha pag-abri han mga matagnaon nga kamatuoran han Dios, ngan han adto nga mga kamatuoran naggiya hin usa nga katawohan ngadto ha abrido nga purtahan han Labing Balaan nga Dapit hadto 1844, an Dios dayon nag-abri han balaod han Dios. Hi Wycliffe usa nga timaan ha dalan ha pag-abri han Biblia ngan ha pagpatubo han tinikangan han Protestante nga Repormasyon, kondi usa liwat hiya nga timaan ha dalan han buhat han Dios ha pagpatindog han “dagku nga mga kamatuoran han tagna.” Hi John Wycliffe amo an bitoon han kaagahon nga gin-ilhan ha kasaysayan han usa ka yukot duha ka gatos ngan kan-uman ka tuig nga pagmando han pagka-papa. An iya buruhaton nagtitikang han ikanapulo kag upat nga siglo, katapos, han ikanapulo kag pito nga siglo, usa pa nga timaan ha dalan hini nga matagnaon nga linya amo an paghimo han King James Bible han 1611. Hito nga linya inabot kita ha kataposan ngadto ha timaan ha dalan han mga lagda ni Miller ha matagnaon nga paghubad. Hi Miller usa nga timaan ha dalan hito nga linya han kamatuoran, ngan sugad man an iya mga lagda. An iya mga lagda nagpapamatuod han usa nga timaan ha dalan ha kataposan han Adventismo nga ginrerepresentaran han pagpublikar han Prophetic Keys.</w:t>
      </w:r>
    </w:p>
    <w:p>
      <w:pPr>
        <w:pStyle w:val="ArticleBody"/>
        <w:jc w:val="left"/>
      </w:pPr>
      <w:r>
        <w:rPr>
          <w:rFonts w:ascii="Times New Roman" w:hAnsi="Times New Roman" w:eastAsia="Times New Roman" w:cs="Times New Roman"/>
        </w:rPr>
        <w:t>Агар биз Миллернинг қоидалари Муқаддас Китобнинг асл ва тўғри матнларини сақлаб қолишга оид ишни, шунингдек Муқаддас Китобнинг ҳақиқий тушунчасини очиб бериш ишини ифодаловчи пайғамбарлик тарихининг бир чизиғидаги белги эканини, ва бу эса ислоҳотчиларнинг «тарихийчилик» деб аталадиган муқаддас тадқиқот услубини англаш ва қўллашга етакланганини тушунмасак, у ҳолда Адвентизмнинг охирида учинчи фариштанинг нурини тақдим этиш ва сақлаб қолиш ишига боғлиқ пайғамбарлик ҳақиқатларини таниб олиш учун зарур бўлган маълумотдан маҳрум бўламиз. Шу сабабли, ўша тарих чизиғини қисқача кўриб чиқиш муҳимдир.</w:t>
      </w:r>
    </w:p>
    <w:p>
      <w:pPr>
        <w:pStyle w:val="ArticleBody"/>
        <w:jc w:val="left"/>
      </w:pPr>
      <w:r>
        <w:rPr>
          <w:rFonts w:ascii="Times New Roman" w:hAnsi="Times New Roman" w:eastAsia="Times New Roman" w:cs="Times New Roman"/>
        </w:rPr>
        <w:t>Ҳар бир “Протестант” сўзининг ягона ҳақиқий таърифи — Римга қарши норозилик билдирмоқдир. Агар жамоат Римга қарши норозилик билдиришдан тўхтаса, у энди Протестант бўлмайди ва биринчи фариштанинг хабарини рад этган протестантлар каби Римнинг қизи бўлиб қолади. Католик черковидан чиққан протестантларнинг “шиори”га айланган асосий тушунча “Муқаддас Китоб ва фақат Муқаддас Китоб” эди. Бироқ тарих шуни тасдиқлайдики, Муқаддас Китобни тўғри тақсим қилиш лозим эди.</w:t>
      </w:r>
    </w:p>
    <w:p>
      <w:pPr>
        <w:pStyle w:val="ArticleScripture"/>
        <w:jc w:val="left"/>
      </w:pPr>
      <w:r>
        <w:rPr>
          <w:rFonts w:ascii="Times New Roman" w:hAnsi="Times New Roman" w:eastAsia="Times New Roman" w:cs="Times New Roman"/>
        </w:rPr>
        <w:t>Fais tous tes efforts pour te présenter devant Dieu comme un homme éprouvé, un ouvrier qui n’a point à rougir, dispensant droitement la parole de la vérité. Mais évite les discours profanes et vains; car ceux qui les tiennent avanceront toujours plus dans l’impiété. 2 Timothée 2:15, 16.</w:t>
      </w:r>
    </w:p>
    <w:p>
      <w:pPr>
        <w:pStyle w:val="ArticleBody"/>
        <w:jc w:val="left"/>
      </w:pPr>
      <w:r>
        <w:rPr>
          <w:rFonts w:ascii="Times New Roman" w:hAnsi="Times New Roman" w:eastAsia="Times New Roman" w:cs="Times New Roman"/>
        </w:rPr>
        <w:t>Metòd etid biblik ke Pwotestan yo te mennen sèvi avè l nan efò yo pou byen separe pawòl verite a se “istorisis.” Metòd sa a te yon sib presi e grav pou Satan atake, e li te atake l vre.</w:t>
      </w:r>
    </w:p>
    <w:p>
      <w:pPr>
        <w:pStyle w:val="ArticleScripture"/>
        <w:jc w:val="left"/>
      </w:pPr>
      <w:r>
        <w:rPr>
          <w:rFonts w:ascii="Times New Roman" w:hAnsi="Times New Roman" w:eastAsia="Times New Roman" w:cs="Times New Roman"/>
        </w:rPr>
        <w:t>« Nous devrions savoir par nous-mêmes ce qui constitue le christianisme, ce qu’est la vérité, quelle est la foi que nous avons reçue, quelles sont les règles de la Bible — les règles qui nous ont été données par la plus haute autorité. » The 1888 Materials, 403.</w:t>
      </w:r>
    </w:p>
    <w:p>
      <w:pPr>
        <w:pStyle w:val="ArticleBody"/>
        <w:jc w:val="left"/>
      </w:pPr>
      <w:r>
        <w:rPr>
          <w:rFonts w:ascii="Times New Roman" w:hAnsi="Times New Roman" w:eastAsia="Times New Roman" w:cs="Times New Roman"/>
        </w:rPr>
        <w:t>L’affaiblissement de la méthodologie biblique employée par les Réformateurs jusqu’à William Miller inclus est expressément identifié comme ayant commencé au XVe siècle avec un érudit jésuite nommé Francisco Ribera (1537–1591), à qui l’on attribue la popularisation de l’interprétation futuriste. Il rédigea un commentaire sur le livre de l’Apocalypse dans lequel il proposait une interprétation futuriste des prophéties, les éloignant de leur contexte historique. Ribera inventa cette méthodologie dans le but de résister à la vérité que la méthodologie de l’historicisme produisait toujours. Cette vérité était que le pape de Rome est l’antichrist de la prophétie biblique.</w:t>
      </w:r>
    </w:p>
    <w:p>
      <w:pPr>
        <w:pStyle w:val="ArticleBody"/>
        <w:jc w:val="left"/>
      </w:pPr>
      <w:r>
        <w:rPr>
          <w:rFonts w:ascii="Times New Roman" w:hAnsi="Times New Roman" w:eastAsia="Times New Roman" w:cs="Times New Roman"/>
        </w:rPr>
        <w:t>Aux dix-septième et dix-huitième siècles, il est possible d’établir par des documents que le protestantisme savait que la fausse méthodologie de Ribera était satanique et dépourvue de solidité. Les protestants de cette époque ont écrit des livres et des traités pour s’opposer aux « discours profanes et vains » de ce savant jésuite. Mais en 1909 fut publiée le cheval de Troie, la Scofield Reference Bible, et les références insérées dans les notes de bas de page de cette Bible étaient fondées sur les enseignements de Ribera et d’un autre jésuite nommé Manuel Lacunza (1731–1801). Lacunza écrivit sous le nom de plume de Juan Josafat Ben-Ezra et publia un livre intitulé The Coming of the Messiah in Glory and Majesty. À l’exemple de Ribera avant lui, ce livre constituait une attaque directe contre l’accomplissement des prophéties du livre de l’Apocalypse.</w:t>
      </w:r>
    </w:p>
    <w:p>
      <w:pPr>
        <w:pStyle w:val="ArticleBody"/>
        <w:jc w:val="left"/>
      </w:pPr>
      <w:r>
        <w:rPr>
          <w:rFonts w:ascii="Times New Roman" w:hAnsi="Times New Roman" w:eastAsia="Times New Roman" w:cs="Times New Roman"/>
        </w:rPr>
        <w:t>Satan savait que le message qu’il devait obscurcir par la confusion était le message d’avertissement final provenant du livre de l’Apocalypse. En incorporant les discours profanes et vains des deux prêtres jésuites dans les annotations de la Bible de référence Scofield, Satan put amener les protestants apostats à accepter les méthodologies jésuites, les aveuglant ainsi à la vérité. Satan y parvint en introduisant plusieurs modèles prophétiques catholiques qui ôtaient la possibilité d’identifier clairement qui est l’antichrist de la prophétie biblique. Ce ne fut pas une tromperie difficile pour Satan, car les protestants étaient déjà retournés à l’Église romaine par leur rejet du message de Miller en 1843.</w:t>
      </w:r>
    </w:p>
    <w:p>
      <w:pPr>
        <w:pStyle w:val="ArticleBody"/>
        <w:jc w:val="left"/>
      </w:pPr>
      <w:r>
        <w:rPr>
          <w:rFonts w:ascii="Times New Roman" w:hAnsi="Times New Roman" w:eastAsia="Times New Roman" w:cs="Times New Roman"/>
        </w:rPr>
        <w:t>Pluraj libroj kaj artikoloj estis publikigitaj tra la jaroj, kiuj dokumentas la atakon de Satano kontraŭ la Biblio, kiu komenciĝis en la unuaj jarcentoj post la krucumo de Kristo. Tiu atako atingis tian gradon, ke falsitaj manuskriptoj estis enkondukitaj por produkti falsitajn Bibliojn. Satano atakis ankaŭ la reformantojn, kiuj estis starigitaj por subteni la vorton de Dio dum sia vivo kaj eĉ post la morto de tiuj Reformantoj.</w:t>
      </w:r>
    </w:p>
    <w:p>
      <w:pPr>
        <w:pStyle w:val="ArticleBody"/>
        <w:jc w:val="left"/>
      </w:pPr>
      <w:r>
        <w:rPr>
          <w:rFonts w:ascii="Times New Roman" w:hAnsi="Times New Roman" w:eastAsia="Times New Roman" w:cs="Times New Roman"/>
        </w:rPr>
        <w:t>Fikiria tu jinsi wanahistoria na wanatheolojia wa kisasa wa Waadventista Wasabato wanavyoishughulikia mada ya William Miller. Ni kana kwamba walifukua mifupa yake na kuitupa katika Mto Mississippi.</w:t>
      </w:r>
    </w:p>
    <w:p>
      <w:pPr>
        <w:pStyle w:val="ArticleScripture"/>
        <w:jc w:val="left"/>
      </w:pPr>
      <w:r>
        <w:rPr>
          <w:rFonts w:ascii="Times New Roman" w:hAnsi="Times New Roman" w:eastAsia="Times New Roman" w:cs="Times New Roman"/>
        </w:rPr>
        <w:t>« William Miller troublait le royaume de Satan, et l’ennemi acharné cherchait non seulement à neutraliser l’effet du message, mais encore à détruire le messager lui-même. Lorsque le père Miller appliquait d’une manière pratique la vérité des Écritures aux cœurs de ses auditeurs, la fureur de ceux qui se disaient chrétiens s’enflammait contre lui, tout comme la colère des Juifs s’était excitée contre le Christ et ses apôtres. Des membres d’Église soulevèrent les classes les plus viles, et, à plusieurs reprises, des ennemis complotèrent de lui ôter la vie à sa sortie du lieu de réunion. Mais de saints anges se trouvaient dans la foule, et l’un d’eux, sous la forme d’un homme, prit le bras de ce serviteur du Seigneur et le conduisit sain et sauf hors de la foule en colère. Son œuvre n’était pas encore achevée, et Satan ainsi que ses émissaires furent déçus dans leur dessein. » Spirit of Prophecy, volume 4, 219.</w:t>
      </w:r>
    </w:p>
    <w:p>
      <w:pPr>
        <w:pStyle w:val="ArticleBody"/>
        <w:jc w:val="left"/>
      </w:pPr>
      <w:r>
        <w:rPr>
          <w:rFonts w:ascii="Times New Roman" w:hAnsi="Times New Roman" w:eastAsia="Times New Roman" w:cs="Times New Roman"/>
        </w:rPr>
        <w:t>Examinez comment ces deux mêmes catégories de l’adventisme (les théologiens et les historiens) ont minimisé et dissimulé la validité des règles de Miller, que Sœur White nous indique comme devant être employées par tous ceux qui proclament réellement les messages des trois anges.</w:t>
      </w:r>
    </w:p>
    <w:p>
      <w:pPr>
        <w:pStyle w:val="ArticleScripture"/>
        <w:jc w:val="left"/>
      </w:pPr>
      <w:r>
        <w:rPr>
          <w:rFonts w:ascii="Times New Roman" w:hAnsi="Times New Roman" w:eastAsia="Times New Roman" w:cs="Times New Roman"/>
        </w:rPr>
        <w:t>« Ceux qui sont engagés dans la proclamation du message du troisième ange sondent les Écritures selon le même principe que celui qu’adopta le Père Miller. Dans le petit ouvrage intitulé Views of the Prophecies and Prophetic Chronology, le Père Miller énonce les règles suivantes, simples, intelligentes et importantes, pour l’étude et l’interprétation de la Bible : — »</w:t>
      </w:r>
    </w:p>
    <w:p>
      <w:pPr>
        <w:pStyle w:val="ArticleScripture"/>
        <w:jc w:val="left"/>
      </w:pPr>
      <w:r>
        <w:rPr>
          <w:rFonts w:ascii="Times New Roman" w:hAnsi="Times New Roman" w:eastAsia="Times New Roman" w:cs="Times New Roman"/>
        </w:rPr>
        <w:t>«[Naɗɗaaji go'o haa jowi ɗii eƴƴitaaɗi.]»</w:t>
      </w:r>
    </w:p>
    <w:p>
      <w:pPr>
        <w:pStyle w:val="ArticleScripture"/>
        <w:jc w:val="left"/>
      </w:pPr>
      <w:r>
        <w:rPr>
          <w:rFonts w:ascii="Times New Roman" w:hAnsi="Times New Roman" w:eastAsia="Times New Roman" w:cs="Times New Roman"/>
        </w:rPr>
        <w:t>« Ce qui précède n’est qu’une partie de ces règles; et, dans notre étude de la Bible, nous ferons tous bien de prendre garde aux principes exposés. » Review and Herald, 25 novembre 1884.</w:t>
      </w:r>
    </w:p>
    <w:p>
      <w:pPr>
        <w:pStyle w:val="ArticleBody"/>
        <w:jc w:val="left"/>
      </w:pPr>
      <w:r>
        <w:rPr>
          <w:rFonts w:ascii="Times New Roman" w:hAnsi="Times New Roman" w:eastAsia="Times New Roman" w:cs="Times New Roman"/>
        </w:rPr>
        <w:t>Sans examiner les trois fils de la ligne de l’histoire prophétique associés au développement et à l’établissement de la Parole de Dieu, il est impossible de discerner la portée d’un témoignage majeur destiné à soutenir William Miller comme le messager qui fut préfiguré par Élie dans sa présentation du message, et comme Moïse dans la promesse du relèvement de Miller lors de la résurrection des justes, et comme Élisée dans sa disposition à quitter sa ferme et à se mettre au service du message d’Élie. Sœur White identifie ces trois héros bibliques comme préfigurant William Miller, lequel est aujourd’hui traité par les théologiens et historiens adventistes modernes comme s’il n’avait été qu’un simple « pauvre garçon de ferme » du dix-huitième siècle.</w:t>
      </w:r>
    </w:p>
    <w:p>
      <w:pPr>
        <w:pStyle w:val="ArticleBody"/>
        <w:jc w:val="left"/>
      </w:pPr>
      <w:r>
        <w:rPr>
          <w:rFonts w:ascii="Times New Roman" w:hAnsi="Times New Roman" w:eastAsia="Times New Roman" w:cs="Times New Roman"/>
        </w:rPr>
        <w:t>William Tyndale était l’un des nombreux réformateurs suscités dans cette ligne de l’histoire prophétique. Si je puis m’exprimer ainsi, sa « déclaration de mission » face aux ambassadeurs du pape avec lesquels il était en relation était : « Je ferai en sorte que le garçon qui conduit la charrue connaisse davantage les Écritures que vous. » William Miller était le garçon de ferme qui conduisait la charrue et qui accomplit la prophétie de Tyndale.</w:t>
      </w:r>
    </w:p>
    <w:p>
      <w:pPr>
        <w:pStyle w:val="ArticleBody"/>
        <w:jc w:val="left"/>
      </w:pPr>
      <w:r>
        <w:rPr>
          <w:rFonts w:ascii="Times New Roman" w:hAnsi="Times New Roman" w:eastAsia="Times New Roman" w:cs="Times New Roman"/>
        </w:rPr>
        <w:t>Nkọwa mmalite a ebelatala nke ukwuu n’ihe metụtara akụkọ ihe mere eme niile e pụrụ iweta iji kwado ihe anyị egosila ruo ugbu a. Ugbu a, anyị ga-atụle ụfọdụ akara nke Alfa na Omega iji duru anyị azụ n’ịtụle Miller dịka ihe ịrịba ama n’ụzọ na onye-ozi.</w:t>
      </w:r>
    </w:p>
    <w:p>
      <w:pPr>
        <w:pStyle w:val="ArticleBody"/>
        <w:jc w:val="left"/>
      </w:pPr>
      <w:r>
        <w:rPr>
          <w:rFonts w:ascii="Times New Roman" w:hAnsi="Times New Roman" w:eastAsia="Times New Roman" w:cs="Times New Roman"/>
        </w:rPr>
        <w:t>Le livre de Daniel est le commencement d’un livre composé de deux livres. La fin de ce livre est le livre de l’Apocalypse. Bien qu’ils soient deux livres distincts, ensemble ils représentent un seul livre.</w:t>
      </w:r>
    </w:p>
    <w:p>
      <w:pPr>
        <w:pStyle w:val="ArticleBody"/>
        <w:jc w:val="left"/>
      </w:pPr>
      <w:r>
        <w:rPr>
          <w:rFonts w:ascii="Times New Roman" w:hAnsi="Times New Roman" w:eastAsia="Times New Roman" w:cs="Times New Roman"/>
        </w:rPr>
        <w:t>سالن‌ها پیش، من درگیر تعاملی علنی با یک الهی‌دان نام‌آشنای ادونتیست روز هفتم شدم که در مؤسسهٔ پژوهش کتاب‌مقدسیِ کنفرانس عمومیِ کلیسای ادونتیست روز هفتم خدمت می‌کرد. آن الهی‌دان در پی آن بود که برداشت مرا از شش آیهٔ آخر دانیال یازده، و نیز فهم مرا از «روزانه» در کتاب دانیال، اصلاح کند. در این تعامل، که در طی مدتی ادامه یافت، زیرا از نگارش مقاله‌ای از سوی او تشکیل می‌شد که من به آن پاسخ دادم، سپس او در جواب آن نوشت، و آنگاه البته من نیز دیدگاه‌های خود را بازگرداندم، و این روند همچنان ادامه یافت. او در خلال این تعامل به من اطلاع داد که در کمیته‌ای که در کنفرانس عمومی در آن خدمت می‌کرد، او را کارشناس کتاب دانیال می‌دانستند، و یکی از همکارانش را نیز کارشناس مقیمِ کتاب مکاشفه به شمار می‌آوردند. در تعاملات ما او نمی‌خواست به نکات مربوط به کتاب مکاشفه بپردازد، بلکه ترجیح می‌داد آنها را به همکار خود ارجاع دهد. او می‌خواست بحث را تنها در کتاب دانیال محدود نگه دارد.</w:t>
      </w:r>
    </w:p>
    <w:p>
      <w:pPr>
        <w:pStyle w:val="ArticleBody"/>
        <w:jc w:val="left"/>
      </w:pPr>
      <w:r>
        <w:rPr>
          <w:rFonts w:ascii="Times New Roman" w:hAnsi="Times New Roman" w:eastAsia="Times New Roman" w:cs="Times New Roman"/>
        </w:rPr>
        <w:t>Syster White är tydlig med att Daniel och Uppenbarelseboken är en bok. På den nivån representerar de Bibeln, som är en bok sammansatt av två böcker, den gamla och den nya. Syster White kommenterar också den judiska församlingen, som endast betraktar den gamla boken som den ena boken, och hon kommenterar även dem som åsidosätter den gamla boken, eftersom de endast förstår eller endast är villiga att förstå den nya boken. Hennes inspirerade vittnesbörd är att om du endast godtar det nya, då förkastar du det gamla, och vice versa. Att teologen gör anspråk på att vara expert på Daniel, men inte på Uppenbarelseboken, är att upprepa det judiska begreppet att endast godta Gamla testamentet, och vi vet vart den trånga uppfattningen ledde judarna. Att inta endera sidan i denna fråga; att godta det gamla och inte det nya, eller att godta det nya men inte det gamla, är att förkasta hela vittnesbördet.</w:t>
      </w:r>
    </w:p>
    <w:p>
      <w:pPr>
        <w:pStyle w:val="ArticleScripture"/>
        <w:jc w:val="left"/>
      </w:pPr>
      <w:r>
        <w:rPr>
          <w:rFonts w:ascii="Times New Roman" w:hAnsi="Times New Roman" w:eastAsia="Times New Roman" w:cs="Times New Roman"/>
        </w:rPr>
        <w:t>“Umhlengi wabuza kubafundi bakhe ukuthi ngabe baziqonda yini lezi zinto. Baphendula bathi, ‘Yebo, Nkosi. Wayesethi kubo, Ngakho-ke wonke umbhali ofundiselwe umbuso waseZulwini unjengomuntu ongumninindlu, okhipha engcebweni yakhe izinto ezintsha nezindala.’ Kulo mfanekiso, uJesu wabeka phambi kwabafundi bakhe umthwalo walabo umsebenzi wabo okuwukunika izwe ukukhanya abakwamukele kuye. ITesitamente Elidala yilo lonke iBhalo elalikhona ngaleso sikhathi; kodwa alizange lilotshelwe abantu basendulo kuphela; lalenzelwe zonke izikhathi nabantu bonke. UJesu wayefuna ukuba abafundisi bemfundiso yakhe bayiphenye ngenkuthalo iTestamente Elidala befuna lokho kukhanya okuqinisekisa ubuwena bakhe njengoMesiya owabikezelwa esiprofethweni, nokwembula isimo senjongo yakhe emhlabeni. ITestamente Elidala neLisha akunakwehlukaniswa, ngokuba kokubili kuyizimfundiso zikaKristu. Imfundiso yamaJuda, amukela iTestamente Elidala kuphela, ayisi ekusindisweni, njengoba enqaba uMsindisi okwakuthi ukuphila nenkonzo yakhe kube ukugcwaliseka komthetho neziprofetho. Futhi imfundiso yalabo abalilahla iTestamente Elidala ayisi ekusindisweni, ngoba yenqaba lokho okuwubufakazi obuqondile ngoKristu. Abangabazayo baqala ngokweyisa iTestamente Elidala, futhi kudingeka esinye isinyathelo kuphela ukuphika ubuqiniso beLisha, ngaleyo ndlela kokubili kuyaliwa.”</w:t>
      </w:r>
    </w:p>
    <w:p>
      <w:pPr>
        <w:pStyle w:val="ArticleScripture"/>
        <w:jc w:val="left"/>
      </w:pPr>
      <w:r>
        <w:rPr>
          <w:rFonts w:ascii="Times New Roman" w:hAnsi="Times New Roman" w:eastAsia="Times New Roman" w:cs="Times New Roman"/>
        </w:rPr>
        <w:t>“Farisawan suna da ɗan tasiri kaɗan a kan duniyar Kirista wajen nuna musu muhimmancin dokoki, har da doka mai ɗaurewa ta Asabbaci, domin sa’ad da suke fito da tsofaffin taskokin gaskiya, suna watsar da sababbin a cikin koyarwar Yesu ta kansa. A gefe guda kuma, dalili mafi ƙarfi da ya sa Kiristoci suka kasa yin tasiri a kan Farisawan su karɓi koyarwar Almasihu a matsayin harshen hikimar Allahntaka, shi ne cewa, sa’ad da suke fito da taskokin kalmarsa, suna reni da arzikin Tsohon Alkawari, waɗanda su ne koyarwar farko-farko ta Sonan Allah ta bakin Musa. Suna ƙin dokar da aka shelanta daga Sinai, da Asabbacin doka ta huɗu, wanda aka kafa a gonar Adnin. Amma mai wa’azin bishara, wanda yake bin koyarwar Almasihu, zai sami cikakkiyar sanin Tsohon Alkawari da Sabon Alkawari gaba ɗaya, domin ya gabatar da su ga mutane cikin haskensu na gaskiya a matsayin abu guda marar rabuwa—ɗayan yana dogara ga ɗayan kuma yana haskaka ɗayan. Ta haka ne, kamar yadda Yesu ya koyar da almajiransa, za su fito da ‘sabbi da tsofaffi’ daga taskarsu.” Spirit of Prophecy, volume 2, 255.</w:t>
      </w:r>
    </w:p>
    <w:p>
      <w:pPr>
        <w:pStyle w:val="ArticleBody"/>
        <w:jc w:val="left"/>
      </w:pPr>
      <w:r>
        <w:rPr>
          <w:rFonts w:ascii="Times New Roman" w:hAnsi="Times New Roman" w:eastAsia="Times New Roman" w:cs="Times New Roman"/>
        </w:rPr>
        <w:t>Le conseil précédent a une autre application pour les Adventistes laodicéens. Professer croire à la Bible dans son intégralité, à la fois l’Ancien et le Nouveau Testament, tout en rejetant l’Esprit de Prophétie, constitue le même fossé que d’accepter un seul témoignage. Deux témoins sont requis pour établir la vérité; il est donc impossible d’établir la vérité avec un seul témoin, et si quelqu’un tente de le faire, il rejette les deux témoins; il fonde sa foi sur ce qu’on appelle des « demi-vérités ».</w:t>
      </w:r>
    </w:p>
    <w:p>
      <w:pPr>
        <w:pStyle w:val="ArticleBody"/>
        <w:jc w:val="left"/>
      </w:pPr>
      <w:r>
        <w:rPr>
          <w:rFonts w:ascii="Times New Roman" w:hAnsi="Times New Roman" w:eastAsia="Times New Roman" w:cs="Times New Roman"/>
        </w:rPr>
        <w:t>Nowa mɛsan bebusɛm bi a na ɛwɔ nsɛm a edi kan a efi July, 2023 reba no mu no bio. Asɛmmisa no ne sɛ, “Hann foforo bɛn na afi Adventism mu aba fi 1863?” Mmuae no yɛ mmerɛw kɛkɛ sɛ, “Biara nni hɔ.”</w:t>
      </w:r>
    </w:p>
    <w:p>
      <w:pPr>
        <w:pStyle w:val="ArticleScripture"/>
        <w:jc w:val="left"/>
      </w:pPr>
      <w:r>
        <w:rPr>
          <w:rFonts w:ascii="Times New Roman" w:hAnsi="Times New Roman" w:eastAsia="Times New Roman" w:cs="Times New Roman"/>
        </w:rPr>
        <w:t>« Liv Daniel ak l’Apocalypse i fer enn sel. Enn li enn profesi, lot-la enn revelasion; enn enn liv sele, lot-la enn liv ouver. Zan ti tann bann mister ki bann tonner ti proklame, me ti komann li pou pa ekrir zot. » Seventh-day Adventist Bible Commentary, volume 7, 971.</w:t>
      </w:r>
    </w:p>
    <w:p>
      <w:pPr>
        <w:pStyle w:val="ArticleBody"/>
        <w:jc w:val="left"/>
      </w:pPr>
      <w:r>
        <w:rPr>
          <w:rFonts w:ascii="Times New Roman" w:hAnsi="Times New Roman" w:eastAsia="Times New Roman" w:cs="Times New Roman"/>
        </w:rPr>
        <w:t>The Alpha and Omega nao ka ba supwɛɛ sɛ Daniel ne nea edi kan na Adiyisɛm ne nea etwa to. Daniel gyina hɔ ma Adventism mfiase, na Adiyisɛm gyina hɔ ma Adventism awiei.</w:t>
      </w:r>
    </w:p>
    <w:p>
      <w:pPr>
        <w:pStyle w:val="ArticleScripture"/>
        <w:jc w:val="left"/>
      </w:pPr>
      <w:r>
        <w:rPr>
          <w:rFonts w:ascii="Times New Roman" w:hAnsi="Times New Roman" w:eastAsia="Times New Roman" w:cs="Times New Roman"/>
        </w:rPr>
        <w:t>«L’Apocalypse est un livre scellé, mais c’est aussi un livre ouvert. Il relate des événements merveilleux qui doivent se produire dans les derniers jours de l’histoire de cette terre. Les enseignements de ce livre sont précis, non mystiques et inintelligibles. On y retrouve la même ligne prophétique que dans Daniel. Certaines prophéties, Dieu les a répétées, montrant ainsi qu’il faut leur accorder de l’importance. Le Seigneur ne répète pas des choses qui sont sans grande conséquence.» Manuscript Releases, vol. 9, p. 8.</w:t>
      </w:r>
    </w:p>
    <w:p>
      <w:pPr>
        <w:pStyle w:val="ArticleBody"/>
        <w:jc w:val="left"/>
      </w:pPr>
      <w:r>
        <w:rPr>
          <w:rFonts w:ascii="Times New Roman" w:hAnsi="Times New Roman" w:eastAsia="Times New Roman" w:cs="Times New Roman"/>
        </w:rPr>
        <w:t>V počátcích adventismu, právě ve verších, které jsou ústředním pilířem adventismu, ve verších, jež byly odpečetěny roku 1798, se Ježíš představil jako „Palmoni“, Podivuhodný Počtář. Na konci adventismu se Ježíš představuje jako „Alfa i Omega“, podivuhodný jazykovědec — Slovo Boží. Z tohoto důvodu byl počátek adventismu i poselství prvního anděla „zavěšen na čase“. Na konci adventismu bude poselství třetího anděla zavěšeno na Jeho Slově.</w:t>
      </w:r>
    </w:p>
    <w:p>
      <w:pPr>
        <w:pStyle w:val="ArticleBody"/>
        <w:jc w:val="left"/>
      </w:pPr>
      <w:r>
        <w:rPr>
          <w:rFonts w:ascii="Times New Roman" w:hAnsi="Times New Roman" w:eastAsia="Times New Roman" w:cs="Times New Roman"/>
        </w:rPr>
        <w:t>Mwanzo na mwisho wa Uadventista hutokea katika kipindi cha historia ya ufalme wa sita wa unabii wa Biblia; kwa hiyo hutokea katika mwanzo na mwisho wa Marekani. Historia ya kinabii ya Marekani ni historia ya pembe mbili za Urepublikanismo na Uprotestanti. Katika hitimisho la historia hiyo, pembe hizo mbili zitakuwa zimebadilika kutoka mwana-kondoo na kuwa joka. Urepublikanismo utageuka kuwa demokrasia, na Uprotestanti utageuka kuwa Uprotestanti ulioasi. Wakati kikombe cha muda wa rehema kwa Marekani kinapoanza kufikia mwisho wake, kama inavyotokea sasa hivi, pembe mbili za Urepublikanismo ulioasi na Uprotestanti ulioasi zitatengeneza sanamu ya mnyama, hivyo zikiunganisha kanisa na serikali kuwa pembe moja inayosema kama joka. Lakini Mungu hataachwa bila shahidi, kwa maana katika mchakato wa kuifikisha Marekani kwenye hitimisho lake, atainua pembe ya kweli ya Uprotestanti ili ipinge sanamu ya mnyama nchini Marekani, na baadaye sanamu ya mnyama inayoukabili ulimwengu wote. Kuinuliwa kwa pembe ya Kiprotestanti mwishoni mwa Marekani kutatimizwa ndani ya muundo uleule wa kihistoria ambao ndani yake pembe ya Kiprotestanti iliinuliwa hapo mwanzo wa Marekani. Watu wa agano wa zamani watapitiliwa mbali, na watu wapya watakuwa watu wapya wa agano. Hakuna jambo jipya chini ya jua.</w:t>
      </w:r>
    </w:p>
    <w:p>
      <w:pPr>
        <w:pStyle w:val="ArticleBody"/>
        <w:jc w:val="left"/>
      </w:pPr>
      <w:r>
        <w:rPr>
          <w:rFonts w:ascii="Times New Roman" w:hAnsi="Times New Roman" w:eastAsia="Times New Roman" w:cs="Times New Roman"/>
        </w:rPr>
        <w:t>Lorsque nous employons les prophéties de temps telles qu’elles ont été comprises et présentées dans l’histoire millérite pour évaluer l’Alpha et l’Oméga, nous constatons qu’ils sont une seule et même chose. Toute prophétie de temps commence par une histoire au cours de laquelle la prophétie est proclamée, et cette histoire typifie toujours l’histoire dans laquelle la prophétie s’accomplit.</w:t>
      </w:r>
    </w:p>
    <w:p>
      <w:pPr>
        <w:pStyle w:val="ArticleBody"/>
        <w:jc w:val="left"/>
      </w:pPr>
      <w:r>
        <w:rPr>
          <w:rFonts w:ascii="Times New Roman" w:hAnsi="Times New Roman" w:eastAsia="Times New Roman" w:cs="Times New Roman"/>
        </w:rPr>
        <w:t>L’historique de la prophétie des deux mille trois cents années commença avec le troisième décret, en 457 av. J.-C., et s’acheva avec le message du troisième ange, le 22 octobre 1844. Dans la période qui précéda, mais avant l’arrivée du troisième décret, l’œuvre de l’édification du temple et de Jérusalem fut accomplie. De même, dans l’histoire qui mena jusqu’à l’arrivée du troisième ange, les vérités fondamentales du temple millérite furent établies.</w:t>
      </w:r>
    </w:p>
    <w:p>
      <w:pPr>
        <w:pStyle w:val="ArticleBody"/>
        <w:jc w:val="left"/>
      </w:pPr>
      <w:r>
        <w:rPr>
          <w:rFonts w:ascii="Times New Roman" w:hAnsi="Times New Roman" w:eastAsia="Times New Roman" w:cs="Times New Roman"/>
        </w:rPr>
        <w:t>I te 1798 ka tutuki te poropititanga e rua mano e rima rau e rua tekau tau, i tīmata rā i te 723 BC i te whakamararatanga o ngā iwi tekau o te raki. I tautohu taua poropititanga i ngā wā e rua, e kotahi mano e rua rau e ono tekau tau te roa o ia wā, e tohu ana i te takahia iho o te temepara tūturu me Hiruharama tūturu e Roma etene tūturu, ā, ka whai mai ko ngā tau kotahi mano e rua rau e ono tekau i takahia iho ai e Roma pāpa te pā wairua me te temepara wairua. I tīmata te poropititanga i te whakangaromanga o te rangatiratanga o te raki me te whakamararatanga o ngā tāngata nō taua rangatiratanga. I waenganui pū o te poropititanga, arā, i te 538, ka tohua te mutunga o te takahi iho i te iwi o te Atua e Roma etene, te rangatiratanga tuawhā o te poropititanga Paipera, ā, ka hua mai ko te whakamararatanga o te hāhi o te Atua ki te koraha o ngā Rautau Pōuri. Ko te mutunga o taua poropititanga wā i te 1798 e tohu ana i te mutunga o te rangatiratanga tuarima o te poropititanga Paipera. Ko te whakamararatanga o ngā iwi tekau o te raki, me tō te hāhi Karaitiana i rere ki te koraha, hei tohu mō te whakahiato mai o te hunga kua whakaritea kia noho hei haona o te Porotetani. He maha ngā wā e whakaaturia ana ngā tohu wā mā ngā ritenga taupatupatu, ā, ka taea e te whakamararatanga te tohu i te whakahiatotanga mai, pēnei me Īraia e tohu ana i a Hoani Kaiiriiri. I roto anō i taua tūtakinga poropiti, kāore a Īraia e mate, engari ka mate a Hoani Kaiiriiri.</w:t>
      </w:r>
    </w:p>
    <w:p>
      <w:pPr>
        <w:pStyle w:val="ArticleBody"/>
        <w:jc w:val="left"/>
      </w:pPr>
      <w:r>
        <w:rPr>
          <w:rFonts w:ascii="Times New Roman" w:hAnsi="Times New Roman" w:eastAsia="Times New Roman" w:cs="Times New Roman"/>
        </w:rPr>
        <w:t>Em 677 a.C., a tribo meridional de Judá (também identificada nas Escrituras como a terra gloriosa) foi dispersa por dois mil quinhentos e vinte anos, terminando em 22 de outubro de 1844. Essa profecia identificava o pisoteamento do povo de Deus, a quem Daniel identifica como o “exército” em Daniel 8:13, 14.</w:t>
      </w:r>
    </w:p>
    <w:p>
      <w:pPr>
        <w:pStyle w:val="ArticleScripture"/>
        <w:jc w:val="left"/>
      </w:pPr>
      <w:r>
        <w:rPr>
          <w:rFonts w:ascii="Times New Roman" w:hAnsi="Times New Roman" w:eastAsia="Times New Roman" w:cs="Times New Roman"/>
        </w:rPr>
        <w:t>Puis j’entendis un saint qui parlait; et un autre saint dit à celui qui parlait: Jusques à quand durera la vision concernant le sacrifice perpétuel et la transgression dévastatrice, livrant à la fois le sanctuaire et l’armée pour être foulés aux pieds? Et il me dit: Jusqu’à deux mille trois cents jours; puis le sanctuaire sera purifié. Daniel 8:13, 14.</w:t>
      </w:r>
    </w:p>
    <w:p>
      <w:pPr>
        <w:pStyle w:val="ArticleBody"/>
        <w:jc w:val="left"/>
      </w:pPr>
      <w:r>
        <w:rPr>
          <w:rFonts w:ascii="Times New Roman" w:hAnsi="Times New Roman" w:eastAsia="Times New Roman" w:cs="Times New Roman"/>
        </w:rPr>
        <w:t>Annabiyiy 2300 ee ku dhammaaday isla wakhtigii ay ku dhammaatay annabiyaddii 2520 ee ka bilaabatay 677 BC, waxa ay tilmaamaysay ku tuntidda meesha quduuska ah sida lagu aqoonsaday Daanyeel 8:13, 14. Annabiyaddii kala firdhinta Yahuudah ee 677 BC waxa ka horraysay saddex weerar oo Nebukhadnesar qaaday, oo annabiyadduna waxay ku dhammaatay imaatinka farriintii saddexaad 22-ka Oktoobar, 1844.</w:t>
      </w:r>
    </w:p>
    <w:p>
      <w:pPr>
        <w:pStyle w:val="ArticleBody"/>
        <w:jc w:val="left"/>
      </w:pPr>
      <w:r>
        <w:rPr>
          <w:rFonts w:ascii="Times New Roman" w:hAnsi="Times New Roman" w:eastAsia="Times New Roman" w:cs="Times New Roman"/>
        </w:rPr>
        <w:t>I profeci dei due periodi di duemilacinquecentoventi anni, che terminano rispettivamente nel 1798 e nel 1844, identificano i quarantasei anni della costruzione delle fondamenta del tempio millerita. Mosè rimase quarantasei giorni a ricevere istruzioni per la costruzione del tempio; il rifacimento del tempio di Erode al tempo di Cristo richiese quarantasei anni, i quali terminarono nell’anno del battesimo di Cristo. Dal battesimo Egli andò nel deserto per quaranta giorni e, al suo ritorno, purificò il tempio per la prima volta; allora i Giudei cavillosi vollero sapere con quale autorità facesse una tale cosa.</w:t>
      </w:r>
    </w:p>
    <w:p>
      <w:pPr>
        <w:pStyle w:val="ArticleScripture"/>
        <w:jc w:val="left"/>
      </w:pPr>
      <w:r>
        <w:rPr>
          <w:rFonts w:ascii="Times New Roman" w:hAnsi="Times New Roman" w:eastAsia="Times New Roman" w:cs="Times New Roman"/>
        </w:rPr>
        <w:t>Jewarnas paasafeest het naby gekom, en Jesus het opgegaan na Jerusalem. En Hy het in die tempel dié gevind wat beeste en skape en duiwe verkoop het, en die geldwisselaars wat daar sit. En nadat Hy ’n sweep van toutjies gemaak het, het Hy hulle almal uit die tempel uitgedryf, ook die skape en die beeste; en Hy het die geld van die wisselaars uitgegooi en die tafels omgekeer. En vir dié wat die duiwe verkoop het, het Hy gesê: Neem hierdie dinge hiervandaan weg; moenie die huis van my Vader ’n huis van handel maak nie. En sy dissipels het onthou dat daar geskrywe is: Die ywer vir u huis het My verteer. Toe antwoord die Jode en sê vir Hom: Watter teken toon U aan ons, aangesien U hierdie dinge doen? Jesus antwoord en sê vir hulle: Breek hierdie tempel af, en in drie dae sal Ek dit oprig. Toe sê die Jode: Ses-en-veertig jaar lank is aan hierdie tempel gebou, en sal U dit in drie dae oprig? Maar Hy het van die tempel van sy liggaam gespreek. Toe Hy dan uit die dode opgewek is, het sy dissipels onthou dat Hy dit vir hulle gesê het; en hulle het die Skrif geglo en die woord wat Jesus gespreek het. Johannes 2:13–22.</w:t>
      </w:r>
    </w:p>
    <w:p>
      <w:pPr>
        <w:pStyle w:val="ArticleBody"/>
        <w:jc w:val="left"/>
      </w:pPr>
      <w:r>
        <w:rPr>
          <w:rFonts w:ascii="Times New Roman" w:hAnsi="Times New Roman" w:eastAsia="Times New Roman" w:cs="Times New Roman"/>
        </w:rPr>
        <w:t>Lub tuam tsev Millerite raug tsa nyob rau hauv plaub caug rau xyoo txij li xyoo 1798, thaum xaus ntawm thawj zaj lus faj lem ob txhiab tsib puas nees nkaum xyoo, thiab xaus plaub caug rau xyoo tom qab ntawd thaum ua tiav ntawm zaj lus faj lem ob txhiab tsib puas nees nkaum xyoo thib ob hauv xyoo 1844. Plaub caug rau xyoo ntawd tau pib nrog kev tuaj txog ntawm tus tim tswv thawj thiab xaus nrog kev tuaj txog ntawm tus tim tswv thib peb, rau qhov Khetos tau hais tias Nws lub tuam tsev yuav raug tsa sawv rov los hauv peb hnub. Yog nej tsis kam pom cov tseeb no, ces yog vim muaj ob qho teeb meem tseem ceeb ntxiv rau tej teeb meem uas tej zaum twb muaj lawm hauv lub siab uas tsis kam thiab tsis hloov dua siab tshiab. Teeb meem thawj yog tias nej tsis kam los cuag lo lus faj lem ntawm txoj kev pom tias keeb kwm rov ua dua. Nej tsis yog cov historicist. Lwm qhov teeb meem yog qhov tsis muaj peev xwm los siv cov lus cim uas tau raug sau cia hauv Vajtswv Txojlus los ntawm Vajtswv Txojlus. Cov pib ntawm tag nrho tej lus faj lem no qhia txog qhov kawg, thiab lawv ib txwm qhia ntau tshaj li tsuas yog tej keeb kwm uas rov ua dua xwb.</w:t>
      </w:r>
    </w:p>
    <w:p>
      <w:pPr>
        <w:pStyle w:val="ArticleBody"/>
        <w:jc w:val="left"/>
      </w:pPr>
      <w:r>
        <w:rPr>
          <w:rFonts w:ascii="Times New Roman" w:hAnsi="Times New Roman" w:eastAsia="Times New Roman" w:cs="Times New Roman"/>
        </w:rPr>
        <w:t>Bíbélì sọ pé àwa jẹ́ tẹ́ńpìlì fún Ẹ̀mí Mímọ́, àti pé tẹ́ńpìlì ara náà ni a fi krómósómù mẹ́rìndínlọ́gbọ̀n [46] kọ́. Àwọn onímọ̀ sáyẹ́ǹsì tí ń ṣe ìwádìí nípa krómósómù mẹ́rìndínlọ́gbọ̀n [46] wọ̀nyí sọ fún wa pé krómósómù akọ mẹ́tàlélógún [23] àti krómósómù abo mẹ́tàlélógún [23] ni a dì yíká prótínì kan tí ó ní ìrísí àgbélébùú.</w:t>
      </w:r>
    </w:p>
    <w:p>
      <w:pPr>
        <w:pStyle w:val="ArticleBody"/>
        <w:jc w:val="left"/>
      </w:pPr>
      <w:r>
        <w:rPr>
          <w:rFonts w:ascii="Times New Roman" w:hAnsi="Times New Roman" w:eastAsia="Times New Roman" w:cs="Times New Roman"/>
        </w:rPr>
        <w:t>Dans Daniel douze, il y a trois prophéties de temps liées entre elles; la première se rapporte à la dispersion de la puissance du peuple saint, laquelle représente les « sept temps » de Lévitique vingt-six. La dispersion de la puissance du peuple saint, accomplie en eux, fut de deux mille cinq cent vingt ans; cependant, dans Daniel douze, il n’est fait mention que de la dernière moitié de cette période. Le passage présente Daniel comme ne comprenant pas ce que signifiait cette déclaration.</w:t>
      </w:r>
    </w:p>
    <w:p>
      <w:pPr>
        <w:pStyle w:val="ArticleScripture"/>
        <w:jc w:val="left"/>
      </w:pPr>
      <w:r>
        <w:rPr>
          <w:rFonts w:ascii="Times New Roman" w:hAnsi="Times New Roman" w:eastAsia="Times New Roman" w:cs="Times New Roman"/>
        </w:rPr>
        <w:t>Et j’entendis l’homme vêtu de lin, qui se tenait au-dessus des eaux du fleuve; il leva sa main droite et sa main gauche vers le ciel, et jura par celui qui vit éternellement que ce sera pour un temps, des temps, et la moitié d’un temps; et que, lorsque la force du peuple saint aura été entièrement dispersée, toutes ces choses s’accompliront. J’entendis, mais je ne compris pas; alors je dis: Mon seigneur, quelle sera l’issue de ces choses? Daniel 12:7, 8.</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1798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सामंजस्य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निःसन्देह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घमण्ड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26:18, 19.</w:t>
      </w:r>
    </w:p>
    <w:p>
      <w:pPr>
        <w:pStyle w:val="ArticleBody"/>
        <w:jc w:val="left"/>
      </w:pPr>
      <w:r>
        <w:rPr>
          <w:rFonts w:ascii="Times New Roman" w:hAnsi="Times New Roman" w:eastAsia="Times New Roman" w:cs="Times New Roman"/>
        </w:rPr>
        <w:t>“ff”</w:t>
      </w:r>
      <w:r>
        <w:rPr>
          <w:rFonts w:ascii="MS Gothic" w:hAnsi="MS Gothic" w:eastAsia="MS Gothic" w:cs="MS Gothic"/>
        </w:rPr>
        <w:t>の</w:t>
      </w:r>
      <w:r>
        <w:rPr>
          <w:rFonts w:ascii="Microsoft YaHei" w:hAnsi="Microsoft YaHei" w:eastAsia="Microsoft YaHei" w:cs="Microsoft YaHei"/>
        </w:rPr>
        <w:t>対象言語</w:t>
      </w:r>
      <w:r>
        <w:rPr>
          <w:rFonts w:ascii="MS Gothic" w:hAnsi="MS Gothic" w:eastAsia="MS Gothic" w:cs="MS Gothic"/>
        </w:rPr>
        <w:t>が</w:t>
      </w:r>
      <w:r>
        <w:rPr>
          <w:rFonts w:ascii="Microsoft YaHei" w:hAnsi="Microsoft YaHei" w:eastAsia="Microsoft YaHei" w:cs="Microsoft YaHei"/>
        </w:rPr>
        <w:t>不明</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翻訳先</w:t>
      </w:r>
      <w:r>
        <w:rPr>
          <w:rFonts w:ascii="MS Gothic" w:hAnsi="MS Gothic" w:eastAsia="MS Gothic" w:cs="MS Gothic"/>
        </w:rPr>
        <w:t>の</w:t>
      </w:r>
      <w:r>
        <w:rPr>
          <w:rFonts w:ascii="Microsoft YaHei" w:hAnsi="Microsoft YaHei" w:eastAsia="Microsoft YaHei" w:cs="Microsoft YaHei"/>
        </w:rPr>
        <w:t>言語名</w:t>
      </w:r>
      <w:r>
        <w:rPr>
          <w:rFonts w:ascii="MS Gothic" w:hAnsi="MS Gothic" w:eastAsia="MS Gothic" w:cs="MS Gothic"/>
        </w:rPr>
        <w:t>をご</w:t>
      </w:r>
      <w:r>
        <w:rPr>
          <w:rFonts w:ascii="Microsoft YaHei" w:hAnsi="Microsoft YaHei" w:eastAsia="Microsoft YaHei" w:cs="Microsoft YaHei"/>
        </w:rPr>
        <w:t>指定</w:t>
      </w:r>
      <w:r>
        <w:rPr>
          <w:rFonts w:ascii="MS Gothic" w:hAnsi="MS Gothic" w:eastAsia="MS Gothic" w:cs="MS Gothic"/>
        </w:rPr>
        <w:t>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 ff tiħel bħala wieħed mill-għorrief li fehem iż-żieda tal-għarfien li ġiet miftuħa fis-siġill fil-versi preċedenti ta’ Danjel tnax, u fil-versi sebgħa u tmienja huwa mpinġi bħala li ma fehemx ir-rabta bejn l-elf mitejn u sittin sena u l-elfejn ħames mija u għoxrin sena tat-tifrix tal-poplu ta’ Alla. Danjel qiegħed jirrappreżenta lill-poplu ta’ Alla fit-tmiem tal-Avventiżmu, kif ukoll lil Miller fil-bidu tal-Avventiżmu. Fit-tmiem tal-Avventiżmu teżisti l-istess dilemma, għax billi l-Avventiżmu warrab il-fehma ta’ Miller dwar is-“seba’ żminijiet”, huma kienu mġiegħla jidentifikaw biss l-elf mitejn u sittin sena bħala ż-Żminijiet Mudlama. L-għorrief fl-aħħar kellhom problema simili x’isolvu, kif juru Danjel u Miller. Għaliex tintuża t-terminoloġija ta’ Levitiku sitta u għoxrin biex turi tliet żminijiet u nofs minflok seba’ żminijiet?</w:t>
      </w:r>
    </w:p>
    <w:p>
      <w:pPr>
        <w:pStyle w:val="ArticleBody"/>
        <w:jc w:val="left"/>
      </w:pPr>
      <w:r>
        <w:rPr>
          <w:rFonts w:ascii="Times New Roman" w:hAnsi="Times New Roman" w:eastAsia="Times New Roman" w:cs="Times New Roman"/>
        </w:rPr>
        <w:t>Miller ne réconcilia jamais pleinement ce dilemme; mais, en 1856, la dernière « nouvelle lumière prophétique » fut présentée dans une série de six articles qui ne furent jamais achevés, identifiant les sept temps comme représentant trois ans et demi pendant lesquels la Rome païenne foulait aux pieds l’Israël littéral de Dieu, suivis de trois ans et demi pendant lesquels la Rome papale foulait aux pieds l’Israël spirituel. Sept ans plus tard, l’adventisme rejeta catégoriquement toute la lumière relative aux sept temps, préparant ce dilemme pour les sages au temps de la fin en 1989, lorsque, comme il est décrit dans Daniel onze, verset quarante, les pays représentant l’ancienne Union soviétique furent emportés par la papauté et les États-Unis.</w:t>
      </w:r>
    </w:p>
    <w:p>
      <w:pPr>
        <w:pStyle w:val="ArticleBody"/>
        <w:jc w:val="left"/>
      </w:pPr>
      <w:r>
        <w:rPr>
          <w:rFonts w:ascii="Times New Roman" w:hAnsi="Times New Roman" w:eastAsia="Times New Roman" w:cs="Times New Roman"/>
        </w:rPr>
        <w:t>نورِ نخستینی که به میلر داده شد، در سال ۱۸۶۳ رد گردید، و آخرین نور دربارهٔ این موضوع به‌وسیلهٔ هایرام ادسون در آن شش مقاله داده شد. آن مقالات متوقف گردید، و هفت سال (زمان) بعد، قدرتِ اسرائیلِ جدید کنار نهاده شد تا از کلیساهای بت‌پرست تقلید کند؛ کلیساهایی که چند سال پیش از آن، به‌درستی به‌عنوان دخترانِ بابِل شناخته شده بودند. هفت زمانِ لاویان بیست‌وشش، به‌عنوان آموزه‌ای نبوی، به سنگِ لغزش بدل شد، و غرورِ اسرائیلِ باستان، چنان‌که در خواستِ ایشان برای آنکه شائول به‌عنوان پادشاه بر آنان حکومت کند نمایان شد، تکرار گردید. عیسی پایان را با آغاز بازنمایی می‌کند.</w:t>
      </w:r>
    </w:p>
    <w:p>
      <w:pPr>
        <w:pStyle w:val="ArticleBody"/>
        <w:jc w:val="left"/>
      </w:pPr>
      <w:r>
        <w:rPr>
          <w:rFonts w:ascii="Times New Roman" w:hAnsi="Times New Roman" w:eastAsia="Times New Roman" w:cs="Times New Roman"/>
        </w:rPr>
        <w:t>Le livre de Daniel identifie aussi une prophétie de mille deux cent quatre-vingt-dix ans ainsi qu’une prophétie de mille trois cent trente-cinq ans, qui commencent toutes deux avec la suppression du « continuel » en 508. La suppression du « continuel » représente l’élimination de la résistance de la Rome païenne à l’ascension du pouvoir papal en 538. Il y eut une période transitoire de trente ans avant que le pouvoir papal ne fût placé sur le trône de la terre en 538, puis les mille deux cent soixante années restantes s’achèvent en 1798. Les trente années de transition d’un royaume à l’autre désignent les dernières années de la domination papale qui conduisent au placement du sixième royaume de la prophétie biblique sur le trône de la terre en 1798. Le commencement de la prophétie des mille deux cent quatre-vingt-dix ans marque une transition d’un royaume de la prophétie biblique au royaume suivant de la prophétie biblique, tout comme l’achèvement de cette prophétie.</w:t>
      </w:r>
    </w:p>
    <w:p>
      <w:pPr>
        <w:pStyle w:val="ArticleBody"/>
        <w:jc w:val="left"/>
      </w:pPr>
      <w:r>
        <w:rPr>
          <w:rFonts w:ascii="Times New Roman" w:hAnsi="Times New Roman" w:eastAsia="Times New Roman" w:cs="Times New Roman"/>
        </w:rPr>
        <w:t>Ubungqabavu bw’imyaka igihumbi magana atatu na mirongo itatu n’itanu bwatangiye igihe “igihoraho” cyavanwagaho mu wa 508 burangirira mu wa 1843.</w:t>
      </w:r>
    </w:p>
    <w:p>
      <w:pPr>
        <w:pStyle w:val="ArticleScripture"/>
        <w:jc w:val="left"/>
      </w:pPr>
      <w:r>
        <w:rPr>
          <w:rFonts w:ascii="Times New Roman" w:hAnsi="Times New Roman" w:eastAsia="Times New Roman" w:cs="Times New Roman"/>
        </w:rPr>
        <w:t>Et depuis le temps où le sacrifice perpétuel sera supprimé, et où sera dressée l’abomination de la désolation, il y aura mille deux cent quatre-vingt-dix jours. Heureux celui qui attendra, et qui parviendra jusqu’à mille trois cent trente-cinq jours. Daniel 12:11, 12.</w:t>
      </w:r>
    </w:p>
    <w:p>
      <w:pPr>
        <w:pStyle w:val="ArticleBody"/>
        <w:jc w:val="left"/>
      </w:pPr>
      <w:r>
        <w:rPr>
          <w:rFonts w:ascii="Times New Roman" w:hAnsi="Times New Roman" w:eastAsia="Times New Roman" w:cs="Times New Roman"/>
        </w:rPr>
        <w:t>Boprofeta ba lilemo tse sekete le makholo a mararo a mashome a mararo a metso e mehlano bo ile ba fela ka 1843, ’me Daniele o re ba ileng ba “leta” ha boprofeta boo bo tla phethahala ba ne ba tla hlohonolofatsoa. Khaitseli White o bo beha tjena.</w:t>
      </w:r>
    </w:p>
    <w:p>
      <w:pPr>
        <w:pStyle w:val="ArticleScripture"/>
        <w:jc w:val="left"/>
      </w:pPr>
      <w:r>
        <w:rPr>
          <w:rFonts w:ascii="Times New Roman" w:hAnsi="Times New Roman" w:eastAsia="Times New Roman" w:cs="Times New Roman"/>
        </w:rPr>
        <w:t>« Heureux les yeux qui ont vu les choses qui ont été vues en 1843 et 1844. »</w:t>
      </w:r>
    </w:p>
    <w:p>
      <w:pPr>
        <w:pStyle w:val="ArticleScripture"/>
        <w:jc w:val="left"/>
      </w:pPr>
      <w:r>
        <w:rPr>
          <w:rFonts w:ascii="Times New Roman" w:hAnsi="Times New Roman" w:eastAsia="Times New Roman" w:cs="Times New Roman"/>
        </w:rPr>
        <w:t>“</w:t>
      </w:r>
      <w:r>
        <w:rPr>
          <w:rFonts w:ascii="Nirmala UI" w:hAnsi="Nirmala UI" w:eastAsia="Nirmala UI" w:cs="Nirmala UI"/>
        </w:rPr>
        <w:t>মেসেজটি</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মেসেজটি</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বিলম্ব</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নিদর্শনগুলো</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সমাপনী</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অল্প</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নিযুক্তিতে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মেসেজ</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স্ফীত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স্বরে</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ভাগে</w:t>
      </w:r>
      <w:r>
        <w:rPr>
          <w:rFonts w:ascii="Times New Roman" w:hAnsi="Times New Roman" w:eastAsia="Times New Roman" w:cs="Times New Roman"/>
        </w:rPr>
        <w:t xml:space="preserve"> </w:t>
      </w:r>
      <w:r>
        <w:rPr>
          <w:rFonts w:ascii="Nirmala UI" w:hAnsi="Nirmala UI" w:eastAsia="Nirmala UI" w:cs="Nirmala UI"/>
        </w:rPr>
        <w:t>দাঁড়াবেন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Manuscript Releases, volume 21, 437.</w:t>
      </w:r>
    </w:p>
    <w:p>
      <w:pPr>
        <w:pStyle w:val="ArticleBody"/>
        <w:jc w:val="left"/>
      </w:pPr>
      <w:r>
        <w:rPr>
          <w:rFonts w:ascii="Times New Roman" w:hAnsi="Times New Roman" w:eastAsia="Times New Roman" w:cs="Times New Roman"/>
        </w:rPr>
        <w:t>Par conséquent, le commencement de la prophétie des mille trois cent trente-cinq années marque une transition de la religion du paganisme à celle du papalisme, identifiant ainsi un passage du protestantisme au protestantisme millérite.</w:t>
      </w:r>
    </w:p>
    <w:p>
      <w:pPr>
        <w:pStyle w:val="ArticleBody"/>
        <w:jc w:val="left"/>
      </w:pPr>
      <w:r>
        <w:rPr>
          <w:rFonts w:ascii="Times New Roman" w:hAnsi="Times New Roman" w:eastAsia="Times New Roman" w:cs="Times New Roman"/>
        </w:rPr>
        <w:t>Ko waɗancan Adventistoci da suke ƙin amincewa da muhimman gaskiyoyin tushe na Adventism, suna kuma ƙin dukan annabce-annabcen lokaci da Millerites suka gabatar, har ma da shekaru dubu biyu da ɗari uku na Daniyel 8:14. Wataƙila za su ƙaryata wannan gaskiya, amma za a iya nuna ta bisa hujja ta hankali cewa gaskiya ce; duk da haka, manufata a yanzu dabam take, saboda haka zan ajiye wannan batun a gefe a yanzu, yayin da muke ƙoƙarin kawo wannan maƙala zuwa ƙarshe.</w:t>
      </w:r>
    </w:p>
    <w:p>
      <w:pPr>
        <w:pStyle w:val="ArticleBody"/>
        <w:jc w:val="left"/>
      </w:pPr>
      <w:r>
        <w:rPr>
          <w:rFonts w:ascii="Times New Roman" w:hAnsi="Times New Roman" w:eastAsia="Times New Roman" w:cs="Times New Roman"/>
        </w:rPr>
        <w:t>La dispersion du « pays glorieux » de Juda en 677 av. J.-C. représente le piétinement de l’« armée » dans Daniel 8:13, 14, et indique l’établissement du pays glorieux moderne, les États-Unis. Les deux mille trois cents ans des mêmes versets commencèrent en 457 av. J.-C. et représentent le piétinement du « sanctuaire ».</w:t>
      </w:r>
    </w:p>
    <w:p>
      <w:pPr>
        <w:pStyle w:val="ArticleScripture"/>
        <w:jc w:val="left"/>
      </w:pPr>
      <w:r>
        <w:rPr>
          <w:rFonts w:ascii="Times New Roman" w:hAnsi="Times New Roman" w:eastAsia="Times New Roman" w:cs="Times New Roman"/>
        </w:rPr>
        <w:t>Puis j’entendis parler un saint; et un autre saint dit à celui qui parlait : Jusqu’à quand durera la vision concernant le sacrifice perpétuel et la transgression dévastatrice, qui livre à la fois le sanctuaire et l’armée pour être foulés aux pieds ? Et il me dit : Jusqu’à deux mille trois cents jours ; puis le sanctuaire sera purifié. Daniel 8:13, 14.</w:t>
      </w:r>
    </w:p>
    <w:p>
      <w:pPr>
        <w:pStyle w:val="ArticleBody"/>
        <w:jc w:val="left"/>
      </w:pPr>
      <w:r>
        <w:rPr>
          <w:rFonts w:ascii="Myanmar Text" w:hAnsi="Myanmar Text" w:eastAsia="Myanmar Text" w:cs="Myanmar Text"/>
        </w:rPr>
        <w:t>၆၇၇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၄၅၇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ဘုရားသခင်၏လူမျိုးနှင့်</w:t>
      </w:r>
      <w:r>
        <w:rPr>
          <w:rFonts w:ascii="Times New Roman" w:hAnsi="Times New Roman" w:eastAsia="Times New Roman" w:cs="Times New Roman"/>
        </w:rPr>
        <w:t xml:space="preserve"> </w:t>
      </w:r>
      <w:r>
        <w:rPr>
          <w:rFonts w:ascii="Myanmar Text" w:hAnsi="Myanmar Text" w:eastAsia="Myanmar Text" w:cs="Myanmar Text"/>
        </w:rPr>
        <w:t>ဘုရားသခင်၏သန့်ရှင်းရာဌာနတို့၏</w:t>
      </w:r>
      <w:r>
        <w:rPr>
          <w:rFonts w:ascii="Times New Roman" w:hAnsi="Times New Roman" w:eastAsia="Times New Roman" w:cs="Times New Roman"/>
        </w:rPr>
        <w:t xml:space="preserve"> </w:t>
      </w:r>
      <w:r>
        <w:rPr>
          <w:rFonts w:ascii="Myanmar Text" w:hAnsi="Myanmar Text" w:eastAsia="Myanmar Text" w:cs="Myanmar Text"/>
        </w:rPr>
        <w:t>အပြန်အလှန်ဆက်နွယ်မှုဖြင့်</w:t>
      </w:r>
      <w:r>
        <w:rPr>
          <w:rFonts w:ascii="Times New Roman" w:hAnsi="Times New Roman" w:eastAsia="Times New Roman" w:cs="Times New Roman"/>
        </w:rPr>
        <w:t xml:space="preserve"> </w:t>
      </w:r>
      <w:r>
        <w:rPr>
          <w:rFonts w:ascii="Myanmar Text" w:hAnsi="Myanmar Text" w:eastAsia="Myanmar Text" w:cs="Myanmar Text"/>
        </w:rPr>
        <w:t>ချိတ်ဆက်လျက်ရှိသော</w:t>
      </w:r>
      <w:r>
        <w:rPr>
          <w:rFonts w:ascii="Times New Roman" w:hAnsi="Times New Roman" w:eastAsia="Times New Roman" w:cs="Times New Roman"/>
        </w:rPr>
        <w:t xml:space="preserve"> </w:t>
      </w:r>
      <w:r>
        <w:rPr>
          <w:rFonts w:ascii="Myanmar Text" w:hAnsi="Myanmar Text" w:eastAsia="Myanmar Text" w:cs="Myanmar Text"/>
        </w:rPr>
        <w:t>ရက်စွဲများဖြစ်သည်။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တပ်မနှင့်</w:t>
      </w:r>
      <w:r>
        <w:rPr>
          <w:rFonts w:ascii="Times New Roman" w:hAnsi="Times New Roman" w:eastAsia="Times New Roman" w:cs="Times New Roman"/>
        </w:rPr>
        <w:t xml:space="preserve"> </w:t>
      </w:r>
      <w:r>
        <w:rPr>
          <w:rFonts w:ascii="Myanmar Text" w:hAnsi="Myanmar Text" w:eastAsia="Myanmar Text" w:cs="Myanmar Text"/>
        </w:rPr>
        <w:t>သန့်ရှင်းရာဌာနကို</w:t>
      </w:r>
      <w:r>
        <w:rPr>
          <w:rFonts w:ascii="Times New Roman" w:hAnsi="Times New Roman" w:eastAsia="Times New Roman" w:cs="Times New Roman"/>
        </w:rPr>
        <w:t xml:space="preserve"> </w:t>
      </w:r>
      <w:r>
        <w:rPr>
          <w:rFonts w:ascii="Myanmar Text" w:hAnsi="Myanmar Text" w:eastAsia="Myanmar Text" w:cs="Myanmar Text"/>
        </w:rPr>
        <w:t>တစ်ချိန်တည်း၌</w:t>
      </w:r>
      <w:r>
        <w:rPr>
          <w:rFonts w:ascii="Times New Roman" w:hAnsi="Times New Roman" w:eastAsia="Times New Roman" w:cs="Times New Roman"/>
        </w:rPr>
        <w:t xml:space="preserve"> </w:t>
      </w:r>
      <w:r>
        <w:rPr>
          <w:rFonts w:ascii="Myanmar Text" w:hAnsi="Myanmar Text" w:eastAsia="Myanmar Text" w:cs="Myanmar Text"/>
        </w:rPr>
        <w:t>ပြန်လည်ပေါင်းစည်းစေတော်မူခဲ့သည်။</w:t>
      </w:r>
      <w:r>
        <w:rPr>
          <w:rFonts w:ascii="Times New Roman" w:hAnsi="Times New Roman" w:eastAsia="Times New Roman" w:cs="Times New Roman"/>
        </w:rPr>
        <w:t xml:space="preserve"> </w:t>
      </w:r>
      <w:r>
        <w:rPr>
          <w:rFonts w:ascii="Myanmar Text" w:hAnsi="Myanmar Text" w:eastAsia="Myanmar Text" w:cs="Myanmar Text"/>
        </w:rPr>
        <w:t>၆၇၇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၄၅၇</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အကြားရှိ</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နှစ်ရာနှစ်ဆယ်သည်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အလင်းတိုးပွားခြင်းကို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လမ်းမှတ်တစ်ခုကို</w:t>
      </w:r>
      <w:r>
        <w:rPr>
          <w:rFonts w:ascii="Times New Roman" w:hAnsi="Times New Roman" w:eastAsia="Times New Roman" w:cs="Times New Roman"/>
        </w:rPr>
        <w:t xml:space="preserve"> </w:t>
      </w:r>
      <w:r>
        <w:rPr>
          <w:rFonts w:ascii="Myanmar Text" w:hAnsi="Myanmar Text" w:eastAsia="Myanmar Text" w:cs="Myanmar Text"/>
        </w:rPr>
        <w:t>တည်ထောင်တော်မူသည့်</w:t>
      </w:r>
      <w:r>
        <w:rPr>
          <w:rFonts w:ascii="Times New Roman" w:hAnsi="Times New Roman" w:eastAsia="Times New Roman" w:cs="Times New Roman"/>
        </w:rPr>
        <w:t xml:space="preserve"> </w:t>
      </w:r>
      <w:r>
        <w:rPr>
          <w:rFonts w:ascii="Myanmar Text" w:hAnsi="Myanmar Text" w:eastAsia="Myanmar Text" w:cs="Myanmar Text"/>
        </w:rPr>
        <w:t>ကာလတစ်ရပ်ကို</w:t>
      </w:r>
      <w:r>
        <w:rPr>
          <w:rFonts w:ascii="Times New Roman" w:hAnsi="Times New Roman" w:eastAsia="Times New Roman" w:cs="Times New Roman"/>
        </w:rPr>
        <w:t xml:space="preserve"> </w:t>
      </w:r>
      <w:r>
        <w:rPr>
          <w:rFonts w:ascii="Myanmar Text" w:hAnsi="Myanmar Text" w:eastAsia="Myanmar Text" w:cs="Myanmar Text"/>
        </w:rPr>
        <w:t>သင်္ကေတပြုသည်။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အလင်းရောက်ရှိလာခဲ့ပြီး၊</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အလင်းသည်</w:t>
      </w:r>
      <w:r>
        <w:rPr>
          <w:rFonts w:ascii="Times New Roman" w:hAnsi="Times New Roman" w:eastAsia="Times New Roman" w:cs="Times New Roman"/>
        </w:rPr>
        <w:t xml:space="preserve"> </w:t>
      </w:r>
      <w:r>
        <w:rPr>
          <w:rFonts w:ascii="Myanmar Text" w:hAnsi="Myanmar Text" w:eastAsia="Myanmar Text" w:cs="Myanmar Text"/>
        </w:rPr>
        <w:t>ထွန်းလင်းတောက်ပစပြုခဲ့ကာ၊</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ကြေညာရန်</w:t>
      </w:r>
      <w:r>
        <w:rPr>
          <w:rFonts w:ascii="Times New Roman" w:hAnsi="Times New Roman" w:eastAsia="Times New Roman" w:cs="Times New Roman"/>
        </w:rPr>
        <w:t xml:space="preserve"> </w:t>
      </w:r>
      <w:r>
        <w:rPr>
          <w:rFonts w:ascii="Myanmar Text" w:hAnsi="Myanmar Text" w:eastAsia="Myanmar Text" w:cs="Myanmar Text"/>
        </w:rPr>
        <w:t>တပ်မတစ်ရပ်လည်း</w:t>
      </w:r>
      <w:r>
        <w:rPr>
          <w:rFonts w:ascii="Times New Roman" w:hAnsi="Times New Roman" w:eastAsia="Times New Roman" w:cs="Times New Roman"/>
        </w:rPr>
        <w:t xml:space="preserve"> </w:t>
      </w:r>
      <w:r>
        <w:rPr>
          <w:rFonts w:ascii="Myanmar Text" w:hAnsi="Myanmar Text" w:eastAsia="Myanmar Text" w:cs="Myanmar Text"/>
        </w:rPr>
        <w:t>ရှိနေခဲ့သည်။</w:t>
      </w:r>
    </w:p>
    <w:p>
      <w:pPr>
        <w:pStyle w:val="ArticleBody"/>
        <w:jc w:val="left"/>
      </w:pPr>
      <w:r>
        <w:rPr>
          <w:rFonts w:ascii="Times New Roman" w:hAnsi="Times New Roman" w:eastAsia="Times New Roman" w:cs="Times New Roman"/>
        </w:rPr>
        <w:t>Nel filo profetico che identifica la triplice guerra in cui Satana e Cristo furono impegnati, fu prodotta la Bibbia di Re Giacomo del 1611. Esattamente duecentovent’anni dopo, nel 1831, William Miller pubblicò il suo messaggio per la prima volta:</w:t>
      </w:r>
    </w:p>
    <w:p>
      <w:pPr>
        <w:pStyle w:val="ArticleScripture"/>
        <w:jc w:val="left"/>
      </w:pPr>
      <w:r>
        <w:rPr>
          <w:rFonts w:ascii="Times New Roman" w:hAnsi="Times New Roman" w:eastAsia="Times New Roman" w:cs="Times New Roman"/>
        </w:rPr>
        <w:t>“Kwa muda wa miaka tisa William Miller alisadiki kwamba ilimpasa kutoa ujumbe wake kwa makanisa; lakini alingoja, akitumaini kwamba mamlaka fulani iliyotambuliwa ingetangaza habari njema za Mwokozi ajaye upesi. Kwa kungoja hivyo, alithibitisha tu ukweli wa ujumbe huo; walikuwa na jina ya kwamba wako hai, lakini walikuwa wakifa upesi. Mwaka wa 1831 Miller alitoa hotuba yake ya kwanza juu ya unabii.” Steven Haskell, The Seer of Patmos, 77.</w:t>
      </w:r>
    </w:p>
    <w:p>
      <w:pPr>
        <w:pStyle w:val="ArticleBody"/>
        <w:jc w:val="left"/>
      </w:pPr>
      <w:r>
        <w:rPr>
          <w:rFonts w:ascii="Times New Roman" w:hAnsi="Times New Roman" w:eastAsia="Times New Roman" w:cs="Times New Roman"/>
        </w:rPr>
        <w:t>خداوند از متون اصیلِ مقدس و صحیحی که برای پدید آمدن کتاب‌مقدس به کار رفتند، محافظت نمود. سپس او کتاب‌مقدسِ خود را در سال 1611 پدید آورد. آنگاه قاصدی را برانگیخت تا قواعدی را که در درون کتاب‌مقدس جای داده شده، از آن استنتاج گردیده و در آن استقرار یافته بود، به کار گیرد تا پیامِ فرشتهٔ اول را پدید آورد. در سال 1831، پیامِ میلر صورت‌بندی شد، همان‌گونه که آن پیام در تاریخِ مسیح به‌وسیلهٔ یحییِ تعمیددهنده صورت‌بندی شد، و همان‌گونه که در هر جنبشِ اصلاحی، پیام صورت‌بندی شده است. پیامِ میلر، یعنی پیامِ فرشتهٔ اول که گشایشِ داوری را اعلام می‌دارد، مستقیماً به‌واسطهٔ به‌کارگیریِ دورهٔ زمانیِ نبویِ دویست و بیست سال تأیید می‌شود. این همان پیامِ هشدار در آغازِ ششمین پادشاهیِ نبوتِ کتاب‌مقدس بود—ایالات متحده.</w:t>
      </w:r>
    </w:p>
    <w:p>
      <w:pPr>
        <w:pStyle w:val="ArticleBody"/>
        <w:jc w:val="left"/>
      </w:pPr>
      <w:r>
        <w:rPr>
          <w:rFonts w:ascii="Times New Roman" w:hAnsi="Times New Roman" w:eastAsia="Times New Roman" w:cs="Times New Roman"/>
        </w:rPr>
        <w:t>En 1996, comenzó el ministerio de Future for America, y el mensaje del tercer ángel que había sido desellado en 1989, el mensaje que identificaba la sanación de la herida mortal del papado y la pronta promulgación de la ley dominical, fue publicado en una revista titulada, The Time of the End. El mensaje al final del adventismo había sido formalizado así como el mensaje al principio había sido formalizado. Al principio, el mensaje estaba colgado del tiempo y representaba un desarrollo ulterior de las verdades contenidas en la Palabra de Dios. En 1996, doscientos veinte años después del nacimiento de los Estados Unidos en 1776, el mensaje al final del adventismo fue formalizado y representaba un desarrollo ulterior de los mensajes de los tres ángeles.</w:t>
      </w:r>
    </w:p>
    <w:p>
      <w:pPr>
        <w:pStyle w:val="ArticleBody"/>
        <w:jc w:val="left"/>
      </w:pPr>
      <w:r>
        <w:rPr>
          <w:rFonts w:ascii="Times New Roman" w:hAnsi="Times New Roman" w:eastAsia="Times New Roman" w:cs="Times New Roman"/>
        </w:rPr>
        <w:t>Alors que nous abordons l’histoire parallèle de la corne républicaine et de la corne protestante dans l’histoire du sixième royaume de la prophétie biblique, il faut comprendre qui est la corne protestante et qui elle n’est pas.</w:t>
      </w:r>
    </w:p>
    <w:p>
      <w:pPr>
        <w:pStyle w:val="ArticleScripture"/>
        <w:jc w:val="left"/>
      </w:pPr>
      <w:r>
        <w:rPr>
          <w:rFonts w:ascii="Times New Roman" w:hAnsi="Times New Roman" w:eastAsia="Times New Roman" w:cs="Times New Roman"/>
        </w:rPr>
        <w:t>S’efforcer de se présenter devant Dieu comme un homme éprouvé, un ouvrier qui n’a point à rougir, dispensant droitement la parole de la vérité. Mais éviter les discours profanes et vains; car ceux qui les tiennent avanceront toujours plus dans l’impiété. 2 Timothée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Laodicée - Numéro deux</dc:title>
  <dc:subject>Tanduk Protestan</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