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ਲਾਉਦੀਕਿਆ</w:t>
      </w:r>
      <w:r>
        <w:rPr>
          <w:rFonts w:ascii="Arial" w:hAnsi="Arial" w:eastAsia="Arial" w:cs="Arial"/>
        </w:rPr>
        <w:t xml:space="preserve"> — </w:t>
      </w:r>
      <w:r>
        <w:rPr>
          <w:rFonts w:ascii="Nirmala UI" w:hAnsi="Nirmala UI" w:eastAsia="Nirmala UI" w:cs="Nirmala UI"/>
        </w:rPr>
        <w:t>ਨੰਬਰ</w:t>
      </w:r>
      <w:r>
        <w:rPr>
          <w:rFonts w:ascii="Arial" w:hAnsi="Arial" w:eastAsia="Arial" w:cs="Arial"/>
        </w:rPr>
        <w:t xml:space="preserve"> </w:t>
      </w:r>
      <w:r>
        <w:rPr>
          <w:rFonts w:ascii="Nirmala UI" w:hAnsi="Nirmala UI" w:eastAsia="Nirmala UI" w:cs="Nirmala UI"/>
        </w:rPr>
        <w:t>ਚਾਰ</w:t>
      </w:r>
    </w:p>
    <w:p>
      <w:pPr>
        <w:pStyle w:val="ArticleSubtitle"/>
        <w:jc w:val="left"/>
      </w:pPr>
      <w:r>
        <w:rPr>
          <w:rFonts w:ascii="Arial" w:hAnsi="Arial" w:eastAsia="Arial" w:cs="Arial"/>
        </w:rPr>
        <w:t>Histoires qui se chevauchent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Kipengele nilichoonyesha ambacho huenda Stephen Haskell hakukiona, ingawa alikiunga mkono kwa kuitambua kwake kweli zinazoufichua ukweli huu waziwazi, ni kwamba katika historia ya mwisho wa Israeli ya kale, wakati huohuo unakuta mwanzo wa Israeli ya kisasa ukipishana na kipindi kilekile cha kihistoria. Wakati Kristo alipokuwa akilithibitisha agano pamoja na wengi kwa juma moja (siku elfu mbili mia tano na ishirini), Israeli ya kale ilikuwa ikiishi uzoefu wa Laodikia, ikiwa ukingoni mwa kutapikwa kutoka katika kinywa cha Bwana. Wakati huohuo Israeli ya kisasa ilikuwa ikiishi uzoefu wa Efeso. Laodikia wa Israeli ya kale alikuwa akitawanywa, na Efeso wa Israeli ya kisasa alikuwa akikusanwa katika historia iyo hiyo hasa.</w:t>
      </w:r>
    </w:p>
    <w:p>
      <w:pPr>
        <w:pStyle w:val="ArticleBody"/>
        <w:jc w:val="left"/>
      </w:pPr>
      <w:r>
        <w:rPr>
          <w:rFonts w:ascii="Ebrima" w:hAnsi="Ebrima" w:eastAsia="Ebrima" w:cs="Ebrima"/>
        </w:rPr>
        <w:t>ገናም</w:t>
      </w:r>
      <w:r>
        <w:rPr>
          <w:rFonts w:ascii="Times New Roman" w:hAnsi="Times New Roman" w:eastAsia="Times New Roman" w:cs="Times New Roman"/>
        </w:rPr>
        <w:t xml:space="preserve"> “</w:t>
      </w:r>
      <w:r>
        <w:rPr>
          <w:rFonts w:ascii="Ebrima" w:hAnsi="Ebrima" w:eastAsia="Ebrima" w:cs="Ebrima"/>
        </w:rPr>
        <w:t>አዎ</w:t>
      </w:r>
      <w:r>
        <w:rPr>
          <w:rFonts w:ascii="Times New Roman" w:hAnsi="Times New Roman" w:eastAsia="Times New Roman" w:cs="Times New Roman"/>
        </w:rPr>
        <w:t xml:space="preserve">” </w:t>
      </w:r>
      <w:r>
        <w:rPr>
          <w:rFonts w:ascii="Ebrima" w:hAnsi="Ebrima" w:eastAsia="Ebrima" w:cs="Ebrima"/>
        </w:rPr>
        <w:t>ብዬ</w:t>
      </w:r>
      <w:r>
        <w:rPr>
          <w:rFonts w:ascii="Times New Roman" w:hAnsi="Times New Roman" w:eastAsia="Times New Roman" w:cs="Times New Roman"/>
        </w:rPr>
        <w:t xml:space="preserve"> </w:t>
      </w:r>
      <w:r>
        <w:rPr>
          <w:rFonts w:ascii="Ebrima" w:hAnsi="Ebrima" w:eastAsia="Ebrima" w:cs="Ebrima"/>
        </w:rPr>
        <w:t>እላለሁ፤</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እያሰባችሁ</w:t>
      </w:r>
      <w:r>
        <w:rPr>
          <w:rFonts w:ascii="Times New Roman" w:hAnsi="Times New Roman" w:eastAsia="Times New Roman" w:cs="Times New Roman"/>
        </w:rPr>
        <w:t xml:space="preserve"> </w:t>
      </w:r>
      <w:r>
        <w:rPr>
          <w:rFonts w:ascii="Ebrima" w:hAnsi="Ebrima" w:eastAsia="Ebrima" w:cs="Ebrima"/>
        </w:rPr>
        <w:t>ከሆነ፣</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ኪዳኑን</w:t>
      </w:r>
      <w:r>
        <w:rPr>
          <w:rFonts w:ascii="Times New Roman" w:hAnsi="Times New Roman" w:eastAsia="Times New Roman" w:cs="Times New Roman"/>
        </w:rPr>
        <w:t xml:space="preserve"> </w:t>
      </w:r>
      <w:r>
        <w:rPr>
          <w:rFonts w:ascii="Ebrima" w:hAnsi="Ebrima" w:eastAsia="Ebrima" w:cs="Ebrima"/>
        </w:rPr>
        <w:t>ያጸናበት</w:t>
      </w:r>
      <w:r>
        <w:rPr>
          <w:rFonts w:ascii="Times New Roman" w:hAnsi="Times New Roman" w:eastAsia="Times New Roman" w:cs="Times New Roman"/>
        </w:rPr>
        <w:t xml:space="preserve"> </w:t>
      </w:r>
      <w:r>
        <w:rPr>
          <w:rFonts w:ascii="Ebrima" w:hAnsi="Ebrima" w:eastAsia="Ebrima" w:cs="Ebrima"/>
        </w:rPr>
        <w:t>ሳምንት፣</w:t>
      </w:r>
      <w:r>
        <w:rPr>
          <w:rFonts w:ascii="Times New Roman" w:hAnsi="Times New Roman" w:eastAsia="Times New Roman" w:cs="Times New Roman"/>
        </w:rPr>
        <w:t xml:space="preserve"> </w:t>
      </w:r>
      <w:r>
        <w:rPr>
          <w:rFonts w:ascii="Ebrima" w:hAnsi="Ebrima" w:eastAsia="Ebrima" w:cs="Ebrima"/>
        </w:rPr>
        <w:t>በጥምቀቱ</w:t>
      </w:r>
      <w:r>
        <w:rPr>
          <w:rFonts w:ascii="Times New Roman" w:hAnsi="Times New Roman" w:eastAsia="Times New Roman" w:cs="Times New Roman"/>
        </w:rPr>
        <w:t xml:space="preserve"> </w:t>
      </w:r>
      <w:r>
        <w:rPr>
          <w:rFonts w:ascii="Ebrima" w:hAnsi="Ebrima" w:eastAsia="Ebrima" w:cs="Ebrima"/>
        </w:rPr>
        <w:t>የጀመረና</w:t>
      </w:r>
      <w:r>
        <w:rPr>
          <w:rFonts w:ascii="Times New Roman" w:hAnsi="Times New Roman" w:eastAsia="Times New Roman" w:cs="Times New Roman"/>
        </w:rPr>
        <w:t xml:space="preserve"> </w:t>
      </w:r>
      <w:r>
        <w:rPr>
          <w:rFonts w:ascii="Ebrima" w:hAnsi="Ebrima" w:eastAsia="Ebrima" w:cs="Ebrima"/>
        </w:rPr>
        <w:t>በእስጢፋኖስ</w:t>
      </w:r>
      <w:r>
        <w:rPr>
          <w:rFonts w:ascii="Times New Roman" w:hAnsi="Times New Roman" w:eastAsia="Times New Roman" w:cs="Times New Roman"/>
        </w:rPr>
        <w:t xml:space="preserve"> </w:t>
      </w:r>
      <w:r>
        <w:rPr>
          <w:rFonts w:ascii="Ebrima" w:hAnsi="Ebrima" w:eastAsia="Ebrima" w:cs="Ebrima"/>
        </w:rPr>
        <w:t>መውገር</w:t>
      </w:r>
      <w:r>
        <w:rPr>
          <w:rFonts w:ascii="Times New Roman" w:hAnsi="Times New Roman" w:eastAsia="Times New Roman" w:cs="Times New Roman"/>
        </w:rPr>
        <w:t xml:space="preserve"> </w:t>
      </w:r>
      <w:r>
        <w:rPr>
          <w:rFonts w:ascii="Ebrima" w:hAnsi="Ebrima" w:eastAsia="Ebrima" w:cs="Ebrima"/>
        </w:rPr>
        <w:t>የተፈጸመው፣</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እንዳልነበረ</w:t>
      </w:r>
      <w:r>
        <w:rPr>
          <w:rFonts w:ascii="Times New Roman" w:hAnsi="Times New Roman" w:eastAsia="Times New Roman" w:cs="Times New Roman"/>
        </w:rPr>
        <w:t xml:space="preserve"> </w:t>
      </w:r>
      <w:r>
        <w:rPr>
          <w:rFonts w:ascii="Ebrima" w:hAnsi="Ebrima" w:eastAsia="Ebrima" w:cs="Ebrima"/>
        </w:rPr>
        <w:t>አውቃለሁ፤</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በትንቢት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ቀናትን</w:t>
      </w:r>
      <w:r>
        <w:rPr>
          <w:rFonts w:ascii="Times New Roman" w:hAnsi="Times New Roman" w:eastAsia="Times New Roman" w:cs="Times New Roman"/>
        </w:rPr>
        <w:t xml:space="preserve"> </w:t>
      </w:r>
      <w:r>
        <w:rPr>
          <w:rFonts w:ascii="Ebrima" w:hAnsi="Ebrima" w:eastAsia="Ebrima" w:cs="Ebrima"/>
        </w:rPr>
        <w:t>ይመስላልና።</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በሰባት</w:t>
      </w:r>
      <w:r>
        <w:rPr>
          <w:rFonts w:ascii="Times New Roman" w:hAnsi="Times New Roman" w:eastAsia="Times New Roman" w:cs="Times New Roman"/>
        </w:rPr>
        <w:t xml:space="preserve"> </w:t>
      </w:r>
      <w:r>
        <w:rPr>
          <w:rFonts w:ascii="Ebrima" w:hAnsi="Ebrima" w:eastAsia="Ebrima" w:cs="Ebrima"/>
        </w:rPr>
        <w:t>ሲባዙ</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የዚያ</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ሳምንት</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መሃል</w:t>
      </w:r>
      <w:r>
        <w:rPr>
          <w:rFonts w:ascii="Times New Roman" w:hAnsi="Times New Roman" w:eastAsia="Times New Roman" w:cs="Times New Roman"/>
        </w:rPr>
        <w:t xml:space="preserve">” </w:t>
      </w:r>
      <w:r>
        <w:rPr>
          <w:rFonts w:ascii="Ebrima" w:hAnsi="Ebrima" w:eastAsia="Ebrima" w:cs="Ebrima"/>
        </w:rPr>
        <w:t>መስቀሉ</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መስቀሉን</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መሃል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አኖረው፤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ዘሌዋውያን</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እንደተመሠረተና</w:t>
      </w:r>
      <w:r>
        <w:rPr>
          <w:rFonts w:ascii="Times New Roman" w:hAnsi="Times New Roman" w:eastAsia="Times New Roman" w:cs="Times New Roman"/>
        </w:rPr>
        <w:t xml:space="preserve"> </w:t>
      </w:r>
      <w:r>
        <w:rPr>
          <w:rFonts w:ascii="Ebrima" w:hAnsi="Ebrima" w:eastAsia="Ebrima" w:cs="Ebrima"/>
        </w:rPr>
        <w:t>እንደሚጸና</w:t>
      </w:r>
      <w:r>
        <w:rPr>
          <w:rFonts w:ascii="Times New Roman" w:hAnsi="Times New Roman" w:eastAsia="Times New Roman" w:cs="Times New Roman"/>
        </w:rPr>
        <w:t xml:space="preserve"> </w:t>
      </w:r>
      <w:r>
        <w:rPr>
          <w:rFonts w:ascii="Ebrima" w:hAnsi="Ebrima" w:eastAsia="Ebrima" w:cs="Ebrima"/>
        </w:rPr>
        <w:t>አሳየ።</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እንደምታስተምር</w:t>
      </w:r>
      <w:r>
        <w:rPr>
          <w:rFonts w:ascii="Times New Roman" w:hAnsi="Times New Roman" w:eastAsia="Times New Roman" w:cs="Times New Roman"/>
        </w:rPr>
        <w:t>—</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እንደምታስተምርበት</w:t>
      </w:r>
      <w:r>
        <w:rPr>
          <w:rFonts w:ascii="Times New Roman" w:hAnsi="Times New Roman" w:eastAsia="Times New Roman" w:cs="Times New Roman"/>
        </w:rPr>
        <w:t>—</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የአባቁም</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ሰንጠረዦች፣</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1843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1850 </w:t>
      </w:r>
      <w:r>
        <w:rPr>
          <w:rFonts w:ascii="Ebrima" w:hAnsi="Ebrima" w:eastAsia="Ebrima" w:cs="Ebrima"/>
        </w:rPr>
        <w:t>ቻርት፣</w:t>
      </w:r>
      <w:r>
        <w:rPr>
          <w:rFonts w:ascii="Times New Roman" w:hAnsi="Times New Roman" w:eastAsia="Times New Roman" w:cs="Times New Roman"/>
        </w:rPr>
        <w:t xml:space="preserve"> </w:t>
      </w:r>
      <w:r>
        <w:rPr>
          <w:rFonts w:ascii="Ebrima" w:hAnsi="Ebrima" w:eastAsia="Ebrima" w:cs="Ebrima"/>
        </w:rPr>
        <w:t>የሁለት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ትንቢትን</w:t>
      </w:r>
      <w:r>
        <w:rPr>
          <w:rFonts w:ascii="Times New Roman" w:hAnsi="Times New Roman" w:eastAsia="Times New Roman" w:cs="Times New Roman"/>
        </w:rPr>
        <w:t xml:space="preserve"> </w:t>
      </w:r>
      <w:r>
        <w:rPr>
          <w:rFonts w:ascii="Ebrima" w:hAnsi="Ebrima" w:eastAsia="Ebrima" w:cs="Ebrima"/>
        </w:rPr>
        <w:t>በቻርቱ</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መሃል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እንዳላቸው፣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ቻርቶች</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መሃል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መስቀሉን</w:t>
      </w:r>
      <w:r>
        <w:rPr>
          <w:rFonts w:ascii="Times New Roman" w:hAnsi="Times New Roman" w:eastAsia="Times New Roman" w:cs="Times New Roman"/>
        </w:rPr>
        <w:t xml:space="preserve"> </w:t>
      </w:r>
      <w:r>
        <w:rPr>
          <w:rFonts w:ascii="Ebrima" w:hAnsi="Ebrima" w:eastAsia="Ebrima" w:cs="Ebrima"/>
        </w:rPr>
        <w:t>እንዳላቸው፣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ድንገተኛ</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አይደለም።</w:t>
      </w:r>
    </w:p>
    <w:p>
      <w:pPr>
        <w:pStyle w:val="ArticleScripture"/>
        <w:jc w:val="left"/>
      </w:pPr>
      <w:r>
        <w:rPr>
          <w:rFonts w:ascii="Times New Roman" w:hAnsi="Times New Roman" w:eastAsia="Times New Roman" w:cs="Times New Roman"/>
        </w:rPr>
        <w:t>La Bible renferme tous les principes que les hommes ont besoin de comprendre afin d’être préparés soit pour cette vie, soit pour la vie à venir. Et ces principes peuvent être compris de tous. Nul, s’il a un esprit capable d’apprécier son enseignement, ne peut lire un seul passage de la Bible sans en retirer quelque pensée utile. Mais l’enseignement le plus précieux de la Bible ne s’obtient pas par une étude occasionnelle ou fragmentaire. Son grand système de vérité n’y est pas présenté de manière à être discerné par le lecteur hâtif ou négligent. Un grand nombre de ses trésors gisent bien au-dessous de la surface et ne peuvent être obtenus que par une recherche diligente et un effort persévérant. Les vérités qui concourent à former ce grand ensemble doivent être recherchées et recueillies, « un peu ici, un peu là ». Ésaïe 28:10.</w:t>
      </w:r>
    </w:p>
    <w:p>
      <w:pPr>
        <w:pStyle w:val="ArticleScripture"/>
        <w:jc w:val="left"/>
      </w:pPr>
      <w:r>
        <w:rPr>
          <w:rFonts w:ascii="Microsoft YaHei" w:hAnsi="Microsoft YaHei" w:eastAsia="Microsoft YaHei" w:cs="Microsoft YaHei"/>
        </w:rPr>
        <w:t>「</w:t>
      </w:r>
      <w:r>
        <w:rPr>
          <w:rFonts w:ascii="MS Gothic" w:hAnsi="MS Gothic" w:eastAsia="MS Gothic" w:cs="MS Gothic"/>
        </w:rPr>
        <w:t>このように</w:t>
      </w:r>
      <w:r>
        <w:rPr>
          <w:rFonts w:ascii="Microsoft YaHei" w:hAnsi="Microsoft YaHei" w:eastAsia="Microsoft YaHei" w:cs="Microsoft YaHei"/>
        </w:rPr>
        <w:t>探</w:t>
      </w:r>
      <w:r>
        <w:rPr>
          <w:rFonts w:ascii="MS Gothic" w:hAnsi="MS Gothic" w:eastAsia="MS Gothic" w:cs="MS Gothic"/>
        </w:rPr>
        <w:t>り</w:t>
      </w:r>
      <w:r>
        <w:rPr>
          <w:rFonts w:ascii="Microsoft YaHei" w:hAnsi="Microsoft YaHei" w:eastAsia="Microsoft YaHei" w:cs="Microsoft YaHei"/>
        </w:rPr>
        <w:t>出</w:t>
      </w:r>
      <w:r>
        <w:rPr>
          <w:rFonts w:ascii="MS Gothic" w:hAnsi="MS Gothic" w:eastAsia="MS Gothic" w:cs="MS Gothic"/>
        </w:rPr>
        <w:t>され</w:t>
      </w:r>
      <w:r>
        <w:rPr>
          <w:rFonts w:ascii="Microsoft YaHei" w:hAnsi="Microsoft YaHei" w:eastAsia="Microsoft YaHei" w:cs="Microsoft YaHei"/>
        </w:rPr>
        <w:t>、集</w:t>
      </w:r>
      <w:r>
        <w:rPr>
          <w:rFonts w:ascii="MS Gothic" w:hAnsi="MS Gothic" w:eastAsia="MS Gothic" w:cs="MS Gothic"/>
        </w:rPr>
        <w:t>められるとき</w:t>
      </w:r>
      <w:r>
        <w:rPr>
          <w:rFonts w:ascii="Microsoft YaHei" w:hAnsi="Microsoft YaHei" w:eastAsia="Microsoft YaHei" w:cs="Microsoft YaHei"/>
        </w:rPr>
        <w:t>、</w:t>
      </w:r>
      <w:r>
        <w:rPr>
          <w:rFonts w:ascii="MS Gothic" w:hAnsi="MS Gothic" w:eastAsia="MS Gothic" w:cs="MS Gothic"/>
        </w:rPr>
        <w:t>それらは</w:t>
      </w:r>
      <w:r>
        <w:rPr>
          <w:rFonts w:ascii="Microsoft YaHei" w:hAnsi="Microsoft YaHei" w:eastAsia="Microsoft YaHei" w:cs="Microsoft YaHei"/>
        </w:rPr>
        <w:t>互</w:t>
      </w:r>
      <w:r>
        <w:rPr>
          <w:rFonts w:ascii="MS Gothic" w:hAnsi="MS Gothic" w:eastAsia="MS Gothic" w:cs="MS Gothic"/>
        </w:rPr>
        <w:t>いに</w:t>
      </w:r>
      <w:r>
        <w:rPr>
          <w:rFonts w:ascii="Microsoft YaHei" w:hAnsi="Microsoft YaHei" w:eastAsia="Microsoft YaHei" w:cs="Microsoft YaHei"/>
        </w:rPr>
        <w:t>完全</w:t>
      </w:r>
      <w:r>
        <w:rPr>
          <w:rFonts w:ascii="MS Gothic" w:hAnsi="MS Gothic" w:eastAsia="MS Gothic" w:cs="MS Gothic"/>
        </w:rPr>
        <w:t>に</w:t>
      </w:r>
      <w:r>
        <w:rPr>
          <w:rFonts w:ascii="Microsoft YaHei" w:hAnsi="Microsoft YaHei" w:eastAsia="Microsoft YaHei" w:cs="Microsoft YaHei"/>
        </w:rPr>
        <w:t>適合</w:t>
      </w:r>
      <w:r>
        <w:rPr>
          <w:rFonts w:ascii="MS Gothic" w:hAnsi="MS Gothic" w:eastAsia="MS Gothic" w:cs="MS Gothic"/>
        </w:rPr>
        <w:t>していることがわかるであろう</w:t>
      </w:r>
      <w:r>
        <w:rPr>
          <w:rFonts w:ascii="Times New Roman" w:hAnsi="Times New Roman" w:eastAsia="Times New Roman" w:cs="Times New Roman"/>
        </w:rPr>
        <w:t>.</w:t>
      </w:r>
      <w:r>
        <w:rPr>
          <w:rFonts w:ascii="Microsoft YaHei" w:hAnsi="Microsoft YaHei" w:eastAsia="Microsoft YaHei" w:cs="Microsoft YaHei"/>
        </w:rPr>
        <w:t>各福音書</w:t>
      </w:r>
      <w:r>
        <w:rPr>
          <w:rFonts w:ascii="MS Gothic" w:hAnsi="MS Gothic" w:eastAsia="MS Gothic" w:cs="MS Gothic"/>
        </w:rPr>
        <w:t>は</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福音書</w:t>
      </w:r>
      <w:r>
        <w:rPr>
          <w:rFonts w:ascii="MS Gothic" w:hAnsi="MS Gothic" w:eastAsia="MS Gothic" w:cs="MS Gothic"/>
        </w:rPr>
        <w:t>を</w:t>
      </w:r>
      <w:r>
        <w:rPr>
          <w:rFonts w:ascii="Microsoft YaHei" w:hAnsi="Microsoft YaHei" w:eastAsia="Microsoft YaHei" w:cs="Microsoft YaHei"/>
        </w:rPr>
        <w:t>補</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預言</w:t>
      </w:r>
      <w:r>
        <w:rPr>
          <w:rFonts w:ascii="MS Gothic" w:hAnsi="MS Gothic" w:eastAsia="MS Gothic" w:cs="MS Gothic"/>
        </w:rPr>
        <w:t>は</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解明</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あらゆる</w:t>
      </w:r>
      <w:r>
        <w:rPr>
          <w:rFonts w:ascii="Microsoft YaHei" w:hAnsi="Microsoft YaHei" w:eastAsia="Microsoft YaHei" w:cs="Microsoft YaHei"/>
        </w:rPr>
        <w:t>真理</w:t>
      </w:r>
      <w:r>
        <w:rPr>
          <w:rFonts w:ascii="MS Gothic" w:hAnsi="MS Gothic" w:eastAsia="MS Gothic" w:cs="MS Gothic"/>
        </w:rPr>
        <w:t>は</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何</w:t>
      </w:r>
      <w:r>
        <w:rPr>
          <w:rFonts w:ascii="MS Gothic" w:hAnsi="MS Gothic" w:eastAsia="MS Gothic" w:cs="MS Gothic"/>
        </w:rPr>
        <w:t>らかの</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展開</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ユダヤの</w:t>
      </w:r>
      <w:r>
        <w:rPr>
          <w:rFonts w:ascii="Microsoft YaHei" w:hAnsi="Microsoft YaHei" w:eastAsia="Microsoft YaHei" w:cs="Microsoft YaHei"/>
        </w:rPr>
        <w:t>制度</w:t>
      </w:r>
      <w:r>
        <w:rPr>
          <w:rFonts w:ascii="MS Gothic" w:hAnsi="MS Gothic" w:eastAsia="MS Gothic" w:cs="MS Gothic"/>
        </w:rPr>
        <w:t>における</w:t>
      </w:r>
      <w:r>
        <w:rPr>
          <w:rFonts w:ascii="Microsoft YaHei" w:hAnsi="Microsoft YaHei" w:eastAsia="Microsoft YaHei" w:cs="Microsoft YaHei"/>
        </w:rPr>
        <w:t>型</w:t>
      </w:r>
      <w:r>
        <w:rPr>
          <w:rFonts w:ascii="MS Gothic" w:hAnsi="MS Gothic" w:eastAsia="MS Gothic" w:cs="MS Gothic"/>
        </w:rPr>
        <w:t>は</w:t>
      </w:r>
      <w:r>
        <w:rPr>
          <w:rFonts w:ascii="Microsoft YaHei" w:hAnsi="Microsoft YaHei" w:eastAsia="Microsoft YaHei" w:cs="Microsoft YaHei"/>
        </w:rPr>
        <w:t>、福音</w:t>
      </w:r>
      <w:r>
        <w:rPr>
          <w:rFonts w:ascii="MS Gothic" w:hAnsi="MS Gothic" w:eastAsia="MS Gothic" w:cs="MS Gothic"/>
        </w:rPr>
        <w:t>によって</w:t>
      </w:r>
      <w:r>
        <w:rPr>
          <w:rFonts w:ascii="Microsoft YaHei" w:hAnsi="Microsoft YaHei" w:eastAsia="Microsoft YaHei" w:cs="Microsoft YaHei"/>
        </w:rPr>
        <w:t>明</w:t>
      </w:r>
      <w:r>
        <w:rPr>
          <w:rFonts w:ascii="MS Gothic" w:hAnsi="MS Gothic" w:eastAsia="MS Gothic" w:cs="MS Gothic"/>
        </w:rPr>
        <w:t>らかにされる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御言葉</w:t>
      </w:r>
      <w:r>
        <w:rPr>
          <w:rFonts w:ascii="MS Gothic" w:hAnsi="MS Gothic" w:eastAsia="MS Gothic" w:cs="MS Gothic"/>
        </w:rPr>
        <w:t>にあるすべての</w:t>
      </w:r>
      <w:r>
        <w:rPr>
          <w:rFonts w:ascii="Microsoft YaHei" w:hAnsi="Microsoft YaHei" w:eastAsia="Microsoft YaHei" w:cs="Microsoft YaHei"/>
        </w:rPr>
        <w:t>原則</w:t>
      </w:r>
      <w:r>
        <w:rPr>
          <w:rFonts w:ascii="MS Gothic" w:hAnsi="MS Gothic" w:eastAsia="MS Gothic" w:cs="MS Gothic"/>
        </w:rPr>
        <w:t>にはその</w:t>
      </w:r>
      <w:r>
        <w:rPr>
          <w:rFonts w:ascii="Microsoft YaHei" w:hAnsi="Microsoft YaHei" w:eastAsia="Microsoft YaHei" w:cs="Microsoft YaHei"/>
        </w:rPr>
        <w:t>位置</w:t>
      </w:r>
      <w:r>
        <w:rPr>
          <w:rFonts w:ascii="MS Gothic" w:hAnsi="MS Gothic" w:eastAsia="MS Gothic" w:cs="MS Gothic"/>
        </w:rPr>
        <w:t>があり</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事実</w:t>
      </w:r>
      <w:r>
        <w:rPr>
          <w:rFonts w:ascii="MS Gothic" w:hAnsi="MS Gothic" w:eastAsia="MS Gothic" w:cs="MS Gothic"/>
        </w:rPr>
        <w:t>にはその</w:t>
      </w:r>
      <w:r>
        <w:rPr>
          <w:rFonts w:ascii="Microsoft YaHei" w:hAnsi="Microsoft YaHei" w:eastAsia="Microsoft YaHei" w:cs="Microsoft YaHei"/>
        </w:rPr>
        <w:t>意義</w:t>
      </w:r>
      <w:r>
        <w:rPr>
          <w:rFonts w:ascii="MS Gothic" w:hAnsi="MS Gothic" w:eastAsia="MS Gothic" w:cs="MS Gothic"/>
        </w:rPr>
        <w:t>がある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完全</w:t>
      </w:r>
      <w:r>
        <w:rPr>
          <w:rFonts w:ascii="MS Gothic" w:hAnsi="MS Gothic" w:eastAsia="MS Gothic" w:cs="MS Gothic"/>
        </w:rPr>
        <w:t>な</w:t>
      </w:r>
      <w:r>
        <w:rPr>
          <w:rFonts w:ascii="Microsoft YaHei" w:hAnsi="Microsoft YaHei" w:eastAsia="Microsoft YaHei" w:cs="Microsoft YaHei"/>
        </w:rPr>
        <w:t>構造</w:t>
      </w:r>
      <w:r>
        <w:rPr>
          <w:rFonts w:ascii="MS Gothic" w:hAnsi="MS Gothic" w:eastAsia="MS Gothic" w:cs="MS Gothic"/>
        </w:rPr>
        <w:t>は</w:t>
      </w:r>
      <w:r>
        <w:rPr>
          <w:rFonts w:ascii="Microsoft YaHei" w:hAnsi="Microsoft YaHei" w:eastAsia="Microsoft YaHei" w:cs="Microsoft YaHei"/>
        </w:rPr>
        <w:t>、構想</w:t>
      </w:r>
      <w:r>
        <w:rPr>
          <w:rFonts w:ascii="MS Gothic" w:hAnsi="MS Gothic" w:eastAsia="MS Gothic" w:cs="MS Gothic"/>
        </w:rPr>
        <w:t>においても</w:t>
      </w:r>
      <w:r>
        <w:rPr>
          <w:rFonts w:ascii="Microsoft YaHei" w:hAnsi="Microsoft YaHei" w:eastAsia="Microsoft YaHei" w:cs="Microsoft YaHei"/>
        </w:rPr>
        <w:t>実現</w:t>
      </w:r>
      <w:r>
        <w:rPr>
          <w:rFonts w:ascii="MS Gothic" w:hAnsi="MS Gothic" w:eastAsia="MS Gothic" w:cs="MS Gothic"/>
        </w:rPr>
        <w:t>においても</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著者</w:t>
      </w:r>
      <w:r>
        <w:rPr>
          <w:rFonts w:ascii="MS Gothic" w:hAnsi="MS Gothic" w:eastAsia="MS Gothic" w:cs="MS Gothic"/>
        </w:rPr>
        <w:t>について</w:t>
      </w:r>
      <w:r>
        <w:rPr>
          <w:rFonts w:ascii="Microsoft YaHei" w:hAnsi="Microsoft YaHei" w:eastAsia="Microsoft YaHei" w:cs="Microsoft YaHei"/>
        </w:rPr>
        <w:t>証</w:t>
      </w:r>
      <w:r>
        <w:rPr>
          <w:rFonts w:ascii="MS Gothic" w:hAnsi="MS Gothic" w:eastAsia="MS Gothic" w:cs="MS Gothic"/>
        </w:rPr>
        <w:t>ししている</w:t>
      </w:r>
      <w:r>
        <w:rPr>
          <w:rFonts w:ascii="Times New Roman" w:hAnsi="Times New Roman" w:eastAsia="Times New Roman" w:cs="Times New Roman"/>
        </w:rPr>
        <w:t>.</w:t>
      </w:r>
      <w:r>
        <w:rPr>
          <w:rFonts w:ascii="MS Gothic" w:hAnsi="MS Gothic" w:eastAsia="MS Gothic" w:cs="MS Gothic"/>
        </w:rPr>
        <w:t>このような</w:t>
      </w:r>
      <w:r>
        <w:rPr>
          <w:rFonts w:ascii="Microsoft YaHei" w:hAnsi="Microsoft YaHei" w:eastAsia="Microsoft YaHei" w:cs="Microsoft YaHei"/>
        </w:rPr>
        <w:t>構造</w:t>
      </w:r>
      <w:r>
        <w:rPr>
          <w:rFonts w:ascii="MS Gothic" w:hAnsi="MS Gothic" w:eastAsia="MS Gothic" w:cs="MS Gothic"/>
        </w:rPr>
        <w:t>は</w:t>
      </w:r>
      <w:r>
        <w:rPr>
          <w:rFonts w:ascii="Microsoft YaHei" w:hAnsi="Microsoft YaHei" w:eastAsia="Microsoft YaHei" w:cs="Microsoft YaHei"/>
        </w:rPr>
        <w:t>、無限</w:t>
      </w:r>
      <w:r>
        <w:rPr>
          <w:rFonts w:ascii="MS Gothic" w:hAnsi="MS Gothic" w:eastAsia="MS Gothic" w:cs="MS Gothic"/>
        </w:rPr>
        <w:t>なるお</w:t>
      </w:r>
      <w:r>
        <w:rPr>
          <w:rFonts w:ascii="Microsoft YaHei" w:hAnsi="Microsoft YaHei" w:eastAsia="Microsoft YaHei" w:cs="Microsoft YaHei"/>
        </w:rPr>
        <w:t>方</w:t>
      </w:r>
      <w:r>
        <w:rPr>
          <w:rFonts w:ascii="MS Gothic" w:hAnsi="MS Gothic" w:eastAsia="MS Gothic" w:cs="MS Gothic"/>
        </w:rPr>
        <w:t>の</w:t>
      </w:r>
      <w:r>
        <w:rPr>
          <w:rFonts w:ascii="Microsoft YaHei" w:hAnsi="Microsoft YaHei" w:eastAsia="Microsoft YaHei" w:cs="Microsoft YaHei"/>
        </w:rPr>
        <w:t>御思</w:t>
      </w:r>
      <w:r>
        <w:rPr>
          <w:rFonts w:ascii="MS Gothic" w:hAnsi="MS Gothic" w:eastAsia="MS Gothic" w:cs="MS Gothic"/>
        </w:rPr>
        <w:t>いのほかには</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構想</w:t>
      </w:r>
      <w:r>
        <w:rPr>
          <w:rFonts w:ascii="MS Gothic" w:hAnsi="MS Gothic" w:eastAsia="MS Gothic" w:cs="MS Gothic"/>
        </w:rPr>
        <w:t>することも</w:t>
      </w:r>
      <w:r>
        <w:rPr>
          <w:rFonts w:ascii="Microsoft YaHei" w:hAnsi="Microsoft YaHei" w:eastAsia="Microsoft YaHei" w:cs="Microsoft YaHei"/>
        </w:rPr>
        <w:t>形作</w:t>
      </w:r>
      <w:r>
        <w:rPr>
          <w:rFonts w:ascii="MS Gothic" w:hAnsi="MS Gothic" w:eastAsia="MS Gothic" w:cs="MS Gothic"/>
        </w:rPr>
        <w:t>ることもできなかった</w:t>
      </w:r>
      <w:r>
        <w:rPr>
          <w:rFonts w:ascii="Times New Roman" w:hAnsi="Times New Roman" w:eastAsia="Times New Roman" w:cs="Times New Roman"/>
        </w:rPr>
        <w:t>.</w:t>
      </w:r>
      <w:r>
        <w:rPr>
          <w:rFonts w:ascii="Microsoft YaHei" w:hAnsi="Microsoft YaHei" w:eastAsia="Microsoft YaHei" w:cs="Microsoft YaHei"/>
        </w:rPr>
        <w:t>」『教育』</w:t>
      </w:r>
      <w:r>
        <w:rPr>
          <w:rFonts w:ascii="Times New Roman" w:hAnsi="Times New Roman" w:eastAsia="Times New Roman" w:cs="Times New Roman"/>
        </w:rPr>
        <w:t>123</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Nirmala UI" w:hAnsi="Nirmala UI" w:eastAsia="Nirmala UI" w:cs="Nirmala UI"/>
        </w:rPr>
        <w:t>চৰ্চসমূহৰ</w:t>
      </w:r>
      <w:r>
        <w:rPr>
          <w:rFonts w:ascii="Times New Roman" w:hAnsi="Times New Roman" w:eastAsia="Times New Roman" w:cs="Times New Roman"/>
        </w:rPr>
        <w:t xml:space="preserve"> </w:t>
      </w:r>
      <w:r>
        <w:rPr>
          <w:rFonts w:ascii="Nirmala UI" w:hAnsi="Nirmala UI" w:eastAsia="Nirmala UI" w:cs="Nirmala UI"/>
        </w:rPr>
        <w:t>সাতোটাৰ</w:t>
      </w:r>
      <w:r>
        <w:rPr>
          <w:rFonts w:ascii="Times New Roman" w:hAnsi="Times New Roman" w:eastAsia="Times New Roman" w:cs="Times New Roman"/>
        </w:rPr>
        <w:t xml:space="preserve"> </w:t>
      </w:r>
      <w:r>
        <w:rPr>
          <w:rFonts w:ascii="Nirmala UI" w:hAnsi="Nirmala UI" w:eastAsia="Nirmala UI" w:cs="Nirmala UI"/>
        </w:rPr>
        <w:t>প্ৰতিটোৱেই</w:t>
      </w:r>
      <w:r>
        <w:rPr>
          <w:rFonts w:ascii="Times New Roman" w:hAnsi="Times New Roman" w:eastAsia="Times New Roman" w:cs="Times New Roman"/>
        </w:rPr>
        <w:t xml:space="preserve"> </w:t>
      </w:r>
      <w:r>
        <w:rPr>
          <w:rFonts w:ascii="Nirmala UI" w:hAnsi="Nirmala UI" w:eastAsia="Nirmala UI" w:cs="Nirmala UI"/>
        </w:rPr>
        <w:t>মিলাৰাইট</w:t>
      </w:r>
      <w:r>
        <w:rPr>
          <w:rFonts w:ascii="Times New Roman" w:hAnsi="Times New Roman" w:eastAsia="Times New Roman" w:cs="Times New Roman"/>
        </w:rPr>
        <w:t xml:space="preserve"> </w:t>
      </w:r>
      <w:r>
        <w:rPr>
          <w:rFonts w:ascii="Nirmala UI" w:hAnsi="Nirmala UI" w:eastAsia="Nirmala UI" w:cs="Nirmala UI"/>
        </w:rPr>
        <w:t>ইতিহাসত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লগতে</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ইতিহাসতো</w:t>
      </w:r>
      <w:r>
        <w:rPr>
          <w:rFonts w:ascii="Times New Roman" w:hAnsi="Times New Roman" w:eastAsia="Times New Roman" w:cs="Times New Roman"/>
        </w:rPr>
        <w:t xml:space="preserve">, </w:t>
      </w:r>
      <w:r>
        <w:rPr>
          <w:rFonts w:ascii="Nirmala UI" w:hAnsi="Nirmala UI" w:eastAsia="Nirmala UI" w:cs="Nirmala UI"/>
        </w:rPr>
        <w:t>পুনৰাবৃত্ত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নীতিৰ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গুৰুত্বপূৰ্ণ</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যিটো</w:t>
      </w:r>
      <w:r>
        <w:rPr>
          <w:rFonts w:ascii="Times New Roman" w:hAnsi="Times New Roman" w:eastAsia="Times New Roman" w:cs="Times New Roman"/>
        </w:rPr>
        <w:t xml:space="preserve"> </w:t>
      </w:r>
      <w:r>
        <w:rPr>
          <w:rFonts w:ascii="Nirmala UI" w:hAnsi="Nirmala UI" w:eastAsia="Nirmala UI" w:cs="Nirmala UI"/>
        </w:rPr>
        <w:t>প্ৰাৰম্ভিক</w:t>
      </w:r>
      <w:r>
        <w:rPr>
          <w:rFonts w:ascii="Times New Roman" w:hAnsi="Times New Roman" w:eastAsia="Times New Roman" w:cs="Times New Roman"/>
        </w:rPr>
        <w:t xml:space="preserve"> </w:t>
      </w:r>
      <w:r>
        <w:rPr>
          <w:rFonts w:ascii="Nirmala UI" w:hAnsi="Nirmala UI" w:eastAsia="Nirmala UI" w:cs="Nirmala UI"/>
        </w:rPr>
        <w:t>এডভেণ্টবাদে</w:t>
      </w:r>
      <w:r>
        <w:rPr>
          <w:rFonts w:ascii="Times New Roman" w:hAnsi="Times New Roman" w:eastAsia="Times New Roman" w:cs="Times New Roman"/>
        </w:rPr>
        <w:t xml:space="preserve"> </w:t>
      </w:r>
      <w:r>
        <w:rPr>
          <w:rFonts w:ascii="Nirmala UI" w:hAnsi="Nirmala UI" w:eastAsia="Nirmala UI" w:cs="Nirmala UI"/>
        </w:rPr>
        <w:t>স্বীকাৰ</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নীতিয়ে</w:t>
      </w:r>
      <w:r>
        <w:rPr>
          <w:rFonts w:ascii="Times New Roman" w:hAnsi="Times New Roman" w:eastAsia="Times New Roman" w:cs="Times New Roman"/>
        </w:rPr>
        <w:t xml:space="preserve"> </w:t>
      </w:r>
      <w:r>
        <w:rPr>
          <w:rFonts w:ascii="Nirmala UI" w:hAnsi="Nirmala UI" w:eastAsia="Nirmala UI" w:cs="Nirmala UI"/>
        </w:rPr>
        <w:t>প্ৰদৰ্শন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ইতিহাসৰ</w:t>
      </w:r>
      <w:r>
        <w:rPr>
          <w:rFonts w:ascii="Times New Roman" w:hAnsi="Times New Roman" w:eastAsia="Times New Roman" w:cs="Times New Roman"/>
        </w:rPr>
        <w:t xml:space="preserve"> “</w:t>
      </w:r>
      <w:r>
        <w:rPr>
          <w:rFonts w:ascii="Nirmala UI" w:hAnsi="Nirmala UI" w:eastAsia="Nirmala UI" w:cs="Nirmala UI"/>
        </w:rPr>
        <w:t>অভ্যন্তৰীণ</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বহিঃস্থ</w:t>
      </w:r>
      <w:r>
        <w:rPr>
          <w:rFonts w:ascii="Times New Roman" w:hAnsi="Times New Roman" w:eastAsia="Times New Roman" w:cs="Times New Roman"/>
        </w:rPr>
        <w:t xml:space="preserve">” </w:t>
      </w:r>
      <w:r>
        <w:rPr>
          <w:rFonts w:ascii="Nirmala UI" w:hAnsi="Nirmala UI" w:eastAsia="Nirmala UI" w:cs="Nirmala UI"/>
        </w:rPr>
        <w:t>ভৱিষ্যদ্বাণীমূলক</w:t>
      </w:r>
      <w:r>
        <w:rPr>
          <w:rFonts w:ascii="Times New Roman" w:hAnsi="Times New Roman" w:eastAsia="Times New Roman" w:cs="Times New Roman"/>
        </w:rPr>
        <w:t xml:space="preserve"> </w:t>
      </w:r>
      <w:r>
        <w:rPr>
          <w:rFonts w:ascii="Nirmala UI" w:hAnsi="Nirmala UI" w:eastAsia="Nirmala UI" w:cs="Nirmala UI"/>
        </w:rPr>
        <w:t>ধাৰাসমূহ</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আত্মাই</w:t>
      </w:r>
      <w:r>
        <w:rPr>
          <w:rFonts w:ascii="Times New Roman" w:hAnsi="Times New Roman" w:eastAsia="Times New Roman" w:cs="Times New Roman"/>
        </w:rPr>
        <w:t xml:space="preserve"> </w:t>
      </w:r>
      <w:r>
        <w:rPr>
          <w:rFonts w:ascii="Nirmala UI" w:hAnsi="Nirmala UI" w:eastAsia="Nirmala UI" w:cs="Nirmala UI"/>
        </w:rPr>
        <w:t>ব্যৱহাৰ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মিলাৰে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সোজাসুজিকৈ</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দিছিল।</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সঠিকভাৱে</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বাক্যৰ</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মোহৰে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লেচসমূহৰ</w:t>
      </w:r>
      <w:r>
        <w:rPr>
          <w:rFonts w:ascii="Times New Roman" w:hAnsi="Times New Roman" w:eastAsia="Times New Roman" w:cs="Times New Roman"/>
        </w:rPr>
        <w:t xml:space="preserve"> </w:t>
      </w:r>
      <w:r>
        <w:rPr>
          <w:rFonts w:ascii="Nirmala UI" w:hAnsi="Nirmala UI" w:eastAsia="Nirmala UI" w:cs="Nirmala UI"/>
        </w:rPr>
        <w:t>সমান্তৰাল</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সমান্তৰাল</w:t>
      </w:r>
      <w:r>
        <w:rPr>
          <w:rFonts w:ascii="Times New Roman" w:hAnsi="Times New Roman" w:eastAsia="Times New Roman" w:cs="Times New Roman"/>
        </w:rPr>
        <w:t xml:space="preserve"> </w:t>
      </w:r>
      <w:r>
        <w:rPr>
          <w:rFonts w:ascii="Nirmala UI" w:hAnsi="Nirmala UI" w:eastAsia="Nirmala UI" w:cs="Nirmala UI"/>
        </w:rPr>
        <w:t>চিত্ৰণত</w:t>
      </w:r>
      <w:r>
        <w:rPr>
          <w:rFonts w:ascii="Times New Roman" w:hAnsi="Times New Roman" w:eastAsia="Times New Roman" w:cs="Times New Roman"/>
        </w:rPr>
        <w:t xml:space="preserve"> </w:t>
      </w:r>
      <w:r>
        <w:rPr>
          <w:rFonts w:ascii="Nirmala UI" w:hAnsi="Nirmala UI" w:eastAsia="Nirmala UI" w:cs="Nirmala UI"/>
        </w:rPr>
        <w:t>মোহৰসমূহে</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বহিঃস্থ</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লেচসমূহে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ইতিহাসৰ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অভ্যন্তৰীণ</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উৰিয়াহ</w:t>
      </w:r>
      <w:r>
        <w:rPr>
          <w:rFonts w:ascii="Times New Roman" w:hAnsi="Times New Roman" w:eastAsia="Times New Roman" w:cs="Times New Roman"/>
        </w:rPr>
        <w:t xml:space="preserve"> </w:t>
      </w:r>
      <w:r>
        <w:rPr>
          <w:rFonts w:ascii="Nirmala UI" w:hAnsi="Nirmala UI" w:eastAsia="Nirmala UI" w:cs="Nirmala UI"/>
        </w:rPr>
        <w:t>স্মিথেও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নীতিটোক</w:t>
      </w:r>
      <w:r>
        <w:rPr>
          <w:rFonts w:ascii="Times New Roman" w:hAnsi="Times New Roman" w:eastAsia="Times New Roman" w:cs="Times New Roman"/>
        </w:rPr>
        <w:t xml:space="preserve"> </w:t>
      </w:r>
      <w:r>
        <w:rPr>
          <w:rFonts w:ascii="Nirmala UI" w:hAnsi="Nirmala UI" w:eastAsia="Nirmala UI" w:cs="Nirmala UI"/>
        </w:rPr>
        <w:t>আলোচনাৰ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অভ্যন্তৰীণ</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বহিঃস্থ</w:t>
      </w:r>
      <w:r>
        <w:rPr>
          <w:rFonts w:ascii="Times New Roman" w:hAnsi="Times New Roman" w:eastAsia="Times New Roman" w:cs="Times New Roman"/>
        </w:rPr>
        <w:t xml:space="preserve">” </w:t>
      </w:r>
      <w:r>
        <w:rPr>
          <w:rFonts w:ascii="Nirmala UI" w:hAnsi="Nirmala UI" w:eastAsia="Nirmala UI" w:cs="Nirmala UI"/>
        </w:rPr>
        <w:t>শব্দদ্বয়</w:t>
      </w:r>
      <w:r>
        <w:rPr>
          <w:rFonts w:ascii="Times New Roman" w:hAnsi="Times New Roman" w:eastAsia="Times New Roman" w:cs="Times New Roman"/>
        </w:rPr>
        <w:t xml:space="preserve"> </w:t>
      </w:r>
      <w:r>
        <w:rPr>
          <w:rFonts w:ascii="Nirmala UI" w:hAnsi="Nirmala UI" w:eastAsia="Nirmala UI" w:cs="Nirmala UI"/>
        </w:rPr>
        <w:t>ব্যৱহাৰ</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সমান্তৰাল</w:t>
      </w:r>
      <w:r>
        <w:rPr>
          <w:rFonts w:ascii="Times New Roman" w:hAnsi="Times New Roman" w:eastAsia="Times New Roman" w:cs="Times New Roman"/>
        </w:rPr>
        <w:t xml:space="preserve"> </w:t>
      </w:r>
      <w:r>
        <w:rPr>
          <w:rFonts w:ascii="Nirmala UI" w:hAnsi="Nirmala UI" w:eastAsia="Nirmala UI" w:cs="Nirmala UI"/>
        </w:rPr>
        <w:t>ধাৰাক</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সৰ্বোত্তম</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লাগে।</w:t>
      </w:r>
    </w:p>
    <w:p>
      <w:pPr>
        <w:pStyle w:val="ArticleScripture"/>
        <w:jc w:val="left"/>
      </w:pP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සැලකිල්ල</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එළිදරව්වෙහි</w:t>
      </w:r>
      <w:r>
        <w:rPr>
          <w:rFonts w:ascii="Times New Roman" w:hAnsi="Times New Roman" w:eastAsia="Times New Roman" w:cs="Times New Roman"/>
        </w:rPr>
        <w:t xml:space="preserve"> 4, 5, </w:t>
      </w:r>
      <w:r>
        <w:rPr>
          <w:rFonts w:ascii="Nirmala UI" w:hAnsi="Nirmala UI" w:eastAsia="Nirmala UI" w:cs="Nirmala UI"/>
        </w:rPr>
        <w:t>සහ</w:t>
      </w:r>
      <w:r>
        <w:rPr>
          <w:rFonts w:ascii="Times New Roman" w:hAnsi="Times New Roman" w:eastAsia="Times New Roman" w:cs="Times New Roman"/>
        </w:rPr>
        <w:t xml:space="preserve"> 6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පරිච්ඡේදවලදී</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ඉදිරිපත්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දර්ශන</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6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පරිච්ඡේදයෙහිද</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8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පදයෙහිද</w:t>
      </w:r>
      <w:r>
        <w:rPr>
          <w:rFonts w:ascii="Times New Roman" w:hAnsi="Times New Roman" w:eastAsia="Times New Roman" w:cs="Times New Roman"/>
        </w:rPr>
        <w:t xml:space="preserve"> </w:t>
      </w:r>
      <w:r>
        <w:rPr>
          <w:rFonts w:ascii="Nirmala UI" w:hAnsi="Nirmala UI" w:eastAsia="Nirmala UI" w:cs="Nirmala UI"/>
        </w:rPr>
        <w:t>දැක්වෙයි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පැහැදිලිවම</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අවධිකාලයේ</w:t>
      </w:r>
      <w:r>
        <w:rPr>
          <w:rFonts w:ascii="Times New Roman" w:hAnsi="Times New Roman" w:eastAsia="Times New Roman" w:cs="Times New Roman"/>
        </w:rPr>
        <w:t xml:space="preserve"> </w:t>
      </w:r>
      <w:r>
        <w:rPr>
          <w:rFonts w:ascii="Nirmala UI" w:hAnsi="Nirmala UI" w:eastAsia="Nirmala UI" w:cs="Nirmala UI"/>
        </w:rPr>
        <w:t>ආරම්භයේ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සිදුවීම්</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Alors que les sept Églises présentent l’histoire interne de l’Église, les sept sceaux mettent en lumière les grands événements de son histoire externe. » Uriah Smith, The Biblical Institute, 253.</w:t>
      </w:r>
    </w:p>
    <w:p>
      <w:pPr>
        <w:pStyle w:val="ArticleBody"/>
        <w:jc w:val="left"/>
      </w:pPr>
      <w:r>
        <w:rPr>
          <w:rFonts w:ascii="Times New Roman" w:hAnsi="Times New Roman" w:eastAsia="Times New Roman" w:cs="Times New Roman"/>
        </w:rPr>
        <w:t>Kita sekarang akan memulai pembahasan kita mengenai ketujuh jemaat. Penting untuk disadari bahwa dua jemaat yang pertama, dan kemudian kembali jemaat ketiga dan keempat, memiliki hubungan “sebab dan akibat” yang menuntut agar keduanya dipertimbangkan bersama-sama. Smirna adalah jemaat yang melambangkan mereka yang dianiaya oleh Roma, dan Efesus adalah jemaat yang membawa Injil ke seluruh dunia.</w:t>
      </w:r>
    </w:p>
    <w:p>
      <w:pPr>
        <w:pStyle w:val="ArticleScripture"/>
        <w:jc w:val="left"/>
      </w:pP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अन्ताकिया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शिक्षण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बातचीत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शिक्षाओं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लगाकर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अश्रुपूर्ण</w:t>
      </w:r>
      <w:r>
        <w:rPr>
          <w:rFonts w:ascii="Times New Roman" w:hAnsi="Times New Roman" w:eastAsia="Times New Roman" w:cs="Times New Roman"/>
        </w:rPr>
        <w:t xml:space="preserve"> </w:t>
      </w:r>
      <w:r>
        <w:rPr>
          <w:rFonts w:ascii="Nirmala UI" w:hAnsi="Nirmala UI" w:eastAsia="Nirmala UI" w:cs="Nirmala UI"/>
        </w:rPr>
        <w:t>नेत्रों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मुकदमे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सहनशीलता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निन्दा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सतानेवालों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स्वर्गारोहण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मध्यस्थ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Dieu leur donna le nom de chrétiens. C’est là un nom royal, donné à tous ceux qui s’unissent au Christ. C’est de ce nom que Jacques écrivit plus tard : “Ne sont-ce pas les riches qui vous oppriment, et qui vous traînent devant les tribunaux ? Ne sont-ce pas eux qui blasphèment le beau nom qui a été invoqué sur vous ?” Jacques 2:6, 7. Et Pierre déclara : “Si quelqu’un souffre comme chrétien, qu’il n’en ait point honte ; mais qu’il glorifie Dieu à cet égard.” “Si vous êtes outragés pour le nom de Christ, vous êtes heureux, parce que l’Esprit de gloire, l’Esprit de Dieu, repose sur vous.” 1 Pierre 4:16, 14. » Actes des Apôtres, 157.</w:t>
      </w:r>
    </w:p>
    <w:p>
      <w:pPr>
        <w:pStyle w:val="ArticleBody"/>
        <w:jc w:val="left"/>
      </w:pPr>
      <w:r>
        <w:rPr>
          <w:rFonts w:ascii="Times New Roman" w:hAnsi="Times New Roman" w:eastAsia="Times New Roman" w:cs="Times New Roman"/>
        </w:rPr>
        <w:t>Éfésus gyegbɔgbɔ la te ŋu ɖe hame gbãtɔ si nɔ agbe “le Kristo Yesu me le mawusubɔsubɔ me” si nye “ta” aɖe si dzena ɖe “ŋutinya” aɖe dzi ɣesiaɣi.</w:t>
      </w:r>
    </w:p>
    <w:p>
      <w:pPr>
        <w:pStyle w:val="ArticleScripture"/>
        <w:jc w:val="left"/>
      </w:pPr>
      <w:r>
        <w:rPr>
          <w:rFonts w:ascii="Times New Roman" w:hAnsi="Times New Roman" w:eastAsia="Times New Roman" w:cs="Times New Roman"/>
        </w:rPr>
        <w:t>Ndiyo, na wote watakaoishi maisha ya utauwa katika Kristo Yesu watateswa. 2 Timotheo 3:12.</w:t>
      </w:r>
    </w:p>
    <w:p>
      <w:pPr>
        <w:pStyle w:val="ArticleBody"/>
        <w:jc w:val="left"/>
      </w:pPr>
      <w:r>
        <w:rPr>
          <w:rFonts w:ascii="Times New Roman" w:hAnsi="Times New Roman" w:eastAsia="Times New Roman" w:cs="Times New Roman"/>
        </w:rPr>
        <w:t>Ububele bukaNkulunkulu bebandla lase-Efesu baletha ukushushiswa okumelwe yibandla laseSmirna. La mabandla amabili amele ubudlelwane besizathu nomphumela, futhi umphumela udinga ukuba wandulelwe yisizathu. Ukushushiswa kwenhlekelele yomthetho weSonto kugqugquzelwa ukubonakaliswa kwalokho uDade White akubiza ngokuthi “ubungcwele bokuqala.” Ubungcwele obuye babonakaliswa emlandweni odlule, noma emlandweni wokuqala.</w:t>
      </w:r>
    </w:p>
    <w:p>
      <w:pPr>
        <w:pStyle w:val="ArticleScripture"/>
        <w:jc w:val="left"/>
      </w:pPr>
      <w:r>
        <w:rPr>
          <w:rFonts w:ascii="Times New Roman" w:hAnsi="Times New Roman" w:eastAsia="Times New Roman" w:cs="Times New Roman"/>
        </w:rPr>
        <w:t>“Malgré le déclin généralisé de la foi et de la piété, il existe dans ces Églises de véritables disciples du Christ. Avant la visitation finale des jugements de Dieu sur la terre, il y aura parmi le peuple du Seigneur un réveil de la piété primitive tel qu’on n’en a pas vu depuis les temps apostoliques. L’Esprit et la puissance de Dieu seront répandus sur Ses enfants. En ce temps-là, beaucoup se sépareront de ces Églises dans lesquelles l’amour de ce monde a supplanté l’amour pour Dieu et pour Sa parole. Beaucoup, tant parmi les ministres que parmi le peuple, accepteront avec joie ces grandes vérités que Dieu a fait proclamer en ce temps pour préparer un peuple à la seconde venue du Seigneur. L’ennemi des âmes désire entraver cette œuvre; et, avant que le temps d’un tel mouvement n’arrive, il s’efforcera de l’empêcher en introduisant une contrefaçon. Dans les Églises qu’il pourra amener sous son pouvoir séducteur, il fera paraître que la bénédiction spéciale de Dieu y est répandue; on y manifestera ce que l’on croira être un grand intérêt religieux. Des multitudes se réjouiront à l’idée que Dieu agit merveilleusement en leur faveur, alors que l’œuvre est celle d’un autre esprit. Sous un déguisement religieux, Satan cherchera à étendre son influence sur le monde chrétien.” The Great Controversy, 464.</w:t>
      </w:r>
    </w:p>
    <w:p>
      <w:pPr>
        <w:pStyle w:val="ArticleBody"/>
        <w:jc w:val="left"/>
      </w:pPr>
      <w:r>
        <w:rPr>
          <w:rFonts w:ascii="Times New Roman" w:hAnsi="Times New Roman" w:eastAsia="Times New Roman" w:cs="Times New Roman"/>
        </w:rPr>
        <w:t>Les cris de minuit des « derniers jours » sont le réveil de la « piété primitive » désigné dans ce passage. C’est un réveil qui se produit dans un mouvement, et non dans une Église. L’histoire que Sœur White emploie pour décrire ce réveil est celle des « temps apostoliques », représentée par l’Église d’Éphèse. Ce réveil engendrera la « persécution ».</w:t>
      </w:r>
    </w:p>
    <w:p>
      <w:pPr>
        <w:pStyle w:val="ArticleScripture"/>
        <w:jc w:val="left"/>
      </w:pPr>
      <w:r>
        <w:rPr>
          <w:rFonts w:ascii="Times New Roman" w:hAnsi="Times New Roman" w:eastAsia="Times New Roman" w:cs="Times New Roman"/>
        </w:rPr>
        <w:t>«Beaucoup seront emprisonnés, beaucoup fuiront les villes et les bourgs pour sauver leur vie, et beaucoup seront martyrs pour l’amour de Christ en prenant position pour la défense de la vérité.» Messages choisis, livre 3, p. 397.</w:t>
      </w:r>
    </w:p>
    <w:p>
      <w:pPr>
        <w:pStyle w:val="ArticleBody"/>
        <w:jc w:val="left"/>
      </w:pPr>
      <w:r>
        <w:rPr>
          <w:rFonts w:ascii="Times New Roman" w:hAnsi="Times New Roman" w:eastAsia="Times New Roman" w:cs="Times New Roman"/>
        </w:rPr>
        <w:t>A “vida de Cristo na terra”, na passagem seguinte, representa o início da igreja de Éfeso, mas também tipifica a história do Adventismo laodiceano no fim do mundo.</w:t>
      </w:r>
    </w:p>
    <w:p>
      <w:pPr>
        <w:pStyle w:val="ArticleScripture"/>
        <w:jc w:val="left"/>
      </w:pPr>
      <w:r>
        <w:rPr>
          <w:rFonts w:ascii="Times New Roman" w:hAnsi="Times New Roman" w:eastAsia="Times New Roman" w:cs="Times New Roman"/>
        </w:rPr>
        <w:t>«Ներընթաց դատաստանը ետ է դարձված, և արդարությունը հեռու է կանգնած, որովհետև ճշմարտությունը վայր է ընկել հրապարակում, և ուղղամտությունը չի կարող ներս մտնել։ Այո՛, ճշմարտությունը պակասել է, և ով չարից հեռանում է, իրեն որս է դարձնում»։ Եսայիա 59:14, 15։ Սա կատարվեց երկրի վրա Քրիստոսի կյանքում։ Նա հավատարիմ էր Աստծո պատվիրաններին՝ մի կողմ դնելով մարդկային ավանդություններն ու պահանջները, որոնք դրանց փոխարեն բարձրացվել էին։ Դրա պատճառով Նա ատվեց և հալածվեց։ Այս պատմությունը կրկնվում է»։ Christ’s Object Lessons, 170.</w:t>
      </w:r>
    </w:p>
    <w:p>
      <w:pPr>
        <w:pStyle w:val="ArticleBody"/>
        <w:jc w:val="left"/>
      </w:pPr>
      <w:r>
        <w:rPr>
          <w:rFonts w:ascii="Times New Roman" w:hAnsi="Times New Roman" w:eastAsia="Times New Roman" w:cs="Times New Roman"/>
        </w:rPr>
        <w:t>L’expérience représentée par Éphèse se déroule simultanément à l’expérience de Laodicée. Les Juifs ergoteurs étaient les Laodicéens de l’ancien Israël, et le Christ ainsi que Ses disciples étaient des Éphésiens de l’Israël moderne. Jean-Baptiste introduisit l’Église d’Éphèse, et il représente l’Église des « derniers jours », à laquelle s’opposent des Laodicéens, qui se disent Juifs, mais ne le sont pas.</w:t>
      </w:r>
    </w:p>
    <w:p>
      <w:pPr>
        <w:pStyle w:val="ArticleScripture"/>
        <w:jc w:val="left"/>
      </w:pPr>
      <w:r>
        <w:rPr>
          <w:rFonts w:ascii="Times New Roman" w:hAnsi="Times New Roman" w:eastAsia="Times New Roman" w:cs="Times New Roman"/>
        </w:rPr>
        <w:t>„Kazi ya Yohana Mbatizaji, na kazi ya wale ambao katika siku za mwisho watatoka wakiwa na roho na nguvu za Eliya ili kuwaamsha watu kutoka katika hali yao ya kutokujali, kwa mambo mengi ni ile ile. Kazi yake ni mfano wa kazi ambayo ni lazima ifanywe katika wakati huu. Kristo atakuja mara ya pili ili kuuhukumu ulimwengu katika haki. Wajumbe wa Mungu wanaoubeba ujumbe wa mwisho wa onyo utakaotolewa kwa ulimwengu, wanapaswa kuandaa njia kwa ajili ya ujio wa pili wa Kristo, kama Yohana alivyoandaa njia kwa ajili ya ujio wake wa kwanza. Katika kazi hii ya maandalizi, ‘kila bonde litainuliwa, na kila mlima na kilima vitashushwa; na palipopotoka patasawazishwa, na penye kuparuza pataifa tambarare,’ kwa maana historia itajirudia, na kwa mara nyingine tena ‘utukufu wa Bwana utafunuliwa, na wote wenye mwili watauona pamoja; kwa maana kinywa cha Bwana kimenena hayo.’ Southern Watchman, March 21, 1905.</w:t>
      </w:r>
    </w:p>
    <w:p>
      <w:pPr>
        <w:pStyle w:val="ArticleBody"/>
        <w:jc w:val="left"/>
      </w:pPr>
      <w:r>
        <w:rPr>
          <w:rFonts w:ascii="Times New Roman" w:hAnsi="Times New Roman" w:eastAsia="Times New Roman" w:cs="Times New Roman"/>
        </w:rPr>
        <w:t>Efesusi është “shkaku” dhe Smirna është “pasoja”. Edhe Pergami dhe Tiatira përfaqësojnë një marrëdhënie shkak-pasojë. Pergami është kisha e kompromisit që e korruptoi krishterimin duke e përzier me paganizmin. Kisha e krishterë ra kur pranoi premisën se ishte e mundur që idhujtaria e paganizmit të bashkëjetonte brenda kufijve të saj. Perandori Konstandin është simboli i asaj historie komprometuese, dhe roli i tij profetik ishte të sillte rënien e krishterimit të vërtetë përpara se papati të shfaqej.</w:t>
      </w:r>
    </w:p>
    <w:p>
      <w:pPr>
        <w:pStyle w:val="ArticleScripture"/>
        <w:jc w:val="left"/>
      </w:pPr>
      <w:r>
        <w:rPr>
          <w:rFonts w:ascii="Times New Roman" w:hAnsi="Times New Roman" w:eastAsia="Times New Roman" w:cs="Times New Roman"/>
        </w:rPr>
        <w:t>Que personne ne vous séduise d’aucune manière; car ce jour-là ne viendra pas, qu’auparavant ne soit venue l’apostasie, et que ne soit révélé l’homme du péché, le fils de perdition, qui s’oppose et s’élève au-dessus de tout ce qu’on appelle Dieu ou de ce qu’on adore; jusqu’à s’asseoir comme Dieu dans le temple de Dieu, se présentant lui-même comme étant Dieu. Ne vous souvenez-vous pas que, lorsque j’étais encore auprès de vous, je vous disais ces choses? Et maintenant vous savez ce qui le retient, afin qu’il soit révélé en son temps. Car le mystère de l’iniquité agit déjà; il faut seulement que celui qui le retient encore ait disparu. Et alors sera révélé l’Impie, que le Seigneur consumera par le souffle de sa bouche, et qu’il détruira par l’éclat de son avènement. 2 Thessaloniciens 2:3–8.</w:t>
      </w:r>
    </w:p>
    <w:p>
      <w:pPr>
        <w:pStyle w:val="ArticleBody"/>
        <w:jc w:val="left"/>
      </w:pPr>
      <w:r>
        <w:rPr>
          <w:rFonts w:ascii="Times New Roman" w:hAnsi="Times New Roman" w:eastAsia="Times New Roman" w:cs="Times New Roman"/>
        </w:rPr>
        <w:t>L’église de Pergame fut la « cause », et Thyatire en fut l’« effet ». Le prophète Daniel présente souvent l’histoire du paganisme cédant la place à la papauté, et l’apostasie qui précéda l’établissement de la papauté, que Paul a signalée, est abordée dans Daniel onze.</w:t>
      </w:r>
    </w:p>
    <w:p>
      <w:pPr>
        <w:pStyle w:val="ArticleScripture"/>
        <w:jc w:val="left"/>
      </w:pP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কিত্তীমের</w:t>
      </w:r>
      <w:r>
        <w:rPr>
          <w:rFonts w:ascii="Times New Roman" w:hAnsi="Times New Roman" w:eastAsia="Times New Roman" w:cs="Times New Roman"/>
        </w:rPr>
        <w:t xml:space="preserve"> </w:t>
      </w:r>
      <w:r>
        <w:rPr>
          <w:rFonts w:ascii="Nirmala UI" w:hAnsi="Nirmala UI" w:eastAsia="Nirmala UI" w:cs="Nirmala UI"/>
        </w:rPr>
        <w:t>জাহাজসমূহ</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মর্মাহত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পোষণ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সেইরূপই</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সমঝোতা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পরিত্যাগ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বাহিনীসমূহ</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দাঁড়াবে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দুর্গসদৃশ</w:t>
      </w:r>
      <w:r>
        <w:rPr>
          <w:rFonts w:ascii="Times New Roman" w:hAnsi="Times New Roman" w:eastAsia="Times New Roman" w:cs="Times New Roman"/>
        </w:rPr>
        <w:t xml:space="preserve"> </w:t>
      </w:r>
      <w:r>
        <w:rPr>
          <w:rFonts w:ascii="Nirmala UI" w:hAnsi="Nirmala UI" w:eastAsia="Nirmala UI" w:cs="Nirmala UI"/>
        </w:rPr>
        <w:t>পবিত্রস্থানকে</w:t>
      </w:r>
      <w:r>
        <w:rPr>
          <w:rFonts w:ascii="Times New Roman" w:hAnsi="Times New Roman" w:eastAsia="Times New Roman" w:cs="Times New Roman"/>
        </w:rPr>
        <w:t xml:space="preserve"> </w:t>
      </w:r>
      <w:r>
        <w:rPr>
          <w:rFonts w:ascii="Nirmala UI" w:hAnsi="Nirmala UI" w:eastAsia="Nirmala UI" w:cs="Nirmala UI"/>
        </w:rPr>
        <w:t>অপবিত্র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নিত্য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অপসারণ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ধ্বংসসাধনকারী</w:t>
      </w:r>
      <w:r>
        <w:rPr>
          <w:rFonts w:ascii="Times New Roman" w:hAnsi="Times New Roman" w:eastAsia="Times New Roman" w:cs="Times New Roman"/>
        </w:rPr>
        <w:t xml:space="preserve"> </w:t>
      </w:r>
      <w:r>
        <w:rPr>
          <w:rFonts w:ascii="Nirmala UI" w:hAnsi="Nirmala UI" w:eastAsia="Nirmala UI" w:cs="Nirmala UI"/>
        </w:rPr>
        <w:t>জঘন্য</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৩০</w:t>
      </w:r>
      <w:r>
        <w:rPr>
          <w:rFonts w:ascii="Times New Roman" w:hAnsi="Times New Roman" w:eastAsia="Times New Roman" w:cs="Times New Roman"/>
        </w:rPr>
        <w:t>–</w:t>
      </w:r>
      <w:r>
        <w:rPr>
          <w:rFonts w:ascii="Nirmala UI" w:hAnsi="Nirmala UI" w:eastAsia="Nirmala UI" w:cs="Nirmala UI"/>
        </w:rPr>
        <w:t>৩১।</w:t>
      </w:r>
    </w:p>
    <w:p>
      <w:pPr>
        <w:pStyle w:val="ArticleBody"/>
        <w:jc w:val="left"/>
      </w:pPr>
      <w:r>
        <w:rPr>
          <w:rFonts w:ascii="Times New Roman" w:hAnsi="Times New Roman" w:eastAsia="Times New Roman" w:cs="Times New Roman"/>
        </w:rPr>
        <w:t>De kerk van het compromis, die afviel vóórdat de pauselijke macht in de geschiedenis geopenbaard werd, wordt door Daniël voorgesteld als „hen die” „het heilige verbond” verlieten. Nadat zij het verbond hadden verlaten, werd vervolgens het pausdom, door Daniël voorgesteld als de „gruwel die verwoesting veroorzaakt”, op de troon der aarde geplaatst. Zuster White identificeert de laatste zes verzen van Daniël elf wanneer zij verklaart dat de „profetie in het elfde hoofdstuk van Daniël bijna haar volledige vervulling heeft bereikt.” De laatste zes verzen vormen de uiteindelijke vervulling van Daniël elf, en zij leert dat de geschiedenis die door die laatste verzen wordt voorgesteld, werd voorafgeschaduwd door Daniël 11:30–36, waarin de historische „oorzaak en gevolg” worden aangeduid die door Pergamum en Thyatira worden voorgesteld.</w:t>
      </w:r>
    </w:p>
    <w:p>
      <w:pPr>
        <w:pStyle w:val="ArticleScripture"/>
        <w:jc w:val="left"/>
      </w:pPr>
      <w:r>
        <w:rPr>
          <w:rFonts w:ascii="Times New Roman" w:hAnsi="Times New Roman" w:eastAsia="Times New Roman" w:cs="Times New Roman"/>
        </w:rPr>
        <w:t>“Nous n’avons pas de temps à perdre. Des temps de détresse sont devant nous. Le monde est agité par l’esprit de guerre. Bientôt s’accompliront les scènes de trouble annoncées dans les prophéties. La prophétie du chapitre onze de Daniel est presque entièrement accomplie. Une grande partie de l’histoire qui s’est réalisée en accomplissement de cette prophétie se répétera.</w:t>
      </w:r>
    </w:p>
    <w:p>
      <w:pPr>
        <w:pStyle w:val="ArticleScripture"/>
        <w:jc w:val="left"/>
      </w:pPr>
      <w:r>
        <w:rPr>
          <w:rFonts w:ascii="Times New Roman" w:hAnsi="Times New Roman" w:eastAsia="Times New Roman" w:cs="Times New Roman"/>
        </w:rPr>
        <w:t>“Na vesi ya makumi matatu, kunaongelewa nguvu ambayo ‘verses 30 through thirty-six quoted.’”</w:t>
      </w:r>
    </w:p>
    <w:p>
      <w:pPr>
        <w:pStyle w:val="ArticleScripture"/>
        <w:jc w:val="left"/>
      </w:pPr>
      <w:r>
        <w:rPr>
          <w:rFonts w:ascii="Times New Roman" w:hAnsi="Times New Roman" w:eastAsia="Times New Roman" w:cs="Times New Roman"/>
        </w:rPr>
        <w:t>« Des scènes semblables à celles qui sont décrites dans ces paroles se produiront. » Manuscript Releases, no 13, 394.</w:t>
      </w:r>
    </w:p>
    <w:p>
      <w:pPr>
        <w:pStyle w:val="ArticleBody"/>
        <w:jc w:val="left"/>
      </w:pPr>
      <w:r>
        <w:rPr>
          <w:rFonts w:ascii="Times New Roman" w:hAnsi="Times New Roman" w:eastAsia="Times New Roman" w:cs="Times New Roman"/>
        </w:rPr>
        <w:t>La relation de cause à effet entre Pergame et Thyatire, de même que la relation de cause à effet entre Éphèse et Smyrne, se répète dans les « derniers jours ». Les protestants des États-Unis feront un compromis avec l’idolâtrie, telle qu’elle est représentée par Pergame (le signe principal de l’idolâtrie est l’adoration du soleil), et lorsqu’ils apostasieront, la voie sera préparée pour l’homme de péché, afin qu’il soit de nouveau révélé prophétiquement. Tandis que l’apostasie et l’intronisation de la papauté seront répétées, Dieu suscitera simultanément une Église, préfigurée par Éphèse, pour porter au monde le message de Daniel et de l’Apocalypse, et la persécution représentée par Smyrne se répétera.</w:t>
      </w:r>
    </w:p>
    <w:p>
      <w:pPr>
        <w:pStyle w:val="ArticleBody"/>
        <w:jc w:val="left"/>
      </w:pPr>
      <w:r>
        <w:rPr>
          <w:rFonts w:ascii="Times New Roman" w:hAnsi="Times New Roman" w:eastAsia="Times New Roman" w:cs="Times New Roman"/>
        </w:rPr>
        <w:t>Je traiterai les trois dernières Églises après que nous aurons considéré la vérité selon laquelle les quatre premiers sceaux de l’Apocalypse constituent une ligne externe de vérité, qui se déploie parallèlement à la ligne interne de vérité représentée par les quatre premières Églises. Comme cela a déjà été signalé, Uriah Smith l’exprime ainsi :</w:t>
      </w:r>
    </w:p>
    <w:p>
      <w:pPr>
        <w:pStyle w:val="ArticleScripture"/>
        <w:jc w:val="left"/>
      </w:pPr>
      <w:r>
        <w:rPr>
          <w:rFonts w:ascii="Times New Roman" w:hAnsi="Times New Roman" w:eastAsia="Times New Roman" w:cs="Times New Roman"/>
        </w:rPr>
        <w:t>«Alors que les sept Églises présentent l’histoire interne de l’Église, les sept sceaux mettent en évidence les grands événements de son histoire externe.» Uriah Smith, The Biblical Institute, 253.</w:t>
      </w:r>
    </w:p>
    <w:p>
      <w:pPr>
        <w:pStyle w:val="ArticleBody"/>
        <w:jc w:val="left"/>
      </w:pPr>
      <w:r>
        <w:rPr>
          <w:rFonts w:ascii="Nirmala UI" w:hAnsi="Nirmala UI" w:eastAsia="Nirmala UI" w:cs="Nirmala UI"/>
        </w:rPr>
        <w:t>आम्ही</w:t>
      </w:r>
      <w:r>
        <w:rPr>
          <w:rFonts w:ascii="Times New Roman" w:hAnsi="Times New Roman" w:eastAsia="Times New Roman" w:cs="Times New Roman"/>
        </w:rPr>
        <w:t xml:space="preserve"> </w:t>
      </w:r>
      <w:r>
        <w:rPr>
          <w:rFonts w:ascii="Nirmala UI" w:hAnsi="Nirmala UI" w:eastAsia="Nirmala UI" w:cs="Nirmala UI"/>
        </w:rPr>
        <w:t>दाखविले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मंडळ्या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संबंधांचे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दिवसांत</w:t>
      </w:r>
      <w:r>
        <w:rPr>
          <w:rFonts w:ascii="Times New Roman" w:hAnsi="Times New Roman" w:eastAsia="Times New Roman" w:cs="Times New Roman"/>
        </w:rPr>
        <w:t xml:space="preserve">” </w:t>
      </w:r>
      <w:r>
        <w:rPr>
          <w:rFonts w:ascii="Nirmala UI" w:hAnsi="Nirmala UI" w:eastAsia="Nirmala UI" w:cs="Nirmala UI"/>
        </w:rPr>
        <w:t>पुनःप्रकट</w:t>
      </w:r>
      <w:r>
        <w:rPr>
          <w:rFonts w:ascii="Times New Roman" w:hAnsi="Times New Roman" w:eastAsia="Times New Roman" w:cs="Times New Roman"/>
        </w:rPr>
        <w:t xml:space="preserve"> </w:t>
      </w:r>
      <w:r>
        <w:rPr>
          <w:rFonts w:ascii="Nirmala UI" w:hAnsi="Nirmala UI" w:eastAsia="Nirmala UI" w:cs="Nirmala UI"/>
        </w:rPr>
        <w:t>होतात</w:t>
      </w:r>
      <w:r>
        <w:rPr>
          <w:rFonts w:ascii="Times New Roman" w:hAnsi="Times New Roman" w:eastAsia="Times New Roman" w:cs="Times New Roman"/>
        </w:rPr>
        <w:t xml:space="preserve">. </w:t>
      </w:r>
      <w:r>
        <w:rPr>
          <w:rFonts w:ascii="Nirmala UI" w:hAnsi="Nirmala UI" w:eastAsia="Nirmala UI" w:cs="Nirmala UI"/>
        </w:rPr>
        <w:t>ॲडव्हेंटिझमच्या</w:t>
      </w:r>
      <w:r>
        <w:rPr>
          <w:rFonts w:ascii="Times New Roman" w:hAnsi="Times New Roman" w:eastAsia="Times New Roman" w:cs="Times New Roman"/>
        </w:rPr>
        <w:t xml:space="preserve"> </w:t>
      </w:r>
      <w:r>
        <w:rPr>
          <w:rFonts w:ascii="Nirmala UI" w:hAnsi="Nirmala UI" w:eastAsia="Nirmala UI" w:cs="Nirmala UI"/>
        </w:rPr>
        <w:t>अग्रदूतांच्या</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त्याहूनही</w:t>
      </w:r>
      <w:r>
        <w:rPr>
          <w:rFonts w:ascii="Times New Roman" w:hAnsi="Times New Roman" w:eastAsia="Times New Roman" w:cs="Times New Roman"/>
        </w:rPr>
        <w:t xml:space="preserve"> </w:t>
      </w:r>
      <w:r>
        <w:rPr>
          <w:rFonts w:ascii="Nirmala UI" w:hAnsi="Nirmala UI" w:eastAsia="Nirmala UI" w:cs="Nirmala UI"/>
        </w:rPr>
        <w:t>महत्त्वाचे</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वचनाच्या</w:t>
      </w:r>
      <w:r>
        <w:rPr>
          <w:rFonts w:ascii="Times New Roman" w:hAnsi="Times New Roman" w:eastAsia="Times New Roman" w:cs="Times New Roman"/>
        </w:rPr>
        <w:t xml:space="preserve"> </w:t>
      </w:r>
      <w:r>
        <w:rPr>
          <w:rFonts w:ascii="Nirmala UI" w:hAnsi="Nirmala UI" w:eastAsia="Nirmala UI" w:cs="Nirmala UI"/>
        </w:rPr>
        <w:t>अधिकारावर</w:t>
      </w:r>
      <w:r>
        <w:rPr>
          <w:rFonts w:ascii="Times New Roman" w:hAnsi="Times New Roman" w:eastAsia="Times New Roman" w:cs="Times New Roman"/>
        </w:rPr>
        <w:t xml:space="preserve">, </w:t>
      </w:r>
      <w:r>
        <w:rPr>
          <w:rFonts w:ascii="Nirmala UI" w:hAnsi="Nirmala UI" w:eastAsia="Nirmala UI" w:cs="Nirmala UI"/>
        </w:rPr>
        <w:t>मंडळीच्या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अंतर्गत</w:t>
      </w:r>
      <w:r>
        <w:rPr>
          <w:rFonts w:ascii="Times New Roman" w:hAnsi="Times New Roman" w:eastAsia="Times New Roman" w:cs="Times New Roman"/>
        </w:rPr>
        <w:t xml:space="preserve"> </w:t>
      </w:r>
      <w:r>
        <w:rPr>
          <w:rFonts w:ascii="Nirmala UI" w:hAnsi="Nirmala UI" w:eastAsia="Nirmala UI" w:cs="Nirmala UI"/>
        </w:rPr>
        <w:t>इतिहासांना</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शिक्क्यांनी</w:t>
      </w:r>
      <w:r>
        <w:rPr>
          <w:rFonts w:ascii="Times New Roman" w:hAnsi="Times New Roman" w:eastAsia="Times New Roman" w:cs="Times New Roman"/>
        </w:rPr>
        <w:t xml:space="preserve"> </w:t>
      </w:r>
      <w:r>
        <w:rPr>
          <w:rFonts w:ascii="Nirmala UI" w:hAnsi="Nirmala UI" w:eastAsia="Nirmala UI" w:cs="Nirmala UI"/>
        </w:rPr>
        <w:t>दर्शविलेला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पाहिजे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शिक्का</w:t>
      </w:r>
      <w:r>
        <w:rPr>
          <w:rFonts w:ascii="Times New Roman" w:hAnsi="Times New Roman" w:eastAsia="Times New Roman" w:cs="Times New Roman"/>
        </w:rPr>
        <w:t xml:space="preserve"> </w:t>
      </w:r>
      <w:r>
        <w:rPr>
          <w:rFonts w:ascii="Nirmala UI" w:hAnsi="Nirmala UI" w:eastAsia="Nirmala UI" w:cs="Nirmala UI"/>
        </w:rPr>
        <w:t>इफिसुस</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वैशिष्ट्यांचेच</w:t>
      </w:r>
      <w:r>
        <w:rPr>
          <w:rFonts w:ascii="Times New Roman" w:hAnsi="Times New Roman" w:eastAsia="Times New Roman" w:cs="Times New Roman"/>
        </w:rPr>
        <w:t xml:space="preserve"> </w:t>
      </w:r>
      <w:r>
        <w:rPr>
          <w:rFonts w:ascii="Nirmala UI" w:hAnsi="Nirmala UI" w:eastAsia="Nirmala UI" w:cs="Nirmala UI"/>
        </w:rPr>
        <w:t>प्रतिध्वनी</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नेण्याच्या</w:t>
      </w:r>
      <w:r>
        <w:rPr>
          <w:rFonts w:ascii="Times New Roman" w:hAnsi="Times New Roman" w:eastAsia="Times New Roman" w:cs="Times New Roman"/>
        </w:rPr>
        <w:t xml:space="preserve"> </w:t>
      </w:r>
      <w:r>
        <w:rPr>
          <w:rFonts w:ascii="Nirmala UI" w:hAnsi="Nirmala UI" w:eastAsia="Nirmala UI" w:cs="Nirmala UI"/>
        </w:rPr>
        <w:t>कार्याचे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पांढऱ्या</w:t>
      </w:r>
      <w:r>
        <w:rPr>
          <w:rFonts w:ascii="Times New Roman" w:hAnsi="Times New Roman" w:eastAsia="Times New Roman" w:cs="Times New Roman"/>
        </w:rPr>
        <w:t xml:space="preserve"> </w:t>
      </w:r>
      <w:r>
        <w:rPr>
          <w:rFonts w:ascii="Nirmala UI" w:hAnsi="Nirmala UI" w:eastAsia="Nirmala UI" w:cs="Nirmala UI"/>
        </w:rPr>
        <w:t>घोड्याचा</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मंडळीच्या</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कार्याचे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शिक्का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घोड्याद्वारे</w:t>
      </w:r>
      <w:r>
        <w:rPr>
          <w:rFonts w:ascii="Times New Roman" w:hAnsi="Times New Roman" w:eastAsia="Times New Roman" w:cs="Times New Roman"/>
        </w:rPr>
        <w:t xml:space="preserve"> </w:t>
      </w:r>
      <w:r>
        <w:rPr>
          <w:rFonts w:ascii="Nirmala UI" w:hAnsi="Nirmala UI" w:eastAsia="Nirmala UI" w:cs="Nirmala UI"/>
        </w:rPr>
        <w:t>स्मिर्नाच्या</w:t>
      </w:r>
      <w:r>
        <w:rPr>
          <w:rFonts w:ascii="Times New Roman" w:hAnsi="Times New Roman" w:eastAsia="Times New Roman" w:cs="Times New Roman"/>
        </w:rPr>
        <w:t xml:space="preserve"> </w:t>
      </w:r>
      <w:r>
        <w:rPr>
          <w:rFonts w:ascii="Nirmala UI" w:hAnsi="Nirmala UI" w:eastAsia="Nirmala UI" w:cs="Nirmala UI"/>
        </w:rPr>
        <w:t>रक्तस्नानाचे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Kabona mbese Umwana w’intama akingura kamwe mu bimenyetso, numva ijwi risa n’iry’inkuba, kimwe mu bizima bine kivuga kiti: Ngwino urebe. Nuko ndareba, maze mbona ifarasi y’umweru; kandi uwari ayicayeho yari afite umuheto; ahabwa ikamba; maze aragenda anesha kandi kugira ngo arusheho kunesha. Nuko amaze gukingura ikimenyetso cya kabiri, numva ikizima cya kabiri kivuga kiti: Ngwino urebe. Hanyuma hasohoka indi farasi itukura; kandi uwari iyicayeho ahabwa ubushobozi bwo gukura amahoro ku isi, kugira ngo bicane; kandi ahabwa inkota nini. Ibyahishuwe 6:1–4.</w:t>
      </w:r>
    </w:p>
    <w:p>
      <w:pPr>
        <w:pStyle w:val="ArticleBody"/>
        <w:jc w:val="left"/>
      </w:pPr>
      <w:r>
        <w:rPr>
          <w:rFonts w:ascii="Times New Roman" w:hAnsi="Times New Roman" w:eastAsia="Times New Roman" w:cs="Times New Roman"/>
        </w:rPr>
        <w:t>Sakariya ina baadhi ya vifungu vinavyowatambulisha moja kwa moja wale farasi wanne wanaowakilishwa katika mihuri minne ya kwanza ya Ufunuo. Katika mojawapo ya vifungu hivyo katika sura ya kumi, Sakariya anatambulisha kwamba mvua ya mwisho itakapomiminwa, “kundi la Yuda,” ambalo ni “nyumba” ya Mungu, litageuzwa kuwa “farasi wake mzuri vitani.”</w:t>
      </w:r>
    </w:p>
    <w:p>
      <w:pPr>
        <w:pStyle w:val="ArticleScripture"/>
        <w:jc w:val="left"/>
      </w:pPr>
      <w:r>
        <w:rPr>
          <w:rFonts w:ascii="Times New Roman" w:hAnsi="Times New Roman" w:eastAsia="Times New Roman" w:cs="Times New Roman"/>
        </w:rPr>
        <w:t>Demandaad roobka Rabbiga wakhtiga roobka dambe; oo Rabbigu wuxuu samayn doonaa daruuro ifaya, oo wuxuu siin doonaa tiixo roob ah, mid kasta cawska duurka ku yaal. Waayo, sanamyadu waxay ku hadleen wax aan jirin, oo faallolayaashuna waxay arkeen been, oo waxay sheegeen riyooyin been ah; waxay ku qalbi qaboojiyaan micnela’aan; sidaas daraaddeed ayay u tageen sida adhi oo kale, way dhibtoodeen, maxaa yeelay ma jirin adhijir. Cadhadaydu waxay ka holacday adhijirrada, oo waxaan ciqaabay orgiyada; waayo, Rabbiga ciidammadu wuxuu soo booqday adhigiisa oo ah reer Yahuudah, oo wuxuu ka dhigay sidii faraskiisa quruxda badan ee dagaalka. Sekaryaah 10:1–3.</w:t>
      </w:r>
    </w:p>
    <w:p>
      <w:pPr>
        <w:pStyle w:val="ArticleBody"/>
        <w:jc w:val="left"/>
      </w:pPr>
      <w:r>
        <w:rPr>
          <w:rFonts w:ascii="Times New Roman" w:hAnsi="Times New Roman" w:eastAsia="Times New Roman" w:cs="Times New Roman"/>
        </w:rPr>
        <w:t>Ellen White va ta’kidlaydiki, Pentikostdagi Muqaddas Ruhning to‘kilishi hozir yog‘ayotgan keyingi yomg‘irning timsolidir. Pentikostda dunyo uchun qilingan ish Efes jamoati orqali ifodalanadi, va Efes Smirna orqali tasvirlangan quvg‘inni keltirib chiqaradi; Yuhanno esa buni ikkinchi muhrning “qizil oti” sifatida tasvirlaydi. Dastlabki ikki muhr dastlabki ikki jamoat bilan parallel ravishda kechadi va ular keyingi yomg‘ir to‘kilayotgan “oxirgi kunlar”ni tasvirlaydi.</w:t>
      </w:r>
    </w:p>
    <w:p>
      <w:pPr>
        <w:pStyle w:val="ArticleBody"/>
        <w:jc w:val="left"/>
      </w:pPr>
      <w:r>
        <w:rPr>
          <w:rFonts w:ascii="Times New Roman" w:hAnsi="Times New Roman" w:eastAsia="Times New Roman" w:cs="Times New Roman"/>
        </w:rPr>
        <w:t>Roho wa Unabii pia huchagua mwisho wa muhuri wa tatu na mwanzo wa muhuri wa nne, hivyo akiunganisha yote mawili pamoja (sababu na matokeo), na kwa kufanya hivyo anaweka historia inayowakilishwa kuwa ilikuwapo katika siku zake na katika “siku za mwisho.”</w:t>
      </w:r>
    </w:p>
    <w:p>
      <w:pPr>
        <w:pStyle w:val="ArticleScripture"/>
        <w:jc w:val="left"/>
      </w:pPr>
      <w:r>
        <w:rPr>
          <w:rFonts w:ascii="Times New Roman" w:hAnsi="Times New Roman" w:eastAsia="Times New Roman" w:cs="Times New Roman"/>
        </w:rPr>
        <w:t>“Le même esprit se voit aujourd’hui, celui qui est représenté dans Apocalypse 6:6–8. L’histoire doit se répéter. Ce qui a été sera de nouveau.” Manuscript Releases, volume 9, 7.</w:t>
      </w:r>
    </w:p>
    <w:p>
      <w:pPr>
        <w:pStyle w:val="ArticleBody"/>
        <w:jc w:val="left"/>
      </w:pPr>
      <w:r>
        <w:rPr>
          <w:rFonts w:ascii="Times New Roman" w:hAnsi="Times New Roman" w:eastAsia="Times New Roman" w:cs="Times New Roman"/>
        </w:rPr>
        <w:t>Dans l’histoire personnelle de Sœur White (rédigée en 1898), l’esprit de compromis qui prépare la voie pour que la papauté soit de nouveau intronisée était déjà bien vivant et à l’œuvre, car l’apostasie du protestantisme, qui avait commencé avec le rejet du message du premier ange au printemps de 1844, avait déjà commencé (en 1863) à empiéter sur la corne de l’adventisme protestant.</w:t>
      </w:r>
    </w:p>
    <w:p>
      <w:pPr>
        <w:pStyle w:val="ArticleBody"/>
        <w:jc w:val="left"/>
      </w:pPr>
      <w:r>
        <w:rPr>
          <w:rFonts w:ascii="Times New Roman" w:hAnsi="Times New Roman" w:eastAsia="Times New Roman" w:cs="Times New Roman"/>
        </w:rPr>
        <w:t>Die Verfälschung von Pergamon wird im dritten Siegel als ein „Paar“ Waagen dargestellt. Zwei Waagen des Messens stellen ein unehrliches Maß dar. Das dritte Siegel führt zum vierten Siegel, dargestellt durch ein „fahles Pferd“ des „Todes“, und versinnbildlicht so die Ermordung von Millionen durch das Papsttum während des finsteren Mittelalters. Die „Hölle“ ist es, die dem fahlen Pferd des Papsttums folgt. Die Geschichte des dritten und vierten Siegels verläuft parallel zur Geschichte der Gemeinden von Pergamon und Thyatira. Der Kompromiss Konstantins war ein fortschreitendes Werk; daher war der Geist des Kompromisses bereits in der persönlichen Geschichte von Schwester White wirksam, ebenso wie zur Zeit des Paulus, als er sagte: „das Geheimnis der Gesetzlosigkeit ist schon wirksam.“ Der Abfall, der der Thronbesteigung des Papsttums vorausgeht, ist stets eine fortschreitende Geschichte, und diese „Geschichte wird sich wiederholen. Was gewesen ist, wird wieder sein.“</w:t>
      </w:r>
    </w:p>
    <w:p>
      <w:pPr>
        <w:pStyle w:val="ArticleScripture"/>
        <w:jc w:val="left"/>
      </w:pPr>
      <w:r>
        <w:rPr>
          <w:rFonts w:ascii="Times New Roman" w:hAnsi="Times New Roman" w:eastAsia="Times New Roman" w:cs="Times New Roman"/>
        </w:rPr>
        <w:t>Bongo nayokaki mongongo moko na katikati ya banyama minei koloba ete: Eteni moko ya blé mpo na denari moko, mpe biteni misato ya orj mpo na denari moko; kasi kobebisa te mafuta mpe vino. Mpe tango afungolaki elembo ya minei, nayokaki mongongo ya nyama ya minei koloba ete: Yaka mpe tala. Mpe natalaki, mpe tala, mpunda moko ya langi ya pembe-pembe ya liwa; mpe nkombo ya ye oyo afandaki likolo na yango ezalaki Liwa, mpe Nkunda elandaki ye. Mpe bokonzi epesamaki na bango likolo ya eteni ya minei ya mokili, mpo na koboma na mopanga, mpe na nzala, mpe na liwa, mpe na banyama ya mokili. Emoniseli 6:6–8.</w:t>
      </w:r>
    </w:p>
    <w:p>
      <w:pPr>
        <w:pStyle w:val="ArticleBody"/>
        <w:jc w:val="left"/>
      </w:pPr>
      <w:r>
        <w:rPr>
          <w:rFonts w:ascii="Times New Roman" w:hAnsi="Times New Roman" w:eastAsia="Times New Roman" w:cs="Times New Roman"/>
        </w:rPr>
        <w:t>James White a relevé une autre anomalie prophétique dans les sept Églises et les sept sceaux. Il distingue intentionnellement les quatre premières Églises des trois dernières Églises, puis, de nouveau, le même phénomène dans les quatre premiers sceaux et les trois derniers sceaux.</w:t>
      </w:r>
    </w:p>
    <w:p>
      <w:pPr>
        <w:pStyle w:val="ArticleScripture"/>
        <w:jc w:val="left"/>
      </w:pPr>
      <w:r>
        <w:rPr>
          <w:rFonts w:ascii="Times New Roman" w:hAnsi="Times New Roman" w:eastAsia="Times New Roman" w:cs="Times New Roman"/>
        </w:rPr>
        <w:t>“</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पशुओं</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आच्छादित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आच्छादित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1800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आच्छादित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James White, Review and Herald, February 12, 1857.</w:t>
      </w:r>
    </w:p>
    <w:p>
      <w:pPr>
        <w:pStyle w:val="ArticleBody"/>
        <w:jc w:val="left"/>
      </w:pPr>
      <w:r>
        <w:rPr>
          <w:rFonts w:ascii="Times New Roman" w:hAnsi="Times New Roman" w:eastAsia="Times New Roman" w:cs="Times New Roman"/>
        </w:rPr>
        <w:t>Yakobus White hakuingiza ukweli kwamba mtindo uo huo upo pia katika mbiu za tarumbeta, lakini upo. Tarumbeta nne za kwanza ni tarumbeta, lakini tarumbeta tatu za mwisho ni ole tatu. Tarumbeta nne za kwanza zinawakilisha hukumu ya Mungu juu ya Rumi ya kipagani kwa ajili ya sheria ya Jumapili ya Konstantino katika mwaka 321, na ole tatu za tarumbeta zinawakilisha Uislamu. Ole mbili za kwanza za tarumbeta zilikuwa hukumu dhidi ya Rumi ya kipapa kwa ajili ya sheria ya Jumapili iliyowekwa mwaka 538, na ole ya tatu ya tarumbeta ni kwa ajili ya msukosuko wa sheria ya Jumapili unaokuja katika wakati wa karibu sana ujao.</w:t>
      </w:r>
    </w:p>
    <w:p>
      <w:pPr>
        <w:pStyle w:val="ArticleBody"/>
        <w:jc w:val="left"/>
      </w:pPr>
      <w:r>
        <w:rPr>
          <w:rFonts w:ascii="Times New Roman" w:hAnsi="Times New Roman" w:eastAsia="Times New Roman" w:cs="Times New Roman"/>
        </w:rPr>
        <w:t>Joseph Bates utilise la compréhension pionnière des trois dernières Églises comme un symbole unique pour décrire trois Églises contemporaines de la période millérite. Toute l’emphase du passage a été ajoutée par Bates.</w:t>
      </w:r>
    </w:p>
    <w:p>
      <w:pPr>
        <w:pStyle w:val="ArticleScripture"/>
        <w:jc w:val="left"/>
      </w:pPr>
      <w:r>
        <w:rPr>
          <w:rFonts w:ascii="Times New Roman" w:hAnsi="Times New Roman" w:eastAsia="Times New Roman" w:cs="Times New Roman"/>
        </w:rPr>
        <w:t>«“</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निर्मल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सुनेगा।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सार्दिस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नामधारी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नामधारी</w:t>
      </w:r>
      <w:r>
        <w:rPr>
          <w:rFonts w:ascii="Times New Roman" w:hAnsi="Times New Roman" w:eastAsia="Times New Roman" w:cs="Times New Roman"/>
        </w:rPr>
        <w:t xml:space="preserve"> </w:t>
      </w:r>
      <w:r>
        <w:rPr>
          <w:rFonts w:ascii="Nirmala UI" w:hAnsi="Nirmala UI" w:eastAsia="Nirmala UI" w:cs="Nirmala UI"/>
        </w:rPr>
        <w:t>ऐडवेंटिस्ट।</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3:12; </w:t>
      </w:r>
      <w:r>
        <w:rPr>
          <w:rFonts w:ascii="Nirmala UI" w:hAnsi="Nirmala UI" w:eastAsia="Nirmala UI" w:cs="Nirmala UI"/>
        </w:rPr>
        <w:t>इब्रानियों</w:t>
      </w:r>
      <w:r>
        <w:rPr>
          <w:rFonts w:ascii="Times New Roman" w:hAnsi="Times New Roman" w:eastAsia="Times New Roman" w:cs="Times New Roman"/>
        </w:rPr>
        <w:t xml:space="preserve"> 12:22–24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अमोरा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शिक्षाएँ</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भरमाने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Joseph Bates, Review and Herald, volume 1, November 1850.</w:t>
      </w:r>
    </w:p>
    <w:p>
      <w:pPr>
        <w:pStyle w:val="ArticleBody"/>
        <w:jc w:val="left"/>
      </w:pPr>
      <w:r>
        <w:rPr>
          <w:rFonts w:ascii="Times New Roman" w:hAnsi="Times New Roman" w:eastAsia="Times New Roman" w:cs="Times New Roman"/>
        </w:rPr>
        <w:t>Dans l’histoire millérite, Sardes était l’Église qui avait le nom, prétendant être vivante, mais elle était morte.</w:t>
      </w:r>
    </w:p>
    <w:p>
      <w:pPr>
        <w:pStyle w:val="ArticleScripture"/>
        <w:jc w:val="left"/>
      </w:pPr>
      <w:r>
        <w:rPr>
          <w:rFonts w:ascii="Times New Roman" w:hAnsi="Times New Roman" w:eastAsia="Times New Roman" w:cs="Times New Roman"/>
        </w:rPr>
        <w:t>És a szárdiszi gyülekezet angyalának írd meg: Ezt mondja az, akinél az Isten hét Lelke és a hét csillag van: Tudok cselekedeteidről, hogy az a neved, hogy élsz, pedig halott vagy. Jelenések 3:1.</w:t>
      </w:r>
    </w:p>
    <w:p>
      <w:pPr>
        <w:pStyle w:val="ArticleBody"/>
        <w:jc w:val="left"/>
      </w:pPr>
      <w:r>
        <w:rPr>
          <w:rFonts w:ascii="Times New Roman" w:hAnsi="Times New Roman" w:eastAsia="Times New Roman" w:cs="Times New Roman"/>
        </w:rPr>
        <w:t>Vafundisi va Xikwembu minkarhi hinkwayo va ni vito. Vito leri a ri tirhisiwa hi nkarhi wa matimu ya Efesa ku ya fika ePergamo a ku ri Vakriste. Vito leri a ri tirhisiwa hi nkarhi wa ku fuma ka vapapa a ku ri kereke leyi nga le mananga. Vito leri ku sukela eku tsonsiweni ka nyeleti ya nimixo, John Wycliffe, a ku ri Maprotestente. Hi nkarhi wa makumu hi 1798, Maprotestente se a ma sungurile ku tlhelela eka vuhlangi bya Rhoma. Leswi a swi ha laveka hi nkarhi wolowo a ku ri ndzingo lowu a wu ta kombisa ntiyiso wa leswaku, hambileswi a va vula vito rero, a va ha ri kereke leyi hlawuriweke. Hi ximun’wana xa 1844, va fikelele ndzingo lowu a wu ta kombisa leswaku a va ha ri kereke leyi rhwaleke vito ra ntwanano wa Kriste. Hungu ra Eliya ri nyika vumbhoni bya vumbirhi lebyi nga erivaleni swinene bya mhaka leyi. Loko va kombisa ximunhuhatwa xa vona xa ntiyiso, swi ve swi tika eka vaMillerite eku sunguleni ku lemuka leswaku Maprotestente ma kombisile leswaku ma hundzuke vana va xisati va Babilona. Kambe eku heteleleni vaMillerite va endle swona sweswo hi xiviri, kutani va sungula ku vitana mimoya leswaku yi huma eka tikereke teto leti wileke eku hetisiseni ka rungula ra ntsumi ya vumbirhi. Kutani ku ve ni endlelo ra ku ringiwa leri a ri ta endla leswaku vaMillerite va kombisa swimunhuhatwa swa vona. Xana a va ri vaFiladelfiya kumbe vaLaodikiya?</w:t>
      </w:r>
    </w:p>
    <w:p>
      <w:pPr>
        <w:pStyle w:val="ArticleBody"/>
        <w:jc w:val="left"/>
      </w:pPr>
      <w:r>
        <w:rPr>
          <w:rFonts w:ascii="Times New Roman" w:hAnsi="Times New Roman" w:eastAsia="Times New Roman" w:cs="Times New Roman"/>
        </w:rPr>
        <w:t>Les Philadelphiens suivirent le Christ dans le lieu très saint, et ces millérites qui refusèrent de le faire manifestèrent le caractère des Laodicéens. Ainsi trouvons-nous la logique de l’identification, par Bates, de ces trois Églises comme contemporaines d’une même histoire. Cette histoire s’accomplit dans la structure prophétique de la parabole des dix vierges, laquelle, selon l’inspiration, s’est accomplie et s’accomplira jusque dans ses moindres détails.</w:t>
      </w:r>
    </w:p>
    <w:p>
      <w:pPr>
        <w:pStyle w:val="ArticleScripture"/>
        <w:jc w:val="left"/>
      </w:pPr>
      <w:r>
        <w:rPr>
          <w:rFonts w:ascii="Times New Roman" w:hAnsi="Times New Roman" w:eastAsia="Times New Roman" w:cs="Times New Roman"/>
        </w:rPr>
        <w:t>«La parabole des dix vierges de Matthieu 25 illustre également l’expérience du peuple adventiste.» The Great Controversy, 393.</w:t>
      </w:r>
    </w:p>
    <w:p>
      <w:pPr>
        <w:pStyle w:val="ArticleScripture"/>
        <w:jc w:val="left"/>
      </w:pPr>
      <w:r>
        <w:rPr>
          <w:rFonts w:ascii="Times New Roman" w:hAnsi="Times New Roman" w:eastAsia="Times New Roman" w:cs="Times New Roman"/>
        </w:rPr>
        <w:t>«Na kaningi akong itinuturo sa talinghaga tungkol sa sampung dalaga, na ang lima sa kanila ay matatalino, at ang lima ay mangmang. Ang talinghagang ito ay natupad na at matutupad pa hanggang sa pinakaliteral na titik, sapagkat ito ay may natatanging pagkakaugnay sa panahong ito, at, gaya ng mensahe ng ikatlong anghel, ay natupad na at magpapatuloy na maging kasalukuyang katotohanan hanggang sa katapusan ng panahon.» Review and Herald, Agosto 19, 1890.</w:t>
      </w:r>
    </w:p>
    <w:p>
      <w:pPr>
        <w:pStyle w:val="ArticleBody"/>
        <w:jc w:val="left"/>
      </w:pPr>
      <w:r>
        <w:rPr>
          <w:rFonts w:ascii="Times New Roman" w:hAnsi="Times New Roman" w:eastAsia="Times New Roman" w:cs="Times New Roman"/>
        </w:rPr>
        <w:t>Les trois dernières Églises représentent ceux qui étaient hors du mouvement millérite sous l’image de Sardes, tandis que ceux qui étaient au sein du mouvement représentent soit Philadelphie, soit Laodicée. Ces trois Églises sont désignées dans le chapitre trois de l’Apocalypse, et les quatre premières Églises se trouvent au chapitre deux. Par conséquent, lorsque sœur White se réfère à l’histoire du chapitre trois de l’Apocalypse, elle désigne les mêmes Églises que Joseph Bates vient précisément d’identifier.</w:t>
      </w:r>
    </w:p>
    <w:p>
      <w:pPr>
        <w:pStyle w:val="ArticleScripture"/>
        <w:jc w:val="left"/>
      </w:pPr>
      <w:r>
        <w:rPr>
          <w:rFonts w:ascii="Times New Roman" w:hAnsi="Times New Roman" w:eastAsia="Times New Roman" w:cs="Times New Roman"/>
        </w:rPr>
        <w:t>«Oh, quelle description ! Combien nombreux sont ceux qui se trouvent dans cette condition redoutable. J’exhorte instamment chaque ministre à étudier avec diligence le troisième chapitre de l’Apocalypse, car il y est dépeinte la condition des choses existant dans les derniers jours. Étudiez soigneusement chaque verset de ce chapitre, car, par ces paroles, Jésus vous parle.» Manuscript Releases, volume 18, 193.</w:t>
      </w:r>
    </w:p>
    <w:p>
      <w:pPr>
        <w:pStyle w:val="ArticleBody"/>
        <w:jc w:val="left"/>
      </w:pP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সমকালীন</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যোসেফ</w:t>
      </w:r>
      <w:r>
        <w:rPr>
          <w:rFonts w:ascii="Times New Roman" w:hAnsi="Times New Roman" w:eastAsia="Times New Roman" w:cs="Times New Roman"/>
        </w:rPr>
        <w:t xml:space="preserve"> </w:t>
      </w:r>
      <w:r>
        <w:rPr>
          <w:rFonts w:ascii="Nirmala UI" w:hAnsi="Nirmala UI" w:eastAsia="Nirmala UI" w:cs="Nirmala UI"/>
        </w:rPr>
        <w:t>বেটস</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গতিশীলতা</w:t>
      </w:r>
      <w:r>
        <w:rPr>
          <w:rFonts w:ascii="Times New Roman" w:hAnsi="Times New Roman" w:eastAsia="Times New Roman" w:cs="Times New Roman"/>
        </w:rPr>
        <w:t xml:space="preserve"> </w:t>
      </w:r>
      <w:r>
        <w:rPr>
          <w:rFonts w:ascii="Nirmala UI" w:hAnsi="Nirmala UI" w:eastAsia="Nirmala UI" w:cs="Nirmala UI"/>
        </w:rPr>
        <w:t>নিরূপণ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সার্দিসকে</w:t>
      </w:r>
      <w:r>
        <w:rPr>
          <w:rFonts w:ascii="Times New Roman" w:hAnsi="Times New Roman" w:eastAsia="Times New Roman" w:cs="Times New Roman"/>
        </w:rPr>
        <w:t xml:space="preserve"> </w:t>
      </w:r>
      <w:r>
        <w:rPr>
          <w:rFonts w:ascii="Nirmala UI" w:hAnsi="Nirmala UI" w:eastAsia="Nirmala UI" w:cs="Nirmala UI"/>
        </w:rPr>
        <w:t>বাবিলনের</w:t>
      </w:r>
      <w:r>
        <w:rPr>
          <w:rFonts w:ascii="Times New Roman" w:hAnsi="Times New Roman" w:eastAsia="Times New Roman" w:cs="Times New Roman"/>
        </w:rPr>
        <w:t xml:space="preserve"> </w:t>
      </w:r>
      <w:r>
        <w:rPr>
          <w:rFonts w:ascii="Nirmala UI" w:hAnsi="Nirmala UI" w:eastAsia="Nirmala UI" w:cs="Nirmala UI"/>
        </w:rPr>
        <w:t>কন্যাগণ</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লক্ষ্যশ্রোতা।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সংগ্রামকে</w:t>
      </w:r>
      <w:r>
        <w:rPr>
          <w:rFonts w:ascii="Times New Roman" w:hAnsi="Times New Roman" w:eastAsia="Times New Roman" w:cs="Times New Roman"/>
        </w:rPr>
        <w:t xml:space="preserve"> </w:t>
      </w:r>
      <w:r>
        <w:rPr>
          <w:rFonts w:ascii="Nirmala UI" w:hAnsi="Nirmala UI" w:eastAsia="Nirmala UI" w:cs="Nirmala UI"/>
        </w:rPr>
        <w:t>সম্বোধন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প্রবেশকারী</w:t>
      </w:r>
      <w:r>
        <w:rPr>
          <w:rFonts w:ascii="Times New Roman" w:hAnsi="Times New Roman" w:eastAsia="Times New Roman" w:cs="Times New Roman"/>
        </w:rPr>
        <w:t xml:space="preserve"> </w:t>
      </w:r>
      <w:r>
        <w:rPr>
          <w:rFonts w:ascii="Nirmala UI" w:hAnsi="Nirmala UI" w:eastAsia="Nirmala UI" w:cs="Nirmala UI"/>
        </w:rPr>
        <w:t>ক্ষুদ্র</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লাওদিকেয়াবাসীদের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আসার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অন্ধত্বের</w:t>
      </w:r>
      <w:r>
        <w:rPr>
          <w:rFonts w:ascii="Times New Roman" w:hAnsi="Times New Roman" w:eastAsia="Times New Roman" w:cs="Times New Roman"/>
        </w:rPr>
        <w:t xml:space="preserve"> </w:t>
      </w:r>
      <w:r>
        <w:rPr>
          <w:rFonts w:ascii="Nirmala UI" w:hAnsi="Nirmala UI" w:eastAsia="Nirmala UI" w:cs="Nirmala UI"/>
        </w:rPr>
        <w:t>অন্তত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নেতৃস্থানীয়</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ফিলাদেলফিয়ার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বার্তায়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সংগ্রাম।</w:t>
      </w:r>
    </w:p>
    <w:p>
      <w:pPr>
        <w:pStyle w:val="ArticleScripture"/>
        <w:jc w:val="left"/>
      </w:pPr>
      <w:r>
        <w:rPr>
          <w:rFonts w:ascii="Times New Roman" w:hAnsi="Times New Roman" w:eastAsia="Times New Roman" w:cs="Times New Roman"/>
        </w:rPr>
        <w:t>Voici, je ferai en sorte que ceux de la synagogue de Satan, qui se disent Juifs et ne le sont pas, mais mentent, viennent se prosterner à tes pieds, et sachent que je t’ai aimé. Apocalypse 3:9.</w:t>
      </w:r>
    </w:p>
    <w:p>
      <w:pPr>
        <w:pStyle w:val="ArticleBody"/>
        <w:jc w:val="left"/>
      </w:pPr>
      <w:r>
        <w:rPr>
          <w:rFonts w:ascii="Times New Roman" w:hAnsi="Times New Roman" w:eastAsia="Times New Roman" w:cs="Times New Roman"/>
        </w:rPr>
        <w:t>Asehwe a ɔfa som ho ba no, ɛdaadaa nkurɔfo a wɔsom no mu akuw abien bere nyinaa, sɛnea ɛyɛe wɔ Ahodwiriw Kɛse no mu no. Wɔayi Protestantfo atade no afi Sardis so ara pɛ, bere a wɔsan kɔɔ Roma na wɔde aban kwan so bɛyɛɛ Roma babea no. Afei atade no kɔɔ Millerite Adventism nsam, nanso sɔhwɛ bi de, ɛrenkyɛ akyi no, bɛma akuw abien a wɔka sɛ wɔyɛ kuw ketewa no apue. Oguankuw nokware ne oguankuw atoro. Bates gyinaa hɔ maa kuw ketewa a wodi Kristo akyi kɔɔ Kronkron mu Kronkron Bea no. Ne ko no yɛɛ nea ɔne Laodiceafo a wɔka sɛ wɔyɛ kuw ketewa no dii. Sɛ Filadelfiani no, Bates ne Satan hyiadan no na ɛkoe, kuw bi a wɔka sɛ wɔyɛ Onyankopɔn nkurɔfo, nanso wodii atoro na wɔnyɛ Yudafo.</w:t>
      </w:r>
    </w:p>
    <w:p>
      <w:pPr>
        <w:pStyle w:val="ArticleBody"/>
        <w:jc w:val="left"/>
      </w:pPr>
      <w:r>
        <w:rPr>
          <w:rFonts w:ascii="Nirmala UI" w:hAnsi="Nirmala UI" w:eastAsia="Nirmala UI" w:cs="Nirmala UI"/>
        </w:rPr>
        <w:t>अॅडव्हेंटिझमच्या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दृष्टांतकथा</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होईल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काळाच्या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वगळून</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निवडलेले</w:t>
      </w:r>
      <w:r>
        <w:rPr>
          <w:rFonts w:ascii="Times New Roman" w:hAnsi="Times New Roman" w:eastAsia="Times New Roman" w:cs="Times New Roman"/>
        </w:rPr>
        <w:t xml:space="preserve"> </w:t>
      </w:r>
      <w:r>
        <w:rPr>
          <w:rFonts w:ascii="Nirmala UI" w:hAnsi="Nirmala UI" w:eastAsia="Nirmala UI" w:cs="Nirmala UI"/>
        </w:rPr>
        <w:t>करारातील</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असतील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जन्माच्या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नेतृत्वाला</w:t>
      </w:r>
      <w:r>
        <w:rPr>
          <w:rFonts w:ascii="Times New Roman" w:hAnsi="Times New Roman" w:eastAsia="Times New Roman" w:cs="Times New Roman"/>
        </w:rPr>
        <w:t xml:space="preserve"> </w:t>
      </w:r>
      <w:r>
        <w:rPr>
          <w:rFonts w:ascii="Nirmala UI" w:hAnsi="Nirmala UI" w:eastAsia="Nirmala UI" w:cs="Nirmala UI"/>
        </w:rPr>
        <w:t>वगळून</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भविष्यवाणीतील</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काळाच्या</w:t>
      </w:r>
      <w:r>
        <w:rPr>
          <w:rFonts w:ascii="Times New Roman" w:hAnsi="Times New Roman" w:eastAsia="Times New Roman" w:cs="Times New Roman"/>
        </w:rPr>
        <w:t xml:space="preserve"> </w:t>
      </w:r>
      <w:r>
        <w:rPr>
          <w:rFonts w:ascii="Nirmala UI" w:hAnsi="Nirmala UI" w:eastAsia="Nirmala UI" w:cs="Nirmala UI"/>
        </w:rPr>
        <w:t>शेवटाचे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यरुशलेममध्ये</w:t>
      </w:r>
      <w:r>
        <w:rPr>
          <w:rFonts w:ascii="Times New Roman" w:hAnsi="Times New Roman" w:eastAsia="Times New Roman" w:cs="Times New Roman"/>
        </w:rPr>
        <w:t xml:space="preserve"> </w:t>
      </w:r>
      <w:r>
        <w:rPr>
          <w:rFonts w:ascii="Nirmala UI" w:hAnsi="Nirmala UI" w:eastAsia="Nirmala UI" w:cs="Nirmala UI"/>
        </w:rPr>
        <w:t>झालेल्या</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प्रवेशापर्यंत</w:t>
      </w:r>
      <w:r>
        <w:rPr>
          <w:rFonts w:ascii="Times New Roman" w:hAnsi="Times New Roman" w:eastAsia="Times New Roman" w:cs="Times New Roman"/>
        </w:rPr>
        <w:t xml:space="preserve"> </w:t>
      </w:r>
      <w:r>
        <w:rPr>
          <w:rFonts w:ascii="Nirmala UI" w:hAnsi="Nirmala UI" w:eastAsia="Nirmala UI" w:cs="Nirmala UI"/>
        </w:rPr>
        <w:t>पोहोचला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काळातील</w:t>
      </w:r>
      <w:r>
        <w:rPr>
          <w:rFonts w:ascii="Times New Roman" w:hAnsi="Times New Roman" w:eastAsia="Times New Roman" w:cs="Times New Roman"/>
        </w:rPr>
        <w:t xml:space="preserve"> </w:t>
      </w:r>
      <w:r>
        <w:rPr>
          <w:rFonts w:ascii="Nirmala UI" w:hAnsi="Nirmala UI" w:eastAsia="Nirmala UI" w:cs="Nirmala UI"/>
        </w:rPr>
        <w:t>मध्यरात्रीच्या</w:t>
      </w:r>
      <w:r>
        <w:rPr>
          <w:rFonts w:ascii="Times New Roman" w:hAnsi="Times New Roman" w:eastAsia="Times New Roman" w:cs="Times New Roman"/>
        </w:rPr>
        <w:t xml:space="preserve"> </w:t>
      </w:r>
      <w:r>
        <w:rPr>
          <w:rFonts w:ascii="Nirmala UI" w:hAnsi="Nirmala UI" w:eastAsia="Nirmala UI" w:cs="Nirmala UI"/>
        </w:rPr>
        <w:t>हाकेचा</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वारंवार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मार्गचिन्हाला</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च्या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निराशेशी</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इतिहासातील</w:t>
      </w:r>
      <w:r>
        <w:rPr>
          <w:rFonts w:ascii="Times New Roman" w:hAnsi="Times New Roman" w:eastAsia="Times New Roman" w:cs="Times New Roman"/>
        </w:rPr>
        <w:t xml:space="preserve"> </w:t>
      </w:r>
      <w:r>
        <w:rPr>
          <w:rFonts w:ascii="Nirmala UI" w:hAnsi="Nirmala UI" w:eastAsia="Nirmala UI" w:cs="Nirmala UI"/>
        </w:rPr>
        <w:t>लाओदिकीयेकरांचे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प्रेषित</w:t>
      </w:r>
      <w:r>
        <w:rPr>
          <w:rFonts w:ascii="Times New Roman" w:hAnsi="Times New Roman" w:eastAsia="Times New Roman" w:cs="Times New Roman"/>
        </w:rPr>
        <w:t xml:space="preserve"> </w:t>
      </w:r>
      <w:r>
        <w:rPr>
          <w:rFonts w:ascii="Nirmala UI" w:hAnsi="Nirmala UI" w:eastAsia="Nirmala UI" w:cs="Nirmala UI"/>
        </w:rPr>
        <w:t>फिलाडेल्फियेकर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क्रूसानंतर</w:t>
      </w:r>
      <w:r>
        <w:rPr>
          <w:rFonts w:ascii="Times New Roman" w:hAnsi="Times New Roman" w:eastAsia="Times New Roman" w:cs="Times New Roman"/>
        </w:rPr>
        <w:t xml:space="preserve"> </w:t>
      </w:r>
      <w:r>
        <w:rPr>
          <w:rFonts w:ascii="Nirmala UI" w:hAnsi="Nirmala UI" w:eastAsia="Nirmala UI" w:cs="Nirmala UI"/>
        </w:rPr>
        <w:t>साडेतीन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बेट्सने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केलेल्या</w:t>
      </w:r>
      <w:r>
        <w:rPr>
          <w:rFonts w:ascii="Times New Roman" w:hAnsi="Times New Roman" w:eastAsia="Times New Roman" w:cs="Times New Roman"/>
        </w:rPr>
        <w:t xml:space="preserve"> </w:t>
      </w:r>
      <w:r>
        <w:rPr>
          <w:rFonts w:ascii="Nirmala UI" w:hAnsi="Nirmala UI" w:eastAsia="Nirmala UI" w:cs="Nirmala UI"/>
        </w:rPr>
        <w:t>फिलाडेल्फियेकरांनी</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इस्कर्योत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शिष्याने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केलेल्या</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मंडळीमधून</w:t>
      </w:r>
      <w:r>
        <w:rPr>
          <w:rFonts w:ascii="Times New Roman" w:hAnsi="Times New Roman" w:eastAsia="Times New Roman" w:cs="Times New Roman"/>
        </w:rPr>
        <w:t xml:space="preserve"> </w:t>
      </w:r>
      <w:r>
        <w:rPr>
          <w:rFonts w:ascii="Nirmala UI" w:hAnsi="Nirmala UI" w:eastAsia="Nirmala UI" w:cs="Nirmala UI"/>
        </w:rPr>
        <w:t>लाओदिकीयेकरांना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बोलावण्याचा</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Noong 1989, itinakwil ng dating piniling bayang tipan ang liwanag na nabuksan, at sila’y nilampasan. Nang dumating ang unang kabiguan noong Hulyo 18, 2020, nagsimula ang proseso ng pagsubok sa gitna ng mga yaong dating nagmukhang kabilang sa iisang kilusan. Gayunman, ang isang uri ay Laodicean at ang isa namang uri ay Philadelphian. Kung paanong si Judas ay nakipagtipan nang tatlong ulit sa Sanedrin upang ipagkanulo si Cristo bago ang krus, gayundin ang mga Laodicean sa kasaysayang kasunod ng Setyembre 11, 2001 ay mabibigong samantalahin ang tatlong pagkakataon upang magsisi. Sa malapit nang dumating na batas ng Linggo, mahahayag na kasintiyak ng pagkakabigti ni Judas sa isang punò, na ang mga Laodicean ay hiwalay sa mga Philadelphian. Sa pag-aani nagaganap ang paghihiwalay ng mga damo mula sa trigo. Mabilis tayong lumalapit sa pag-aani na iyon.</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सत्यताहरू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चिनिन्छन्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तथ्यलाई</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ऐतिहासिकतावाद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प्रेटेरिज्म</w:t>
      </w:r>
      <w:r>
        <w:rPr>
          <w:rFonts w:ascii="Times New Roman" w:hAnsi="Times New Roman" w:eastAsia="Times New Roman" w:cs="Times New Roman"/>
        </w:rPr>
        <w:t xml:space="preserve">, </w:t>
      </w:r>
      <w:r>
        <w:rPr>
          <w:rFonts w:ascii="Nirmala UI" w:hAnsi="Nirmala UI" w:eastAsia="Nirmala UI" w:cs="Nirmala UI"/>
        </w:rPr>
        <w:t>फ्यूचरिज्म</w:t>
      </w:r>
      <w:r>
        <w:rPr>
          <w:rFonts w:ascii="Times New Roman" w:hAnsi="Times New Roman" w:eastAsia="Times New Roman" w:cs="Times New Roman"/>
        </w:rPr>
        <w:t xml:space="preserve">, </w:t>
      </w:r>
      <w:r>
        <w:rPr>
          <w:rFonts w:ascii="Nirmala UI" w:hAnsi="Nirmala UI" w:eastAsia="Nirmala UI" w:cs="Nirmala UI"/>
        </w:rPr>
        <w:t>डिस्पेन्सेसनालिज्म</w:t>
      </w:r>
      <w:r>
        <w:rPr>
          <w:rFonts w:ascii="Times New Roman" w:hAnsi="Times New Roman" w:eastAsia="Times New Roman" w:cs="Times New Roman"/>
        </w:rPr>
        <w:t xml:space="preserve">, </w:t>
      </w:r>
      <w:r>
        <w:rPr>
          <w:rFonts w:ascii="Nirmala UI" w:hAnsi="Nirmala UI" w:eastAsia="Nirmala UI" w:cs="Nirmala UI"/>
        </w:rPr>
        <w:t>वोक</w:t>
      </w:r>
      <w:r>
        <w:rPr>
          <w:rFonts w:ascii="Times New Roman" w:hAnsi="Times New Roman" w:eastAsia="Times New Roman" w:cs="Times New Roman"/>
        </w:rPr>
        <w:t>-</w:t>
      </w:r>
      <w:r>
        <w:rPr>
          <w:rFonts w:ascii="Nirmala UI" w:hAnsi="Nirmala UI" w:eastAsia="Nirmala UI" w:cs="Nirmala UI"/>
        </w:rPr>
        <w:t>इज्म</w:t>
      </w:r>
      <w:r>
        <w:rPr>
          <w:rFonts w:ascii="Times New Roman" w:hAnsi="Times New Roman" w:eastAsia="Times New Roman" w:cs="Times New Roman"/>
        </w:rPr>
        <w:t xml:space="preserve">, </w:t>
      </w:r>
      <w:r>
        <w:rPr>
          <w:rFonts w:ascii="Nirmala UI" w:hAnsi="Nirmala UI" w:eastAsia="Nirmala UI" w:cs="Nirmala UI"/>
        </w:rPr>
        <w:t>व्याकरणिक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विशेषज्ञता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जालसाजीका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प्रकारहरूमध्ये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शताब्दीका</w:t>
      </w:r>
      <w:r>
        <w:rPr>
          <w:rFonts w:ascii="Times New Roman" w:hAnsi="Times New Roman" w:eastAsia="Times New Roman" w:cs="Times New Roman"/>
        </w:rPr>
        <w:t xml:space="preserve"> </w:t>
      </w:r>
      <w:r>
        <w:rPr>
          <w:rFonts w:ascii="Nirmala UI" w:hAnsi="Nirmala UI" w:eastAsia="Nirmala UI" w:cs="Nirmala UI"/>
        </w:rPr>
        <w:t>दार्शनिक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रूसोका</w:t>
      </w:r>
      <w:r>
        <w:rPr>
          <w:rFonts w:ascii="Times New Roman" w:hAnsi="Times New Roman" w:eastAsia="Times New Roman" w:cs="Times New Roman"/>
        </w:rPr>
        <w:t xml:space="preserve"> </w:t>
      </w:r>
      <w:r>
        <w:rPr>
          <w:rFonts w:ascii="Nirmala UI" w:hAnsi="Nirmala UI" w:eastAsia="Nirmala UI" w:cs="Nirmala UI"/>
        </w:rPr>
        <w:t>नाममा</w:t>
      </w:r>
      <w:r>
        <w:rPr>
          <w:rFonts w:ascii="Times New Roman" w:hAnsi="Times New Roman" w:eastAsia="Times New Roman" w:cs="Times New Roman"/>
        </w:rPr>
        <w:t xml:space="preserve"> </w:t>
      </w:r>
      <w:r>
        <w:rPr>
          <w:rFonts w:ascii="Nirmala UI" w:hAnsi="Nirmala UI" w:eastAsia="Nirmala UI" w:cs="Nirmala UI"/>
        </w:rPr>
        <w:t>प्रचलित</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व्यापक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तरिकाले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विचारको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त्रुटिका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सुख्खा</w:t>
      </w:r>
      <w:r>
        <w:rPr>
          <w:rFonts w:ascii="Times New Roman" w:hAnsi="Times New Roman" w:eastAsia="Times New Roman" w:cs="Times New Roman"/>
        </w:rPr>
        <w:t xml:space="preserve"> </w:t>
      </w:r>
      <w:r>
        <w:rPr>
          <w:rFonts w:ascii="Nirmala UI" w:hAnsi="Nirmala UI" w:eastAsia="Nirmala UI" w:cs="Nirmala UI"/>
        </w:rPr>
        <w:t>भूमिबाट</w:t>
      </w:r>
      <w:r>
        <w:rPr>
          <w:rFonts w:ascii="Times New Roman" w:hAnsi="Times New Roman" w:eastAsia="Times New Roman" w:cs="Times New Roman"/>
        </w:rPr>
        <w:t xml:space="preserve"> </w:t>
      </w:r>
      <w:r>
        <w:rPr>
          <w:rFonts w:ascii="Nirmala UI" w:hAnsi="Nirmala UI" w:eastAsia="Nirmala UI" w:cs="Nirmala UI"/>
        </w:rPr>
        <w:t>उम्रेको</w:t>
      </w:r>
      <w:r>
        <w:rPr>
          <w:rFonts w:ascii="Times New Roman" w:hAnsi="Times New Roman" w:eastAsia="Times New Roman" w:cs="Times New Roman"/>
        </w:rPr>
        <w:t xml:space="preserve"> </w:t>
      </w:r>
      <w:r>
        <w:rPr>
          <w:rFonts w:ascii="Nirmala UI" w:hAnsi="Nirmala UI" w:eastAsia="Nirmala UI" w:cs="Nirmala UI"/>
        </w:rPr>
        <w:t>जराजस्तै</w:t>
      </w:r>
      <w:r>
        <w:rPr>
          <w:rFonts w:ascii="Times New Roman" w:hAnsi="Times New Roman" w:eastAsia="Times New Roman" w:cs="Times New Roman"/>
        </w:rPr>
        <w:t xml:space="preserve"> </w:t>
      </w:r>
      <w:r>
        <w:rPr>
          <w:rFonts w:ascii="Nirmala UI" w:hAnsi="Nirmala UI" w:eastAsia="Nirmala UI" w:cs="Nirmala UI"/>
        </w:rPr>
        <w:t>हुनुहुन्छ।</w:t>
      </w:r>
    </w:p>
    <w:p>
      <w:pPr>
        <w:pStyle w:val="ArticleScripture"/>
        <w:jc w:val="left"/>
      </w:pPr>
      <w:r>
        <w:rPr>
          <w:rFonts w:ascii="Times New Roman" w:hAnsi="Times New Roman" w:eastAsia="Times New Roman" w:cs="Times New Roman"/>
        </w:rPr>
        <w:t>“Cu Biblia se întâmplă la fel, ea fiind vistieria bogățiilor harului Său. Slava adevărurilor ei, care sunt înalte ca cerul și cuprind veșnicia, nu este discernută. Pentru marea masă a omenirii, Hristos Însuși este „ca o rădăcină ieșită dintr-un pământ uscat” și nu văd în El „nicio frumusețe, ca să” Îl „dorim.” Isaia 53:2. Când Isus a fost printre oameni, revelația lui Dumnezeu în omenire, cărturarii și fariseii I-au declarat: „Tu ești samaritean și ai demon.” Ioan 8:48. Chiar și ucenicii Săi erau atât de orbiți de egoismul inimilor lor, încât pricepeau cu greu pe Acela care venise să le descopere iubirea Tatălui. Acesta a fost motivul pentru care Isus a umblat în singurătate în mijlocul oamenilor. Pe deplin a fost înțeles numai în cer.” Cugetări de pe Muntele Fericirilor, 25.</w:t>
      </w:r>
    </w:p>
    <w:p>
      <w:pPr>
        <w:pStyle w:val="ArticleBody"/>
        <w:jc w:val="left"/>
      </w:pPr>
      <w:r>
        <w:rPr>
          <w:rFonts w:ascii="Times New Roman" w:hAnsi="Times New Roman" w:eastAsia="Times New Roman" w:cs="Times New Roman"/>
        </w:rPr>
        <w:t>Aamuun dhugoonni amma qoodaa jirru keessatti beekamuu qabu: guddinni dhugaa seenaa guutuu keessatti adeemsa suuta-suutaatiin guddachaa deema; caalaatti immoo hubannoon keenya dhugaa waa’ee Alfaa fi Oomeegaa keessatti kaa’amuu qaba—haala Yesuus dhuma waan tokkoo jalqaba waan sanaa wajjin walitti hidhatee ibsutti.</w:t>
      </w:r>
    </w:p>
    <w:p>
      <w:pPr>
        <w:pStyle w:val="ArticleBody"/>
        <w:jc w:val="left"/>
      </w:pPr>
      <w:r>
        <w:rPr>
          <w:rFonts w:ascii="Times New Roman" w:hAnsi="Times New Roman" w:eastAsia="Times New Roman" w:cs="Times New Roman"/>
        </w:rPr>
        <w:t>A negyedik gyülekezet Tiatira, és azt az időszakot jelképezi, amikor a pápaság uralkodott mint a bibliai prófécia ötödik királysága; ez az az időszak, amikor a pusztai egyház fogságban volt. A lelki Izráelnek a lelki Babilon általi ezerkétszázhatvan éves fogságát előképezte a szó szerinti Izráelnek a szó szerinti Babilonban eltöltött hetvenéves fogsága.</w:t>
      </w:r>
    </w:p>
    <w:p>
      <w:pPr>
        <w:pStyle w:val="ArticleScripture"/>
        <w:jc w:val="left"/>
      </w:pPr>
      <w:r>
        <w:rPr>
          <w:rFonts w:ascii="Times New Roman" w:hAnsi="Times New Roman" w:eastAsia="Times New Roman" w:cs="Times New Roman"/>
        </w:rPr>
        <w:t>“Сегодня Церковь Божия свободна довести до завершения Божественный замысел о спасении погибающего рода. На протяжении многих столетий народ Божий терпел ограничение своих свобод. Проповедь Евангелия в его чистоте была запрещена, и на тех, кто осмеливался не повиноваться повелениям людей, обрушивались самые суровые наказания. Вследствие этого великий нравственный виноградник Господень оставался почти совершенно незанятым. Народ был лишён света Слова Божьего. Мрак заблуждения и суеверия грозил изгладить знание истинной религии. Церковь Божия на земле во время этого долгого периода неослабевающего гонения была столь же поистине в плену, как и сыны Израилевы, находившиеся в пленении в Вавилоне во дни изгнания”. Prophets and Kings, 714.</w:t>
      </w:r>
    </w:p>
    <w:p>
      <w:pPr>
        <w:pStyle w:val="ArticleBody"/>
        <w:jc w:val="left"/>
      </w:pP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“ff”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बताइए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“ff”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Et il dit : Voici, je conclus une alliance : devant tout ton peuple, je ferai des prodiges tels qu’il n’en a point été fait sur toute la terre ni dans aucune nation ; et tout le peuple au milieu duquel tu te trouves verra l’œuvre de l’Éternel ; car ce que je ferai avec toi sera une chose terrible. Observe ce que je te commande aujourd’hui : voici, je chasse devant toi l’Amoréen, le Cananéen, le Héthien, le Phérézien, le Hévien et le Jébusien. Prends garde à toi-même, de peur que tu ne conclues une alliance avec les habitants du pays où tu vas entrer, de peur qu’ils ne soient un piège au milieu de toi. Mais vous renverserez leurs autels, vous briserez leurs statues, et vous abattrez leurs idoles. Car tu ne te prosterneras devant aucun autre dieu ; car l’Éternel, dont le nom est Jaloux, est un Dieu jaloux. Garde-toi de conclure une alliance avec les habitants du pays, de peur qu’ils ne se prostituent à leurs dieux, qu’ils n’offrent des sacrifices à leurs dieux, que l’un d’eux ne t’invite, et que tu ne manges de son sacrifice ; de peur que tu ne prennes de leurs filles pour tes fils, et que leurs filles ne se prostituent à leurs dieux, et n’entraînent tes fils à se prostituer à leurs dieux. Exode 34:10–16.</w:t>
      </w:r>
    </w:p>
    <w:p>
      <w:pPr>
        <w:pStyle w:val="ArticleBody"/>
        <w:jc w:val="left"/>
      </w:pPr>
      <w:r>
        <w:rPr>
          <w:rFonts w:ascii="Times New Roman" w:hAnsi="Times New Roman" w:eastAsia="Times New Roman" w:cs="Times New Roman"/>
        </w:rPr>
        <w:t>Bu ayette tek başına Tanrı eski İsrail’i iki kez uyarmıştır; ayrıca Kutsal Kitap’ta, eski İsrail’e çevrelerindeki putperest uluslarla hiçbir antlaşma yapmamaları buyruğuna dair daha birçok tanıklık vardır. Bu uzlaşmalar, eski İsrail’in Tanrı’yı ve O’nun teokrasisini reddetmesiyle başladı. Bir kral istediklerinde, Tanrı onların bir krala sahip olmalarına izin verdi; o andan itibaren kralların çoğunluğu ve özellikle kuzeydeki on oymağın her kralı, tam da bu buyruğu hiçe saydı. İsrail’in çevresindeki putperest uluslardan ayrı ve kendine özgü olması gerektiğini öngören ilke reddedildi ve daha sonra Konstantin’in simgesi hâline geleceği uzlaşmayla gözler önüne serildi. Bergama ve Konstantin, Tanrı’nın kilisesine putperestliği sokan İsrail krallarının isyanını temsil eder. Kral Saul ile başlayan sapma, ruhsal Babil’deki esarete götüren Hristiyan kilisesinin sapmasının bir örneğiydi. Kral Saul ile başlayıp Babil sürgününe kadar uzanan kutsal tarih, Bergama kilisesiyle simgelenir. Ardından gelen yetmiş yıllık esaret ise Tiyatira kilisesiydi.</w:t>
      </w:r>
    </w:p>
    <w:p>
      <w:pPr>
        <w:pStyle w:val="ArticleBody"/>
        <w:jc w:val="left"/>
      </w:pPr>
      <w:r>
        <w:rPr>
          <w:rFonts w:ascii="Times New Roman" w:hAnsi="Times New Roman" w:eastAsia="Times New Roman" w:cs="Times New Roman"/>
        </w:rPr>
        <w:t>Efeso representa a igreja que avança para conquistar a Terra Prometida. Efeso representa o tempo de Moisés e a libertação de Israel da servidão do Egito.</w:t>
      </w:r>
    </w:p>
    <w:p>
      <w:pPr>
        <w:pStyle w:val="ArticleScripture"/>
        <w:jc w:val="left"/>
      </w:pPr>
      <w:r>
        <w:rPr>
          <w:rFonts w:ascii="Times New Roman" w:hAnsi="Times New Roman" w:eastAsia="Times New Roman" w:cs="Times New Roman"/>
        </w:rPr>
        <w:t>« La Bible a rassemblé et renfermé ensemble ses trésors pour cette dernière génération. Tous les grands événements et toutes les transactions solennelles de l’histoire de l’Ancien Testament se sont répétés, et se répètent, dans l’Église en ces derniers jours. » Selected Messages, livre 3, p. 338, 339.</w:t>
      </w:r>
    </w:p>
    <w:p>
      <w:pPr>
        <w:pStyle w:val="ArticleBody"/>
        <w:jc w:val="left"/>
      </w:pPr>
      <w:r>
        <w:rPr>
          <w:rFonts w:ascii="Times New Roman" w:hAnsi="Times New Roman" w:eastAsia="Times New Roman" w:cs="Times New Roman"/>
        </w:rPr>
        <w:t>Historia iliyowakilishwa kwa ukombozi kutoka Misri inarudiwa katika siku za mwisho. Kwa hiyo ilirudiwa pia katika historia ya Wamilleri. Ndiyo sababu Sister White hurejelea mara kwa mara historia hiyo ili kuieleza historia ya Wamilleri. Anailinganisha Disappointment Kuu ya 1844 na kukatishwa tamaa kwa Waebrania waliposimama mbele ya Bahari ya Shamu huku jeshi la Farao likiwakaribia kutoka nyuma yao. Pia anaunganisha historia ya ukombozi kutoka Misri na wakati wa Kristo; hivyo, kukatishwa tamaa kwa wanafunzi pale msalabani kulifananishwa na kukatishwa tamaa kulikotokea katika Bahari ya Shamu, ambako nako kulifananisha Disappointment Kuu ya 1844. Kukatishwa tamaa kwa msalaba kuliwakilisha mwanzo wa kanisa la Efeso. Wakati wa Musa mwanzoni mwa Israeli ya kale, uliowakilishwa na kanisa la Efeso, ambao pia ulifananisha mwanzo wa Israeli ya kisasa katika wakati wa Kristo. Historia zote mbili zinawakilishwa na kanisa la Efeso. Kweli tunazotambua hapa mara nyingi zimewasilishwa hadharani katika miaka yote na Future for America, kwa hiyo ninatoa tu muhtasari.</w:t>
      </w:r>
    </w:p>
    <w:p>
      <w:pPr>
        <w:pStyle w:val="ArticleBody"/>
        <w:jc w:val="left"/>
      </w:pPr>
      <w:r>
        <w:rPr>
          <w:rFonts w:ascii="Times New Roman" w:hAnsi="Times New Roman" w:eastAsia="Times New Roman" w:cs="Times New Roman"/>
        </w:rPr>
        <w:t>A cikin tarihin Almasihu, muna samun farkon mutanen sabon alkawari waɗanda ake tayarwa yayinda ake ketare mutanen zaɓaɓɓun alkawari na baya. Tarihin Almasihu shi ne ƙarshen tsohuwar Isra’ila, kuma a cikin tarihin kuɓutarwa daga Masar a farkon tsohuwar Isra’ila, akwai mutanen alkawari da aka riga aka zaɓa waɗanda aka ketare domin sabon mutanen alkawari.</w:t>
      </w:r>
    </w:p>
    <w:p>
      <w:pPr>
        <w:pStyle w:val="ArticleBody"/>
        <w:jc w:val="left"/>
      </w:pPr>
      <w:r>
        <w:rPr>
          <w:rFonts w:ascii="Microsoft YaHei" w:hAnsi="Microsoft YaHei" w:eastAsia="Microsoft YaHei" w:cs="Microsoft YaHei"/>
        </w:rPr>
        <w:t>容我先说明：我目前无法确定</w:t>
      </w:r>
      <w:r>
        <w:rPr>
          <w:rFonts w:ascii="Times New Roman" w:hAnsi="Times New Roman" w:eastAsia="Times New Roman" w:cs="Times New Roman"/>
        </w:rPr>
        <w:t>“ff”</w:t>
      </w:r>
      <w:r>
        <w:rPr>
          <w:rFonts w:ascii="Microsoft YaHei" w:hAnsi="Microsoft YaHei" w:eastAsia="Microsoft YaHei" w:cs="Microsoft YaHei"/>
        </w:rPr>
        <w:t>所指的是哪一种目标语言</w:t>
      </w:r>
      <w:r>
        <w:rPr>
          <w:rFonts w:ascii="Times New Roman" w:hAnsi="Times New Roman" w:eastAsia="Times New Roman" w:cs="Times New Roman"/>
        </w:rPr>
        <w:t>.</w:t>
      </w:r>
      <w:r>
        <w:rPr>
          <w:rFonts w:ascii="Microsoft YaHei" w:hAnsi="Microsoft YaHei" w:eastAsia="Microsoft YaHei" w:cs="Microsoft YaHei"/>
        </w:rPr>
        <w:t>请您告知</w:t>
      </w:r>
      <w:r>
        <w:rPr>
          <w:rFonts w:ascii="Times New Roman" w:hAnsi="Times New Roman" w:eastAsia="Times New Roman" w:cs="Times New Roman"/>
        </w:rPr>
        <w:t>“ff”</w:t>
      </w:r>
      <w:r>
        <w:rPr>
          <w:rFonts w:ascii="Microsoft YaHei" w:hAnsi="Microsoft YaHei" w:eastAsia="Microsoft YaHei" w:cs="Microsoft YaHei"/>
        </w:rPr>
        <w:t>具体代表的语言</w:t>
      </w:r>
      <w:r>
        <w:rPr>
          <w:rFonts w:ascii="Times New Roman" w:hAnsi="Times New Roman" w:eastAsia="Times New Roman" w:cs="Times New Roman"/>
        </w:rPr>
        <w:t>,</w:t>
      </w:r>
      <w:r>
        <w:rPr>
          <w:rFonts w:ascii="Microsoft YaHei" w:hAnsi="Microsoft YaHei" w:eastAsia="Microsoft YaHei" w:cs="Microsoft YaHei"/>
        </w:rPr>
        <w:t>我就能按您的要求准确翻译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Ang pasimula at wakas ng sinaunang Israel, gayundin ang pasimula ng makabagong Israel, ay pawang tumutukoy sa isang paglilipat mula sa dating bayang pinili tungo sa isang bagong bayang pinili. Sa patotoo ng dalawa o tatlong saksi ay pinagtitibay ang isang bagay; at bawat isa sa tatlong linyang ito ng mga saksi ay tumutukoy sa paghihiwalay sa pamamagitan ng diborsyo sa dating bayang pinili, at ang mga saksi ring ito ay nagtataglay ng lagda ng Alpha at Omega, ang Siyang nagpapakilala ng wakas mula sa pasimula. Magkakaroon ng isang dating bayang pinili na lalampasan kapag ang Diyos ay pumasok sa tipan kasama ng isang daan at apatnapu’t apat na libo. Ang Diyos ay hindi may-akda ng kalituhan; Siya ay hindi kailanman nagbabago at ang Kaniyang salita ay hindi kailanman nabibigo.</w:t>
      </w:r>
    </w:p>
    <w:p>
      <w:pPr>
        <w:pStyle w:val="ArticleBody"/>
        <w:jc w:val="left"/>
      </w:pPr>
      <w:r>
        <w:rPr>
          <w:rFonts w:ascii="Times New Roman" w:hAnsi="Times New Roman" w:eastAsia="Times New Roman" w:cs="Times New Roman"/>
        </w:rPr>
        <w:t>Misr se nijaat aur woh fataḥaat jo Khudā ne Yashū‘a ke zariye anjām dīṅ, kalīsiyā-e-Afsus se numāyāṅ hotī hain; lekin Afsus ke muqaddar mein thā ki woh apnī pahli muhabbat kho de. Jab Yashū‘a ko dafn kiya gayā to us ke ba‘d ek dūsrī nasl uṭhī, jo us daur ki nishāndehī kartī hai jis ki numāyandagī Smurna kartī hai. Yashū‘a ka woh ‘ajīb kām jis ke zariye Ma‘ūd Zameen ko sāf kiya gayā thā, kabhī pūre taur par mukammal na ho sakā, kyūṅki log apne āp se mutma’in ho gaye aur us kām ko tark kar baithe jo Yashū‘a ko diyā gayā thā. Unhoṅ ne apnī pahli muhabbat kho dī. Woh daur us waqt tak jārī rahā jab tak Isrā’īl ne Khudā ko rad na kar diyā aur Samū’īl ne Sha’ūl Bādshāh ko masḥ kiyā; is tarah kalīsiyā-e-Pargamus ka āghāz huā.</w:t>
      </w:r>
    </w:p>
    <w:p>
      <w:pPr>
        <w:pStyle w:val="ArticleScripture"/>
        <w:jc w:val="left"/>
      </w:pPr>
      <w:r>
        <w:rPr>
          <w:rFonts w:ascii="Times New Roman" w:hAnsi="Times New Roman" w:eastAsia="Times New Roman" w:cs="Times New Roman"/>
        </w:rPr>
        <w:t>Ang mensahe ay dumating sa Smyrna, isang iglesia sa Asia Minor, at gayundin sa Cristianong iglesia sa kabuuan, noong ikalawa at ikatlong mga siglo. Iyon ay panahong ginagawa ng paganismo ang huling pagtindig nito upang makamit ang kataas-taasang kapangyarihan sa daigdig. Ang Cristianismo ay lumaganap nang may kahanga-hangang bilis, hanggang sa ito ay makilala sa buong sanlibutan. Ang ilan ay yumakap sa pananampalataya kay Cristo dahil sa pagbabagong-loob ng puso, ang iba naman dahil sa lakas ng katuwirang iniharap, at ang iba pa dahil nakikita nilang humihina ang adhikain ng paganismo, at inakay sila ng kapakanang pampulitika sa panig na nangangakong magtatagumpay. Ang mga kalagayang ito ay nagpahina sa espirituwalidad ng iglesia. Ang Espiritu ng Propesiya, na naging katangian ng apostolikong iglesia, ay unti-unting nawala. Ito ay isang kaloob na nagdadala sa iglesiang pinagkatiwalaan nito tungo sa pagkakaisa ng pananampalataya. Nang wala nang mga tunay na propeta, mabilis na lumaganap ang mga maling aral; ang pilosopiya ng mga Griego ay humantong sa maling pagpapakahulugan sa mga Kasulatan, at ang mapagmatwid-sa-sariling diwa ng sinaunang mga Fariseo, na madalas hinatulan ni Cristo, ay muling lumitaw sa gitna ng iglesia. Ang saligan ay nailatag noong dalawang siglong nauna sa paghahari ni Constantino para sa mga kasamaang lubos na umunlad noong dalawang siglong sumunod. Sa panahong ito, naging laganap sa maraming bahagi ng Imperyong Romano ang pagkamartir. Gaano man ito kataka-taka, gayon pa man ay totoo ito. Ito ang naging bunga ng umiiral na ugnayan sa pagitan ng mga Cristiano at mga pagano.</w:t>
      </w:r>
    </w:p>
    <w:p>
      <w:pPr>
        <w:pStyle w:val="ArticleScripture"/>
        <w:jc w:val="left"/>
      </w:pPr>
      <w:r>
        <w:rPr>
          <w:rFonts w:ascii="Times New Roman" w:hAnsi="Times New Roman" w:eastAsia="Times New Roman" w:cs="Times New Roman"/>
        </w:rPr>
        <w:t>«Dans le monde romain, la religion de toutes les nations était respectée; mais les chrétiens n’étaient pas une nation, ils n’étaient qu’une secte issue d’une race méprisée. Lors donc qu’ils persistaient à dénoncer la religion de toutes les catégories d’hommes, qu’ils tenaient des assemblées secrètes et se séparaient entièrement des coutumes et des pratiques de leurs plus proches parents et de leurs amis les plus intimes, ils devenaient des objets de suspicion, et souvent de persécution, de la part des autorités païennes. Souvent, ils attiraient la persécution sur eux-mêmes, alors même qu’il n’existait aucun esprit d’opposition dans l’esprit des gouvernants. Pour illustrer cet esprit, l’histoire rapporte en détail l’exécution de Cyprien, évêque de Carthage. Lorsque sa sentence fut lue, un cri général s’éleva de la multitude des chrétiens qui écoutaient, disant: “Nous mourrons avec lui.”»</w:t>
      </w:r>
    </w:p>
    <w:p>
      <w:pPr>
        <w:pStyle w:val="ArticleScripture"/>
        <w:jc w:val="left"/>
      </w:pPr>
      <w:r>
        <w:rPr>
          <w:rFonts w:ascii="Times New Roman" w:hAnsi="Times New Roman" w:eastAsia="Times New Roman" w:cs="Times New Roman"/>
        </w:rPr>
        <w:t>«Dhiirrigelintii ay Masiixiyiin badan oo qiraal ahaan u ahaa u aqbaleen dhimashada, xataa si aan loo baahnaynna u kiciyeen cadaawadda dawladda, waxay u badan tahay inay wax badan ku lahayd soo saaristii, sannadkii 303 miilaadiga, ee amarkii silicdilka, ee uu bixiyey boqor Diocletian iyo kaaliyihiisii Galerius. Amarkaas ruuxdiisu wuxuu ahaa mid guud oo loo wada siman yahay, waxaana lagu fuliyey si ka adag ama ka jilicsan muddo toban sannadood ah.» Steven Haskell, The Story of the Seer of Patmos, 50. 51.</w:t>
      </w:r>
    </w:p>
    <w:p>
      <w:pPr>
        <w:pStyle w:val="ArticleBody"/>
        <w:jc w:val="left"/>
      </w:pPr>
      <w:r>
        <w:rPr>
          <w:rFonts w:ascii="Times New Roman" w:hAnsi="Times New Roman" w:eastAsia="Times New Roman" w:cs="Times New Roman"/>
        </w:rPr>
        <w:t>Bien que Smyrne soit l’une des deux Églises qui ne reçoivent aucun reproche du Seigneur, l’histoire atteste que ceux qui furent martyrisés durant cette période représentent, pour certains, des personnes dont les motivations reposaient sur des impulsions humaines et non divines. Le livre des Juges s’ouvre en mentionnant la mort de Josué, et l’on y trouve un verset répété deux fois, lequel définit l’histoire des juges. La seconde fois que ce verset est cité, c’est au dernier verset du livre. Le premier verset du livre marque la fin de Josué, et le dernier verset en résume l’histoire.</w:t>
      </w:r>
    </w:p>
    <w:p>
      <w:pPr>
        <w:pStyle w:val="ArticleScripture"/>
        <w:jc w:val="left"/>
      </w:pPr>
      <w:r>
        <w:rPr>
          <w:rFonts w:ascii="Leelawadee UI" w:hAnsi="Leelawadee UI" w:eastAsia="Leelawadee UI" w:cs="Leelawadee UI"/>
        </w:rPr>
        <w:t>แล้วภายหลังการสิ้นชีวิตของโยชูวาก็เป็นดังนี้</w:t>
      </w:r>
      <w:r>
        <w:rPr>
          <w:rFonts w:ascii="Times New Roman" w:hAnsi="Times New Roman" w:eastAsia="Times New Roman" w:cs="Times New Roman"/>
        </w:rPr>
        <w:t xml:space="preserve"> </w:t>
      </w:r>
      <w:r>
        <w:rPr>
          <w:rFonts w:ascii="Leelawadee UI" w:hAnsi="Leelawadee UI" w:eastAsia="Leelawadee UI" w:cs="Leelawadee UI"/>
        </w:rPr>
        <w:t>คือบรรดาชนชาติอิสราเอลได้ทูลถามพระยาห์เวห์ว่า</w:t>
      </w:r>
      <w:r>
        <w:rPr>
          <w:rFonts w:ascii="Times New Roman" w:hAnsi="Times New Roman" w:eastAsia="Times New Roman" w:cs="Times New Roman"/>
        </w:rPr>
        <w:t xml:space="preserve"> “</w:t>
      </w:r>
      <w:r>
        <w:rPr>
          <w:rFonts w:ascii="Leelawadee UI" w:hAnsi="Leelawadee UI" w:eastAsia="Leelawadee UI" w:cs="Leelawadee UI"/>
        </w:rPr>
        <w:t>ผู้ใดจะขึ้นไปก่อนแทนพวกเราเพื่อต่อสู้กับชาวคานาอัน</w:t>
      </w:r>
      <w:r>
        <w:rPr>
          <w:rFonts w:ascii="Times New Roman" w:hAnsi="Times New Roman" w:eastAsia="Times New Roman" w:cs="Times New Roman"/>
        </w:rPr>
        <w:t xml:space="preserve">?”… </w:t>
      </w:r>
      <w:r>
        <w:rPr>
          <w:rFonts w:ascii="Leelawadee UI" w:hAnsi="Leelawadee UI" w:eastAsia="Leelawadee UI" w:cs="Leelawadee UI"/>
        </w:rPr>
        <w:t>ในสมัยนั้นไม่มีกษัตริย์ในอิสราเอล</w:t>
      </w:r>
      <w:r>
        <w:rPr>
          <w:rFonts w:ascii="Times New Roman" w:hAnsi="Times New Roman" w:eastAsia="Times New Roman" w:cs="Times New Roman"/>
        </w:rPr>
        <w:t xml:space="preserve"> </w:t>
      </w:r>
      <w:r>
        <w:rPr>
          <w:rFonts w:ascii="Leelawadee UI" w:hAnsi="Leelawadee UI" w:eastAsia="Leelawadee UI" w:cs="Leelawadee UI"/>
        </w:rPr>
        <w:t>แต่ทุกคนต่างกระทำสิ่งที่ตนเห็นว่าถูกต้องในสายตาของตนเอง</w:t>
      </w:r>
      <w:r>
        <w:rPr>
          <w:rFonts w:ascii="Times New Roman" w:hAnsi="Times New Roman" w:eastAsia="Times New Roman" w:cs="Times New Roman"/>
        </w:rPr>
        <w:t xml:space="preserve">… </w:t>
      </w:r>
      <w:r>
        <w:rPr>
          <w:rFonts w:ascii="Leelawadee UI" w:hAnsi="Leelawadee UI" w:eastAsia="Leelawadee UI" w:cs="Leelawadee UI"/>
        </w:rPr>
        <w:t>ในสมัยนั้นไม่มีกษัตริย์ในอิสราเอล</w:t>
      </w:r>
      <w:r>
        <w:rPr>
          <w:rFonts w:ascii="Times New Roman" w:hAnsi="Times New Roman" w:eastAsia="Times New Roman" w:cs="Times New Roman"/>
        </w:rPr>
        <w:t xml:space="preserve"> </w:t>
      </w:r>
      <w:r>
        <w:rPr>
          <w:rFonts w:ascii="Leelawadee UI" w:hAnsi="Leelawadee UI" w:eastAsia="Leelawadee UI" w:cs="Leelawadee UI"/>
        </w:rPr>
        <w:t>ทุกคนต่างกระทำสิ่งที่ตนเห็นว่าถูกต้องในสายตาของตนเอง</w:t>
      </w:r>
      <w:r>
        <w:rPr>
          <w:rFonts w:ascii="Times New Roman" w:hAnsi="Times New Roman" w:eastAsia="Times New Roman" w:cs="Times New Roman"/>
        </w:rPr>
        <w:t xml:space="preserve"> </w:t>
      </w:r>
      <w:r>
        <w:rPr>
          <w:rFonts w:ascii="Leelawadee UI" w:hAnsi="Leelawadee UI" w:eastAsia="Leelawadee UI" w:cs="Leelawadee UI"/>
        </w:rPr>
        <w:t>ผู้วินิจฉัย</w:t>
      </w:r>
      <w:r>
        <w:rPr>
          <w:rFonts w:ascii="Times New Roman" w:hAnsi="Times New Roman" w:eastAsia="Times New Roman" w:cs="Times New Roman"/>
        </w:rPr>
        <w:t xml:space="preserve"> 1:1; 17:16; 21:25</w:t>
      </w:r>
    </w:p>
    <w:p>
      <w:pPr>
        <w:pStyle w:val="ArticleBody"/>
        <w:jc w:val="left"/>
      </w:pPr>
      <w:r>
        <w:rPr>
          <w:rFonts w:ascii="Times New Roman" w:hAnsi="Times New Roman" w:eastAsia="Times New Roman" w:cs="Times New Roman"/>
        </w:rPr>
        <w:t>Felii seenaa Simirinaa keessatti, “ofii” jalqabaa kaasee hamma dhumaatti mata-duree ijoo ture. Mootii waan hin qabneef, waan isaan gochuu fedhan kamiyyuu akka godhan murteessan. Hanqinni qajeelfamaa kun seenaa Simirinaa keessatti akka Haskell ibsetti, Hafuura Raajii hojjetaa hin jirreen bakka bufamee ture. Seenaalee lamaan keessatti hanqinni qajeelfamaa murteewwan kaka’umsa nama dhuunfaa irratti hundaa’anii akka kennaman karra bane. Efesoon bilisa ba’umsa Gibxii irraa bakka buuti. Seenaa kitaaba Abbootii Murtii keessatti galmeeffame waldaan Simirinaa bakka buuti. Mootii Saa’ol irraa jalqabee hamma booji’amuu Baabilonitti seenaa jiru waldaan Phergaamoon bakka buuti; booji’amuun Baabilon immoo waldaa Tiyaatiraatiin bakka bufama.</w:t>
      </w:r>
    </w:p>
    <w:p>
      <w:pPr>
        <w:pStyle w:val="ArticleBody"/>
        <w:jc w:val="left"/>
      </w:pPr>
      <w:r>
        <w:rPr>
          <w:rFonts w:ascii="Times New Roman" w:hAnsi="Times New Roman" w:eastAsia="Times New Roman" w:cs="Times New Roman"/>
        </w:rPr>
        <w:t>Mukuvumirana nechiitiko chakazivikanwa nemapiyona, mune kupatsanurwa kwechina nechetatu mumakereke, nezvisimbiso, nehwamanda; uye makereke mana okutanga munhoroondo yaIsraeri yekare anotanga nokutapwa kweIjipiti uye anopera nokutapwa kweBhabhironi, nokuti Arfa naOmega nguva dzose anoratidza magumo nokutanga. Makereke mana okutanga munhoroondo yaIsraeri yazvino anotanga nokuiswa kwavaJudha pasi pesimba reRoma, uye makereke mana acho anopera nokuiswa kwavaJudha vomweya pasi peRoma yomweya kwamakore ane chiuru chimwe namazana maviri namakumi matanhatu.</w:t>
      </w:r>
    </w:p>
    <w:p>
      <w:pPr>
        <w:pStyle w:val="ArticleBody"/>
        <w:jc w:val="left"/>
      </w:pPr>
      <w:r>
        <w:rPr>
          <w:rFonts w:ascii="Times New Roman" w:hAnsi="Times New Roman" w:eastAsia="Times New Roman" w:cs="Times New Roman"/>
        </w:rPr>
        <w:t>Ce qui suivit Thyatire fut Sardes, qui commença lorsqu’ils sortirent de la captivité babylonienne préfigurée par Thyatire. Sardes est l’Église qui avait la réputation d’être vivante, mais elle ne vivait pas. Sa profession de vie était un mensonge. Il est intéressant de noter que, parmi les sept Églises, le nom même de Sardes est le seul qui n’ait pas de définition. Des définitions ont été attribuées à Sardes en fonction du contexte de l’histoire et des versets, mais il n’existe aucune définition étymologique de ce nom. Il a un nom, mais il n’en a pas.</w:t>
      </w:r>
    </w:p>
    <w:p>
      <w:pPr>
        <w:pStyle w:val="ArticleScripture"/>
        <w:jc w:val="left"/>
      </w:pPr>
      <w:r>
        <w:rPr>
          <w:rFonts w:ascii="Times New Roman" w:hAnsi="Times New Roman" w:eastAsia="Times New Roman" w:cs="Times New Roman"/>
        </w:rPr>
        <w:t>“Sed templul al doilea nu s-a ridicat la egalitatea celui dintâi în măreție și nici n-a fost sfințit prin acele semne văzute ale prezenței divine care aparținuseră templului dintâi. Nu s-a dat nicio manifestare a puterii supranaturale care să-i marcheze consacrarea. Nu s-a văzut niciun nor de slavă umplând sanctuarul nou zidit. Niciun foc din cer n-a coborât ca să mistuie jertfa de pe altarul său. Șechina nu mai locuia între heruvimi în locul preasfânt; chivotul, capacul ispășirii și tablele mărturiei nu se mai găseau în el. Niciun glas nu s-a auzit din cer ca să facă cunoscut preotului care întreba voia lui Iehova.” Tragedia veacurilor, 24.</w:t>
      </w:r>
    </w:p>
    <w:p>
      <w:pPr>
        <w:pStyle w:val="ArticleBody"/>
        <w:jc w:val="left"/>
      </w:pPr>
      <w:r>
        <w:rPr>
          <w:rFonts w:ascii="Nirmala UI" w:hAnsi="Nirmala UI" w:eastAsia="Nirmala UI" w:cs="Nirmala UI"/>
        </w:rPr>
        <w:t>ಬಾಬಿಲೋನಿನ</w:t>
      </w:r>
      <w:r>
        <w:rPr>
          <w:rFonts w:ascii="Times New Roman" w:hAnsi="Times New Roman" w:eastAsia="Times New Roman" w:cs="Times New Roman"/>
        </w:rPr>
        <w:t xml:space="preserve"> </w:t>
      </w:r>
      <w:r>
        <w:rPr>
          <w:rFonts w:ascii="Nirmala UI" w:hAnsi="Nirmala UI" w:eastAsia="Nirmala UI" w:cs="Nirmala UI"/>
        </w:rPr>
        <w:t>ಬಂಧನದ</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ಯೆರೂಸಲೇಮನ್ನೂ</w:t>
      </w:r>
      <w:r>
        <w:rPr>
          <w:rFonts w:ascii="Times New Roman" w:hAnsi="Times New Roman" w:eastAsia="Times New Roman" w:cs="Times New Roman"/>
        </w:rPr>
        <w:t xml:space="preserve"> </w:t>
      </w:r>
      <w:r>
        <w:rPr>
          <w:rFonts w:ascii="Nirmala UI" w:hAnsi="Nirmala UI" w:eastAsia="Nirmala UI" w:cs="Nirmala UI"/>
        </w:rPr>
        <w:t>ದೇವಾಲಯವನ್ನೂ</w:t>
      </w:r>
      <w:r>
        <w:rPr>
          <w:rFonts w:ascii="Times New Roman" w:hAnsi="Times New Roman" w:eastAsia="Times New Roman" w:cs="Times New Roman"/>
        </w:rPr>
        <w:t xml:space="preserve"> </w:t>
      </w:r>
      <w:r>
        <w:rPr>
          <w:rFonts w:ascii="Nirmala UI" w:hAnsi="Nirmala UI" w:eastAsia="Nirmala UI" w:cs="Nirmala UI"/>
        </w:rPr>
        <w:t>ಮರುನಿರ್ಮಿಸಿದರು</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ಹೆಸರು</w:t>
      </w:r>
      <w:r>
        <w:rPr>
          <w:rFonts w:ascii="Times New Roman" w:hAnsi="Times New Roman" w:eastAsia="Times New Roman" w:cs="Times New Roman"/>
        </w:rPr>
        <w:t xml:space="preserve"> </w:t>
      </w:r>
      <w:r>
        <w:rPr>
          <w:rFonts w:ascii="Nirmala UI" w:hAnsi="Nirmala UI" w:eastAsia="Nirmala UI" w:cs="Nirmala UI"/>
        </w:rPr>
        <w:t>ದೊರಕಿತು</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ಹೆಸರನ್ನು</w:t>
      </w:r>
      <w:r>
        <w:rPr>
          <w:rFonts w:ascii="Times New Roman" w:hAnsi="Times New Roman" w:eastAsia="Times New Roman" w:cs="Times New Roman"/>
        </w:rPr>
        <w:t xml:space="preserve"> </w:t>
      </w:r>
      <w:r>
        <w:rPr>
          <w:rFonts w:ascii="Nirmala UI" w:hAnsi="Nirmala UI" w:eastAsia="Nirmala UI" w:cs="Nirmala UI"/>
        </w:rPr>
        <w:t>ಯೆರೂಸಲೇಮಿನಲ್ಲಿ</w:t>
      </w:r>
      <w:r>
        <w:rPr>
          <w:rFonts w:ascii="Times New Roman" w:hAnsi="Times New Roman" w:eastAsia="Times New Roman" w:cs="Times New Roman"/>
        </w:rPr>
        <w:t xml:space="preserve"> </w:t>
      </w:r>
      <w:r>
        <w:rPr>
          <w:rFonts w:ascii="Nirmala UI" w:hAnsi="Nirmala UI" w:eastAsia="Nirmala UI" w:cs="Nirmala UI"/>
        </w:rPr>
        <w:t>ಸ್ಥಾಪಿಸುವುದಾಗಿ</w:t>
      </w:r>
      <w:r>
        <w:rPr>
          <w:rFonts w:ascii="Times New Roman" w:hAnsi="Times New Roman" w:eastAsia="Times New Roman" w:cs="Times New Roman"/>
        </w:rPr>
        <w:t xml:space="preserve"> </w:t>
      </w:r>
      <w:r>
        <w:rPr>
          <w:rFonts w:ascii="Nirmala UI" w:hAnsi="Nirmala UI" w:eastAsia="Nirmala UI" w:cs="Nirmala UI"/>
        </w:rPr>
        <w:t>ವಾಗ್ದಾನ</w:t>
      </w:r>
      <w:r>
        <w:rPr>
          <w:rFonts w:ascii="Times New Roman" w:hAnsi="Times New Roman" w:eastAsia="Times New Roman" w:cs="Times New Roman"/>
        </w:rPr>
        <w:t xml:space="preserve"> </w:t>
      </w:r>
      <w:r>
        <w:rPr>
          <w:rFonts w:ascii="Nirmala UI" w:hAnsi="Nirmala UI" w:eastAsia="Nirmala UI" w:cs="Nirmala UI"/>
        </w:rPr>
        <w:t>ಮಾಡಿದ್ದನು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ಹೆಸರು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ಸ್ವಭಾವವನ್ನು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ವೈಯಕ್ತಿಕ</w:t>
      </w:r>
      <w:r>
        <w:rPr>
          <w:rFonts w:ascii="Times New Roman" w:hAnsi="Times New Roman" w:eastAsia="Times New Roman" w:cs="Times New Roman"/>
        </w:rPr>
        <w:t xml:space="preserve"> </w:t>
      </w:r>
      <w:r>
        <w:rPr>
          <w:rFonts w:ascii="Nirmala UI" w:hAnsi="Nirmala UI" w:eastAsia="Nirmala UI" w:cs="Nirmala UI"/>
        </w:rPr>
        <w:t>ಸಾನ್ನಿಧ್ಯದ</w:t>
      </w:r>
      <w:r>
        <w:rPr>
          <w:rFonts w:ascii="Times New Roman" w:hAnsi="Times New Roman" w:eastAsia="Times New Roman" w:cs="Times New Roman"/>
        </w:rPr>
        <w:t xml:space="preserve"> </w:t>
      </w:r>
      <w:r>
        <w:rPr>
          <w:rFonts w:ascii="Nirmala UI" w:hAnsi="Nirmala UI" w:eastAsia="Nirmala UI" w:cs="Nirmala UI"/>
        </w:rPr>
        <w:t>ಅಭಾವವು</w:t>
      </w:r>
      <w:r>
        <w:rPr>
          <w:rFonts w:ascii="Times New Roman" w:hAnsi="Times New Roman" w:eastAsia="Times New Roman" w:cs="Times New Roman"/>
        </w:rPr>
        <w:t xml:space="preserve">, </w:t>
      </w:r>
      <w:r>
        <w:rPr>
          <w:rFonts w:ascii="Nirmala UI" w:hAnsi="Nirmala UI" w:eastAsia="Nirmala UI" w:cs="Nirmala UI"/>
        </w:rPr>
        <w:t>ಜೀವನವನ್ನು</w:t>
      </w:r>
      <w:r>
        <w:rPr>
          <w:rFonts w:ascii="Times New Roman" w:hAnsi="Times New Roman" w:eastAsia="Times New Roman" w:cs="Times New Roman"/>
        </w:rPr>
        <w:t xml:space="preserve"> </w:t>
      </w:r>
      <w:r>
        <w:rPr>
          <w:rFonts w:ascii="Nirmala UI" w:hAnsi="Nirmala UI" w:eastAsia="Nirmala UI" w:cs="Nirmala UI"/>
        </w:rPr>
        <w:t>ಪ್ರತಿನಿಧಿಸುವ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ಹೆಸರನ್ನು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ಹೊಂದಿದ್ದರೂ</w:t>
      </w:r>
      <w:r>
        <w:rPr>
          <w:rFonts w:ascii="Times New Roman" w:hAnsi="Times New Roman" w:eastAsia="Times New Roman" w:cs="Times New Roman"/>
        </w:rPr>
        <w:t xml:space="preserve">, </w:t>
      </w:r>
      <w:r>
        <w:rPr>
          <w:rFonts w:ascii="Nirmala UI" w:hAnsi="Nirmala UI" w:eastAsia="Nirmala UI" w:cs="Nirmala UI"/>
        </w:rPr>
        <w:t>ವಾಸ್ತವದಲ್ಲಿ</w:t>
      </w:r>
      <w:r>
        <w:rPr>
          <w:rFonts w:ascii="Times New Roman" w:hAnsi="Times New Roman" w:eastAsia="Times New Roman" w:cs="Times New Roman"/>
        </w:rPr>
        <w:t xml:space="preserve"> </w:t>
      </w:r>
      <w:r>
        <w:rPr>
          <w:rFonts w:ascii="Nirmala UI" w:hAnsi="Nirmala UI" w:eastAsia="Nirmala UI" w:cs="Nirmala UI"/>
        </w:rPr>
        <w:t>ಜೀವವನ್ನು</w:t>
      </w:r>
      <w:r>
        <w:rPr>
          <w:rFonts w:ascii="Times New Roman" w:hAnsi="Times New Roman" w:eastAsia="Times New Roman" w:cs="Times New Roman"/>
        </w:rPr>
        <w:t xml:space="preserve"> </w:t>
      </w:r>
      <w:r>
        <w:rPr>
          <w:rFonts w:ascii="Nirmala UI" w:hAnsi="Nirmala UI" w:eastAsia="Nirmala UI" w:cs="Nirmala UI"/>
        </w:rPr>
        <w:t>ಉಂಟುಮಾಡುವ</w:t>
      </w:r>
      <w:r>
        <w:rPr>
          <w:rFonts w:ascii="Times New Roman" w:hAnsi="Times New Roman" w:eastAsia="Times New Roman" w:cs="Times New Roman"/>
        </w:rPr>
        <w:t xml:space="preserve"> </w:t>
      </w:r>
      <w:r>
        <w:rPr>
          <w:rFonts w:ascii="Nirmala UI" w:hAnsi="Nirmala UI" w:eastAsia="Nirmala UI" w:cs="Nirmala UI"/>
        </w:rPr>
        <w:t>ಸಾನ್ನಿಧ್ಯವನ್ನು</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ಹೊಂದಿರಲಿಲ್ಲವೆಂಬುದನ್ನು</w:t>
      </w:r>
      <w:r>
        <w:rPr>
          <w:rFonts w:ascii="Times New Roman" w:hAnsi="Times New Roman" w:eastAsia="Times New Roman" w:cs="Times New Roman"/>
        </w:rPr>
        <w:t xml:space="preserve"> </w:t>
      </w:r>
      <w:r>
        <w:rPr>
          <w:rFonts w:ascii="Nirmala UI" w:hAnsi="Nirmala UI" w:eastAsia="Nirmala UI" w:cs="Nirmala UI"/>
        </w:rPr>
        <w:t>ಸ್ಪಷ್ಟಪಡಿಸಿತು</w:t>
      </w:r>
      <w:r>
        <w:rPr>
          <w:rFonts w:ascii="Times New Roman" w:hAnsi="Times New Roman" w:eastAsia="Times New Roman" w:cs="Times New Roman"/>
        </w:rPr>
        <w:t xml:space="preserve">. </w:t>
      </w:r>
      <w:r>
        <w:rPr>
          <w:rFonts w:ascii="Nirmala UI" w:hAnsi="Nirmala UI" w:eastAsia="Nirmala UI" w:cs="Nirmala UI"/>
        </w:rPr>
        <w:t>ಅವರಿಗಿದ್ದದ್ದು</w:t>
      </w:r>
      <w:r>
        <w:rPr>
          <w:rFonts w:ascii="Times New Roman" w:hAnsi="Times New Roman" w:eastAsia="Times New Roman" w:cs="Times New Roman"/>
        </w:rPr>
        <w:t xml:space="preserve"> </w:t>
      </w:r>
      <w:r>
        <w:rPr>
          <w:rFonts w:ascii="Nirmala UI" w:hAnsi="Nirmala UI" w:eastAsia="Nirmala UI" w:cs="Nirmala UI"/>
        </w:rPr>
        <w:t>ನಿಜವಾಗಿ</w:t>
      </w:r>
      <w:r>
        <w:rPr>
          <w:rFonts w:ascii="Times New Roman" w:hAnsi="Times New Roman" w:eastAsia="Times New Roman" w:cs="Times New Roman"/>
        </w:rPr>
        <w:t xml:space="preserve"> </w:t>
      </w:r>
      <w:r>
        <w:rPr>
          <w:rFonts w:ascii="Nirmala UI" w:hAnsi="Nirmala UI" w:eastAsia="Nirmala UI" w:cs="Nirmala UI"/>
        </w:rPr>
        <w:t>ಒಪ್ಪುಗೆಯೂ</w:t>
      </w:r>
      <w:r>
        <w:rPr>
          <w:rFonts w:ascii="Times New Roman" w:hAnsi="Times New Roman" w:eastAsia="Times New Roman" w:cs="Times New Roman"/>
        </w:rPr>
        <w:t xml:space="preserve"> </w:t>
      </w:r>
      <w:r>
        <w:rPr>
          <w:rFonts w:ascii="Nirmala UI" w:hAnsi="Nirmala UI" w:eastAsia="Nirmala UI" w:cs="Nirmala UI"/>
        </w:rPr>
        <w:t>ನಟನೆವೂ</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Ua khubor ba khatduh ha Sardis ka la kular shaphang u Elijah uba un wan shuwa ka sngi bakhraw bad ba shyrkhei jong U Trai. Ha ka bynta jong ka Israel mynbarim, ka jingpynjot ïa Jerusalem ka long kata ka sngi bakhraw bad ba shyrkhei jong U Trai. Namar kane ka daw, ka Sister White ka kdew sha ka jingpynjot ïa Jerusalem ha u snem 70 AD kum ka jingïalam dur jong kata ka sngi bakhraw bad ba shyrkhei jong U Trai kaba la mihkhmat da ki hynñiew tylli ki khlam kiba khatduh. Ka balang jong Philadelphia ka la sdang da ka sur jong u Ioannis Nongpynbaptis uba pyrta ha ri khlaw, kumta ka long ka dur jingïathuhlypa ïa ka sur jong u William Miller. Ki sur jong u Ioannis Nongpynbaptis bad u William Miller ki la pynbna ïa ka khubor Laodicea sha u paidbah uba ngeit ba kiei kiei baroh ki long kiba bha, katba kiei kiei baroh ki long kiba sniew lut. Baroh ar, u Ioannis Nongpynbaptis bad u William Miller, ki la buh ïa ka paidbah ha tynrai u dieng. Ka khubor sha Sardis ka long ba don “katto katne ki kyrteng wat ha Sardis kiba khlem pynjaboh ïa la ki jaiñkup; bad kin ïaid bad nga ha ki jaiñkup lieh: namar ki dei kiba hok.” U Ioannis Nongpynbaptis bad u William Miller ki mihkhmat ïa kito kiba la mih noh na kata ka por kaba la mihkhmat da Sardis bad kiba dei hok ban ïaid bad U Khrist.</w:t>
      </w:r>
    </w:p>
    <w:p>
      <w:pPr>
        <w:pStyle w:val="ArticleScripture"/>
        <w:jc w:val="left"/>
      </w:pPr>
      <w:r>
        <w:rPr>
          <w:rFonts w:ascii="Times New Roman" w:hAnsi="Times New Roman" w:eastAsia="Times New Roman" w:cs="Times New Roman"/>
        </w:rPr>
        <w:t>«</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प्रचारित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कुल्हाड़ी</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कड़वे</w:t>
      </w:r>
      <w:r>
        <w:rPr>
          <w:rFonts w:ascii="Times New Roman" w:hAnsi="Times New Roman" w:eastAsia="Times New Roman" w:cs="Times New Roman"/>
        </w:rPr>
        <w:t xml:space="preserve"> </w:t>
      </w:r>
      <w:r>
        <w:rPr>
          <w:rFonts w:ascii="Nirmala UI" w:hAnsi="Nirmala UI" w:eastAsia="Nirmala UI" w:cs="Nirmala UI"/>
        </w:rPr>
        <w:t>आँसुओं</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व्यथा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बुलन्द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Early Writings, 233.</w:t>
      </w:r>
    </w:p>
    <w:p>
      <w:pPr>
        <w:pStyle w:val="ArticleBody"/>
        <w:jc w:val="left"/>
      </w:pPr>
      <w:r>
        <w:rPr>
          <w:rFonts w:ascii="Times New Roman" w:hAnsi="Times New Roman" w:eastAsia="Times New Roman" w:cs="Times New Roman"/>
        </w:rPr>
        <w:t>Dangele saba ta Ufunuo zinawakilisha historia ya mitume tangu wakati wa mitume hadi Kuja kwa Pili kwa Kristo, na dangele saba hizo pia zinawakilisha historia ya Israeli ya kale tangu nabii Musa hadi kuja kwa kwanza kwa Kristo.</w:t>
      </w:r>
    </w:p>
    <w:p>
      <w:pPr>
        <w:pStyle w:val="ArticleScripture"/>
        <w:jc w:val="left"/>
      </w:pPr>
      <w:r>
        <w:rPr>
          <w:rFonts w:ascii="Times New Roman" w:hAnsi="Times New Roman" w:eastAsia="Times New Roman" w:cs="Times New Roman"/>
        </w:rPr>
        <w:t>“Les épreuves des enfants d’Israël, et leur attitude juste avant la première venue du Christ, illustrent la position du peuple de Dieu dans son expérience avant la seconde venue du Christ.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សាតាំងបានដាក់អន្ទាក់របស់វាសម្រាប់យើង</w:t>
      </w:r>
      <w:r>
        <w:rPr>
          <w:rFonts w:ascii="Times New Roman" w:hAnsi="Times New Roman" w:eastAsia="Times New Roman" w:cs="Times New Roman"/>
        </w:rPr>
        <w:t xml:space="preserve"> </w:t>
      </w:r>
      <w:r>
        <w:rPr>
          <w:rFonts w:ascii="Leelawadee UI" w:hAnsi="Leelawadee UI" w:eastAsia="Leelawadee UI" w:cs="Leelawadee UI"/>
        </w:rPr>
        <w:t>យ៉ាងពិតប្រាកដដូចដែលវាបានដាក់អន្ទាក់សម្រាប់កូនចៅអ៊ីស្រាអែល</w:t>
      </w:r>
      <w:r>
        <w:rPr>
          <w:rFonts w:ascii="Times New Roman" w:hAnsi="Times New Roman" w:eastAsia="Times New Roman" w:cs="Times New Roman"/>
        </w:rPr>
        <w:t xml:space="preserve"> </w:t>
      </w:r>
      <w:r>
        <w:rPr>
          <w:rFonts w:ascii="Leelawadee UI" w:hAnsi="Leelawadee UI" w:eastAsia="Leelawadee UI" w:cs="Leelawadee UI"/>
        </w:rPr>
        <w:t>មុនពេលដែលពួកគេចូលទៅក្នុងដែនដីកាណាន។</w:t>
      </w:r>
      <w:r>
        <w:rPr>
          <w:rFonts w:ascii="Times New Roman" w:hAnsi="Times New Roman" w:eastAsia="Times New Roman" w:cs="Times New Roman"/>
        </w:rPr>
        <w:t xml:space="preserve"> </w:t>
      </w:r>
      <w:r>
        <w:rPr>
          <w:rFonts w:ascii="Leelawadee UI" w:hAnsi="Leelawadee UI" w:eastAsia="Leelawadee UI" w:cs="Leelawadee UI"/>
        </w:rPr>
        <w:t>យើងកំពុងតែធ្វើឲ្យប្រវត្តិសាស្ត្ររបស់ប្រជាជននោះកើតឡើងម្តងទៀត។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“Tarihi yao inapaswa kuwa onyo zito kwetu. Hatupaswi kamwe kutarajia kwamba, Bwana anapokuwa na nuru kwa ajili ya watu wake, Shetani atasimama tu kwa utulivu na asifanye juhudi yo yote kuwazuia wasiipokee. Na tujihadhari tusije tukakataa nuru ambayo Mungu anatuma, kwa sababu haiji kwa namna inayotupendeza sisi.... Ikiwa wako baadhi wasioiona na kuikubali nuru wao wenyewe, basi wasisimame katika njia ya wengine.</w:t>
      </w:r>
    </w:p>
    <w:p>
      <w:pPr>
        <w:pStyle w:val="ArticleScripture"/>
        <w:jc w:val="left"/>
      </w:pPr>
      <w:r>
        <w:rPr>
          <w:rFonts w:ascii="Times New Roman" w:hAnsi="Times New Roman" w:eastAsia="Times New Roman" w:cs="Times New Roman"/>
        </w:rPr>
        <w:t>“‘Mi rọ ọrun ati ilẹ̀ ayé gẹ́gẹ́ bí ẹlẹ́rìí lónìí sí yín, pé mo ti fi ìyè àti ikú, ìbùkún àti ègún kalẹ̀ níwájú yín; nítorí náà, ẹ yan ìyè, kí ẹ̀yin àti irú-ọmọ yín lè yè; kí ìwọ lè fẹ́ràn Olúwa Ọlọ́run rẹ, kí ìwọ lè gbọ́ ohùn rẹ̀, kí ìwọ sì lè dì mọ́ ọn; nítorí òun ni ìyè rẹ àti gígùn ọjọ́ rẹ; kí ìwọ lè máa gbé ní ilẹ̀ tí Olúwa búra fún àwọn baba rẹ, fún Ábúráhámù, fún Ísáákì, àti fún Jékọ́bù, láti fi fún wọn.’”</w:t>
      </w:r>
    </w:p>
    <w:p>
      <w:pPr>
        <w:pStyle w:val="ArticleScripture"/>
        <w:jc w:val="left"/>
      </w:pPr>
      <w:r>
        <w:rPr>
          <w:rFonts w:ascii="Times New Roman" w:hAnsi="Times New Roman" w:eastAsia="Times New Roman" w:cs="Times New Roman"/>
        </w:rPr>
        <w:t>«Ce cantique n’était pas historique, mais prophétique. Tout en retraçant les interventions merveilleuses de Dieu envers son peuple dans le passé, il préfigurait aussi les grands événements de l’avenir, la victoire finale des fidèles lorsque le Christ viendra une seconde fois avec puissance et gloire. »</w:t>
      </w:r>
    </w:p>
    <w:p>
      <w:pPr>
        <w:pStyle w:val="ArticleScripture"/>
        <w:jc w:val="left"/>
      </w:pPr>
      <w:r>
        <w:rPr>
          <w:rFonts w:ascii="Times New Roman" w:hAnsi="Times New Roman" w:eastAsia="Times New Roman" w:cs="Times New Roman"/>
        </w:rPr>
        <w:t>«Լոս Պողոս առաքյալը հստակ ասում է, որ իսրայելացիների փորձառությունը իրենց ճանապարհորդությունների ընթացքում արձանագրվել է այս աշխարհի այս դարում ապրողների, այսինքն՝ նրանց օգտի համար, որոնց վրա աշխարհի վախճանները հասել են։ Մենք չենք համարում, թե մեր վտանգները որևէ չափով պակաս են, քան եբրայեցիներինը, այլ՝ առավել մեծ են»։ Healthful Living, 280, 281.</w:t>
      </w:r>
    </w:p>
    <w:p>
      <w:pPr>
        <w:pStyle w:val="ArticleBody"/>
        <w:jc w:val="left"/>
      </w:pPr>
      <w:r>
        <w:rPr>
          <w:rFonts w:ascii="Times New Roman" w:hAnsi="Times New Roman" w:eastAsia="Times New Roman" w:cs="Times New Roman"/>
        </w:rPr>
        <w:t>La délivrance d’Égypte est représentée par l’Église d’Éphèse, et le symbole de l’Église d’Éphèse dans cette histoire était Josué. Après que ceux que Dieu avait fait sortir d’Égypte eurent échoué à dix épreuves successives, le Seigneur ôta l’alliance aux rebelles et la donna à Josué et à Caleb.</w:t>
      </w:r>
    </w:p>
    <w:p>
      <w:pPr>
        <w:pStyle w:val="ArticleScripture"/>
        <w:jc w:val="left"/>
      </w:pPr>
      <w:r>
        <w:rPr>
          <w:rFonts w:ascii="Times New Roman" w:hAnsi="Times New Roman" w:eastAsia="Times New Roman" w:cs="Times New Roman"/>
        </w:rPr>
        <w:t>Dites-leur: Je suis vivant! dit le Seigneur; je vous ferai ainsi que vous avez parlé à mes oreilles. Vos cadavres tomberont dans ce désert; et vous tous dont on a fait le dénombrement, selon votre nombre entier, depuis l’âge de vingt ans et au-dessus, qui avez murmuré contre moi, vous n’entrerez point dans le pays que j’avais juré de vous faire habiter, excepté Caleb, fils de Jephunné, et Josué, fils de Nun. Nombres 14:28–30.</w:t>
      </w:r>
    </w:p>
    <w:p>
      <w:pPr>
        <w:pStyle w:val="ArticleBody"/>
        <w:jc w:val="left"/>
      </w:pPr>
      <w:r>
        <w:rPr>
          <w:rFonts w:ascii="Times New Roman" w:hAnsi="Times New Roman" w:eastAsia="Times New Roman" w:cs="Times New Roman"/>
        </w:rPr>
        <w:t>Sirumiza White aragaragaza ko Yosuwa na Kalebu bagereranya abagezweho n’“impera z’isi,” kandi ko ari bo “bagirana isezerano n’Imana biturutse ku gitambo.”</w:t>
      </w:r>
    </w:p>
    <w:p>
      <w:pPr>
        <w:pStyle w:val="ArticleScripture"/>
        <w:jc w:val="left"/>
      </w:pPr>
      <w:r>
        <w:rPr>
          <w:rFonts w:ascii="Times New Roman" w:hAnsi="Times New Roman" w:eastAsia="Times New Roman" w:cs="Times New Roman"/>
        </w:rPr>
        <w:t>“Chi kan ta eng ngisingngisingna, ka historiani irekod para kadatayo, a pagtaengan ti panawen dagiti pagpatinggaan ti lubong. Ania kadawyan a dagiti tattao ti Dios ita ket sublianda ti kapadasan dagiti annak ti Israel! Ania kadawyan a rumibok ken agngeggedda! Ania kadawyan a umatrasda inton ti Apo ayabanna ida nga agturongda iti sanguanan! Ti trabaho ti Dios agsagsagaba gapu iti panagkurang dagiti lallaki a kas ken Caleb ken Joshua, lallaki ti kinamatalek ken di maikkat a panagtalek. Ti Dios ayabanna dagiti lallaki a mangited iti bagbagida Kenkuana tapno mapnoanda iti Espirituna. Ti trabaho ni Cristo ken ti sangkataoan ket agkiddaw kadagiti napasantuan, managisakripisio iti bagi a lallaki, lallaki a rumuarto iti ruar ti kampo, a mangawit iti panagbabain. Kumda la unay, natakneng a lallaki, maitutop kadagiti maikari a panggep, ket makitulagda koma iti Dios babaen iti daton.” Review and Herald, May 20, 1902.</w:t>
      </w:r>
    </w:p>
    <w:p>
      <w:pPr>
        <w:pStyle w:val="ArticleBody"/>
        <w:jc w:val="left"/>
      </w:pPr>
      <w:r>
        <w:rPr>
          <w:rFonts w:ascii="Times New Roman" w:hAnsi="Times New Roman" w:eastAsia="Times New Roman" w:cs="Times New Roman"/>
        </w:rPr>
        <w:t>Le pacte qui est renouvelé, tel qu’il est représenté par le pacte renouvelé avec Josué et Caleb, est le pacte conclu avec les cent quarante-quatre mille et la grande multitude. Il est renouvelé après que le peuple originel de l’alliance, choisi par Dieu, a été répudié par Dieu et condamné à mourir dans le désert. Le pacte avec les cent quarante-quatre mille s’accomplit dans l’histoire même où un ancien peuple élu est rejeté.</w:t>
      </w:r>
    </w:p>
    <w:p>
      <w:pPr>
        <w:pStyle w:val="ArticleBody"/>
        <w:jc w:val="left"/>
      </w:pPr>
      <w:r>
        <w:rPr>
          <w:rFonts w:ascii="Times New Roman" w:hAnsi="Times New Roman" w:eastAsia="Times New Roman" w:cs="Times New Roman"/>
        </w:rPr>
        <w:t>Ἔφεσος σημαίνει «ἐπιθυμητή», καὶ τὸ ἔργον ποὺ ἐπετελέσθη τόσο ἀπὸ τὸν Ἰησοῦ τοῦ Ναυῆ ὅσο καὶ ἀπὸ τὴν πρώτη Ἐκκλησία ἦταν «ἐπιθυμητόν». Ὅταν ὁ Ἰησοῦς τοῦ Ναυῆ ὁδήγησε τὸν λαὸ τοῦ Θεοῦ εἰς τὴν Γῆν τῆς Ἐπαγγελίας, ἐξῆλθε νικῶν. Ἡ πρώτη σφραγὶς πορεύεται παραλλήλως πρὸς τὴν Ἐκκλησία τῆς Ἐφέσου καὶ παριστᾶται διὰ λευκοῦ ἵππου, ὁ ὁποῖος ἐξέρχεται νικῶν. Τοῦτο ἴσχυε τόσο γιὰ τὸν Ἰησοῦ τοῦ Ναυῆ ὅσο καὶ γιὰ τὴν ἀποστολικὴ Ἐκκλησία. Ἡ πρώτη σφραγὶς πορεύεται παραλλήλως πρὸς τὴν Ἐκκλησία τῆς Ἐφέσου τόσο εἰς τὸν ἀρχαῖον ὅσο καὶ εἰς τὸν σύγχρονον Ἰσραήλ.</w:t>
      </w:r>
    </w:p>
    <w:p>
      <w:pPr>
        <w:pStyle w:val="ArticleBody"/>
        <w:jc w:val="left"/>
      </w:pPr>
      <w:r>
        <w:rPr>
          <w:rFonts w:ascii="Nirmala UI" w:hAnsi="Nirmala UI" w:eastAsia="Nirmala UI" w:cs="Nirmala UI"/>
        </w:rPr>
        <w:t>ਸਮੁਰਨਾ</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ਨਿਕਲਿਆ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ਮੁਰਦਿਆਂ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ਸੰਸਕਾਰ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ਲਾਲ</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ਤਲਵਾਰ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ਮਾਰਣਗੇ।</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ਸਮੁਰਨਾ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ਕਲੀਸਿਯਾ</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ਸਮਾਂਤਰ</w:t>
      </w:r>
      <w:r>
        <w:rPr>
          <w:rFonts w:ascii="Times New Roman" w:hAnsi="Times New Roman" w:eastAsia="Times New Roman" w:cs="Times New Roman"/>
        </w:rPr>
        <w:t xml:space="preserve"> </w:t>
      </w:r>
      <w:r>
        <w:rPr>
          <w:rFonts w:ascii="Nirmala UI" w:hAnsi="Nirmala UI" w:eastAsia="Nirmala UI" w:cs="Nirmala UI"/>
        </w:rPr>
        <w:t>ਚਲਦੀ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ਪ੍ਰੇਰੀਤਕ</w:t>
      </w:r>
      <w:r>
        <w:rPr>
          <w:rFonts w:ascii="Times New Roman" w:hAnsi="Times New Roman" w:eastAsia="Times New Roman" w:cs="Times New Roman"/>
        </w:rPr>
        <w:t xml:space="preserve"> </w:t>
      </w:r>
      <w:r>
        <w:rPr>
          <w:rFonts w:ascii="Nirmala UI" w:hAnsi="Nirmala UI" w:eastAsia="Nirmala UI" w:cs="Nirmala UI"/>
        </w:rPr>
        <w:t>ਕਲੀਸਿਯਾ</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ਨਿਆਈਆਂ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ਲਿਆਉਣ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ਪ੍ਰੇਰੀਤਕ</w:t>
      </w:r>
      <w:r>
        <w:rPr>
          <w:rFonts w:ascii="Times New Roman" w:hAnsi="Times New Roman" w:eastAsia="Times New Roman" w:cs="Times New Roman"/>
        </w:rPr>
        <w:t xml:space="preserve"> </w:t>
      </w:r>
      <w:r>
        <w:rPr>
          <w:rFonts w:ascii="Nirmala UI" w:hAnsi="Nirmala UI" w:eastAsia="Nirmala UI" w:cs="Nirmala UI"/>
        </w:rPr>
        <w:t>ਕਲੀਸਿਯਾ</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ਅਫ਼ਸੁਸ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ਸੁਸਮਾਚਾਰ</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ਅਜਿੱਤ</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ਨਿਆਈਆਂ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ਅਫ਼ਸੁਸ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ਆਧਾਰਿਤ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ਯਹੋਸ਼ੂਆ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ਕਲੀਸਿਯਾ</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ਸਮਾਂਤਰ</w:t>
      </w:r>
      <w:r>
        <w:rPr>
          <w:rFonts w:ascii="Times New Roman" w:hAnsi="Times New Roman" w:eastAsia="Times New Roman" w:cs="Times New Roman"/>
        </w:rPr>
        <w:t xml:space="preserve"> </w:t>
      </w:r>
      <w:r>
        <w:rPr>
          <w:rFonts w:ascii="Nirmala UI" w:hAnsi="Nirmala UI" w:eastAsia="Nirmala UI" w:cs="Nirmala UI"/>
        </w:rPr>
        <w:t>ਚਲਦੀ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Pergamos signifie une « citadelle fortifiée », représentant ainsi le château d’un roi. Le troisième sceau correspond à Pergamos et représente l’histoire où le jugement humain est exécuté par les rois de la terre en opposition au jugement de Dieu. Ainsi, la mesure, ou le jugement représenté par les « deux » balances qui pèsent le « blé », l’« orge », l’« huile » et le « vin », identifie l’autorité humaine royale, qui est toujours défectueuse par rapport au jugement de Dieu. Souvenez-vous qu’une mesure honnête ou une pesée honnête ne requiert pas deux balances. Deux balances représentent un jugement inégal.</w:t>
      </w:r>
    </w:p>
    <w:p>
      <w:pPr>
        <w:pStyle w:val="ArticleBody"/>
        <w:jc w:val="left"/>
      </w:pPr>
      <w:r>
        <w:rPr>
          <w:rFonts w:ascii="Times New Roman" w:hAnsi="Times New Roman" w:eastAsia="Times New Roman" w:cs="Times New Roman"/>
        </w:rPr>
        <w:t>“</w:t>
      </w:r>
      <w:r>
        <w:rPr>
          <w:rFonts w:ascii="Nirmala UI" w:hAnsi="Nirmala UI" w:eastAsia="Nirmala UI" w:cs="Nirmala UI"/>
        </w:rPr>
        <w:t>ସାଉଁ</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ପାସ୍କା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ଫଳ</w:t>
      </w:r>
      <w:r>
        <w:rPr>
          <w:rFonts w:ascii="Times New Roman" w:hAnsi="Times New Roman" w:eastAsia="Times New Roman" w:cs="Times New Roman"/>
        </w:rPr>
        <w:t xml:space="preserve">” </w:t>
      </w:r>
      <w:r>
        <w:rPr>
          <w:rFonts w:ascii="Nirmala UI" w:hAnsi="Nirmala UI" w:eastAsia="Nirmala UI" w:cs="Nirmala UI"/>
        </w:rPr>
        <w:t>ନିବେଦନର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w:t>
      </w:r>
      <w:r>
        <w:rPr>
          <w:rFonts w:ascii="Nirmala UI" w:hAnsi="Nirmala UI" w:eastAsia="Nirmala UI" w:cs="Nirmala UI"/>
        </w:rPr>
        <w:t>ଗହୁଁ</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ଦୋଳିତ</w:t>
      </w:r>
      <w:r>
        <w:rPr>
          <w:rFonts w:ascii="Times New Roman" w:hAnsi="Times New Roman" w:eastAsia="Times New Roman" w:cs="Times New Roman"/>
        </w:rPr>
        <w:t xml:space="preserve"> </w:t>
      </w:r>
      <w:r>
        <w:rPr>
          <w:rFonts w:ascii="Nirmala UI" w:hAnsi="Nirmala UI" w:eastAsia="Nirmala UI" w:cs="Nirmala UI"/>
        </w:rPr>
        <w:t>ପିଠା</w:t>
      </w:r>
      <w:r>
        <w:rPr>
          <w:rFonts w:ascii="Times New Roman" w:hAnsi="Times New Roman" w:eastAsia="Times New Roman" w:cs="Times New Roman"/>
        </w:rPr>
        <w:t xml:space="preserve">” </w:t>
      </w:r>
      <w:r>
        <w:rPr>
          <w:rFonts w:ascii="Nirmala UI" w:hAnsi="Nirmala UI" w:eastAsia="Nirmala UI" w:cs="Nirmala UI"/>
        </w:rPr>
        <w:t>ନିବେଦନର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ତେଲ</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ଆତ୍ମାଙ୍କର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ଉପଦେଶର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ପର୍ଗାମୋସ</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ସମର୍ଥନମୂଳକ</w:t>
      </w:r>
      <w:r>
        <w:rPr>
          <w:rFonts w:ascii="Times New Roman" w:hAnsi="Times New Roman" w:eastAsia="Times New Roman" w:cs="Times New Roman"/>
        </w:rPr>
        <w:t xml:space="preserve"> </w:t>
      </w:r>
      <w:r>
        <w:rPr>
          <w:rFonts w:ascii="Nirmala UI" w:hAnsi="Nirmala UI" w:eastAsia="Nirmala UI" w:cs="Nirmala UI"/>
        </w:rPr>
        <w:t>ରାଜାମାନଙ୍କର</w:t>
      </w:r>
      <w:r>
        <w:rPr>
          <w:rFonts w:ascii="Times New Roman" w:hAnsi="Times New Roman" w:eastAsia="Times New Roman" w:cs="Times New Roman"/>
        </w:rPr>
        <w:t xml:space="preserve"> </w:t>
      </w:r>
      <w:r>
        <w:rPr>
          <w:rFonts w:ascii="Nirmala UI" w:hAnsi="Nirmala UI" w:eastAsia="Nirmala UI" w:cs="Nirmala UI"/>
        </w:rPr>
        <w:t>ଯୁଗ</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ପାସ୍କାରୁ</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ଋତୁଦ୍ୱାରା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ଆଣିଥିଲେ।</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ବଚନର</w:t>
      </w:r>
      <w:r>
        <w:rPr>
          <w:rFonts w:ascii="Times New Roman" w:hAnsi="Times New Roman" w:eastAsia="Times New Roman" w:cs="Times New Roman"/>
        </w:rPr>
        <w:t xml:space="preserve"> </w:t>
      </w:r>
      <w:r>
        <w:rPr>
          <w:rFonts w:ascii="Nirmala UI" w:hAnsi="Nirmala UI" w:eastAsia="Nirmala UI" w:cs="Nirmala UI"/>
        </w:rPr>
        <w:t>ସତ୍ୟଗୁଡ଼ିକ</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ତେଲ</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ଆଧୁନିକ</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ପର୍ଗାମୋସର</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ଯୁଗ</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ଶୈତାନ</w:t>
      </w:r>
      <w:r>
        <w:rPr>
          <w:rFonts w:ascii="Times New Roman" w:hAnsi="Times New Roman" w:eastAsia="Times New Roman" w:cs="Times New Roman"/>
        </w:rPr>
        <w:t xml:space="preserve"> </w:t>
      </w:r>
      <w:r>
        <w:rPr>
          <w:rFonts w:ascii="Nirmala UI" w:hAnsi="Nirmala UI" w:eastAsia="Nirmala UI" w:cs="Nirmala UI"/>
        </w:rPr>
        <w:t>ସ୍ମୁର୍ନା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ରକ୍ତପାତ</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କରିପାରିନଥିଲା</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ସାଧନ</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ପ୍ରୟାସ</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ପର୍ଗାମୋସରେ</w:t>
      </w:r>
      <w:r>
        <w:rPr>
          <w:rFonts w:ascii="Times New Roman" w:hAnsi="Times New Roman" w:eastAsia="Times New Roman" w:cs="Times New Roman"/>
        </w:rPr>
        <w:t xml:space="preserve"> </w:t>
      </w:r>
      <w:r>
        <w:rPr>
          <w:rFonts w:ascii="Nirmala UI" w:hAnsi="Nirmala UI" w:eastAsia="Nirmala UI" w:cs="Nirmala UI"/>
        </w:rPr>
        <w:t>ଶୈତାନ</w:t>
      </w:r>
      <w:r>
        <w:rPr>
          <w:rFonts w:ascii="Times New Roman" w:hAnsi="Times New Roman" w:eastAsia="Times New Roman" w:cs="Times New Roman"/>
        </w:rPr>
        <w:t xml:space="preserve">, </w:t>
      </w:r>
      <w:r>
        <w:rPr>
          <w:rFonts w:ascii="Nirmala UI" w:hAnsi="Nirmala UI" w:eastAsia="Nirmala UI" w:cs="Nirmala UI"/>
        </w:rPr>
        <w:t>ସ୍ମୁର୍ନାରେ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ରକ୍ତପାତ</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ଜନତା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ସତ୍ୟକୁ</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ପ୍ରୟାସ</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ରାଜାମାନଙ୍କର</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ଆଧୁନିକ</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କନଷ୍ଟାଣ୍ଟିନଙ୍କର</w:t>
      </w:r>
      <w:r>
        <w:rPr>
          <w:rFonts w:ascii="Times New Roman" w:hAnsi="Times New Roman" w:eastAsia="Times New Roman" w:cs="Times New Roman"/>
        </w:rPr>
        <w:t xml:space="preserve"> </w:t>
      </w:r>
      <w:r>
        <w:rPr>
          <w:rFonts w:ascii="Nirmala UI" w:hAnsi="Nirmala UI" w:eastAsia="Nirmala UI" w:cs="Nirmala UI"/>
        </w:rPr>
        <w:t>ସମର୍ଥନର</w:t>
      </w:r>
      <w:r>
        <w:rPr>
          <w:rFonts w:ascii="Times New Roman" w:hAnsi="Times New Roman" w:eastAsia="Times New Roman" w:cs="Times New Roman"/>
        </w:rPr>
        <w:t xml:space="preserve"> </w:t>
      </w:r>
      <w:r>
        <w:rPr>
          <w:rFonts w:ascii="Nirmala UI" w:hAnsi="Nirmala UI" w:eastAsia="Nirmala UI" w:cs="Nirmala UI"/>
        </w:rPr>
        <w:t>ପ୍ରତିରୂପ</w:t>
      </w:r>
      <w:r>
        <w:rPr>
          <w:rFonts w:ascii="Times New Roman" w:hAnsi="Times New Roman" w:eastAsia="Times New Roman" w:cs="Times New Roman"/>
        </w:rPr>
        <w:t xml:space="preserve"> </w:t>
      </w:r>
      <w:r>
        <w:rPr>
          <w:rFonts w:ascii="Nirmala UI" w:hAnsi="Nirmala UI" w:eastAsia="Nirmala UI" w:cs="Nirmala UI"/>
        </w:rPr>
        <w:t>ଅଟେ।</w:t>
      </w:r>
    </w:p>
    <w:p>
      <w:pPr>
        <w:pStyle w:val="ArticleBody"/>
        <w:jc w:val="left"/>
      </w:pPr>
      <w:r>
        <w:rPr>
          <w:rFonts w:ascii="Times New Roman" w:hAnsi="Times New Roman" w:eastAsia="Times New Roman" w:cs="Times New Roman"/>
        </w:rPr>
        <w:t>תיאטירה פירושה "זבח של חרטה", והיא מדברת על רוח המרטיריוּת אשר אלוהים מעניק לעמו, הנִספָּחים על שמו. זבח החרטה מייצג את הנכונות לשרת את המשיח בנסיבות קשות, כפי שהוא מיוצג בדניאל, שדרך, מישך ועבד־נגו בזמן גלות שבעים השנים; והוא גם מייצג את קורבנם של הוולדים, ההוגנוטים ואחרים אשר עונו, נאסרו, הושמצו ונהרגו בידי הסמכות האפיפיורית במהלך תולדות אלף ומאתיים ושישים השנים. החותם הרביעי מקביל לקהילת תיאטירה ומייצג את הרדיפה מצד בבל הקדומה נגד ישראל הקדומה, ואת הרדיפה מצד בבל המודרנית נגד ישראל המודרנית. תולדות שתי הגלויות דרשו תחילה סור מן האמת, דבר שמלכי ישראל והקיסר קונסטנטינוס חוללו. שניהם הכינו את הדרך לתקופה המיוצגת בידי תיאטירה.</w:t>
      </w:r>
    </w:p>
    <w:p>
      <w:pPr>
        <w:pStyle w:val="ArticleBody"/>
        <w:jc w:val="left"/>
      </w:pPr>
      <w:r>
        <w:rPr>
          <w:rFonts w:ascii="Times New Roman" w:hAnsi="Times New Roman" w:eastAsia="Times New Roman" w:cs="Times New Roman"/>
        </w:rPr>
        <w:t>Sardis haina maana yoyote inayopatana na kudai kwake kuwa na jina, bali dai hilo ni uongo. Uwepo wa Shekinah haukuwahi kudhihirishwa katika hekalu la pili. Uwepo wa Kristo haukuwahi kudhihirishwa katika historia ya Sardis. Matengenezo ya Enzi za Giza kimsingi yalikuwa mfululizo wa hatua moja mbele na hatua mbili nyuma. Kazi ambayo historia ya Sardis ilipaswa kutimiza katika Matengenezo ya Kiprotestanti haikuwahi kukamilishwa.</w:t>
      </w:r>
    </w:p>
    <w:p>
      <w:pPr>
        <w:pStyle w:val="ArticleBody"/>
        <w:jc w:val="left"/>
      </w:pP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भाईचारा</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असंभव</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If any man says that he loves God, yet hates his brother, he is a liar; for he who does not love his brother whom he has seen, how can he love God whom he has not seen? And this commandment we have from Him: that he who loves God must love his brother also. 1 John 4:20, 21.</w:t>
      </w:r>
    </w:p>
    <w:p>
      <w:pPr>
        <w:pStyle w:val="ArticleBody"/>
        <w:jc w:val="left"/>
      </w:pPr>
      <w:r>
        <w:rPr>
          <w:rFonts w:ascii="Times New Roman" w:hAnsi="Times New Roman" w:eastAsia="Times New Roman" w:cs="Times New Roman"/>
        </w:rPr>
        <w:t>Philadelphia représente l’Église qui aime Dieu, et c’est pour cette raison qu’aucune condamnation ni aucun reproche n’est adressé à Philadelphie.</w:t>
      </w:r>
    </w:p>
    <w:p>
      <w:pPr>
        <w:pStyle w:val="ArticleScripture"/>
        <w:jc w:val="left"/>
      </w:pPr>
      <w:r>
        <w:rPr>
          <w:rFonts w:ascii="Times New Roman" w:hAnsi="Times New Roman" w:eastAsia="Times New Roman" w:cs="Times New Roman"/>
        </w:rPr>
        <w:t>Ku wa malayka wa kereke ya Filadelifia andika; Haya ndiyo asemayo yeye aliye mtakatifu, yeye aliye wa kweli, yeye aliye na ufunguo wa Daudi, yeye afunguaye wala hakuna afungaye; naye afungaye wala hakuna afunguaye; Nayajua matendo yako: tazama, nimeweka mbele yako mlango uliofunguliwa, wala hakuna awezaye kuufunga; kwa maana una nguvu kidogo, nawe umelishika neno langu, wala hujikana jina langu. Tazama, nitawafanya wale wa sinagogi la Shetani, wasemao ya kuwa ni Wayahudi, nao siyo, bali husema uongo; tazama, nitawafanya waje kusujudu mbele ya miguu yako, na kujua ya kuwa nimekupenda. Kwa kuwa umelishika neno la subira yangu, mimi nami nitakulinda na saa ya majaribu, itakayoujia ulimwengu wote, kuwajaribu wakaao juu ya nchi. Tazama, naja upesi; shika sana ulicho nacho, asije mtu akaitwaa taji yako. Yeye ashindaye nitamfanya kuwa nguzo katika hekalu la Mungu wangu, wala hatatoka humo tena kamwe; nami nitaandika juu yake jina la Mungu wangu, na jina la mji wa Mungu wangu, yaani, Yerusalemu mpya, ushukao kutoka mbinguni kwa Mungu wangu: nami nitaandika juu yake jina langu jipya. Ufunuo 3:7–12.</w:t>
      </w:r>
    </w:p>
    <w:p>
      <w:pPr>
        <w:pStyle w:val="ArticleBody"/>
        <w:jc w:val="left"/>
      </w:pPr>
      <w:r>
        <w:rPr>
          <w:rFonts w:ascii="Nirmala UI" w:hAnsi="Nirmala UI" w:eastAsia="Nirmala UI" w:cs="Nirmala UI"/>
        </w:rPr>
        <w:t>ഫിലദെൽഫ്യയ്ക്കു</w:t>
      </w:r>
      <w:r>
        <w:rPr>
          <w:rFonts w:ascii="Times New Roman" w:hAnsi="Times New Roman" w:eastAsia="Times New Roman" w:cs="Times New Roman"/>
        </w:rPr>
        <w:t xml:space="preserve"> “</w:t>
      </w:r>
      <w:r>
        <w:rPr>
          <w:rFonts w:ascii="Nirmala UI" w:hAnsi="Nirmala UI" w:eastAsia="Nirmala UI" w:cs="Nirmala UI"/>
        </w:rPr>
        <w:t>ദാവീദിന്റെ</w:t>
      </w:r>
      <w:r>
        <w:rPr>
          <w:rFonts w:ascii="Times New Roman" w:hAnsi="Times New Roman" w:eastAsia="Times New Roman" w:cs="Times New Roman"/>
        </w:rPr>
        <w:t xml:space="preserve"> </w:t>
      </w:r>
      <w:r>
        <w:rPr>
          <w:rFonts w:ascii="Nirmala UI" w:hAnsi="Nirmala UI" w:eastAsia="Nirmala UI" w:cs="Nirmala UI"/>
        </w:rPr>
        <w:t>താക്കോൽ</w:t>
      </w:r>
      <w:r>
        <w:rPr>
          <w:rFonts w:ascii="Times New Roman" w:hAnsi="Times New Roman" w:eastAsia="Times New Roman" w:cs="Times New Roman"/>
        </w:rPr>
        <w:t xml:space="preserve">” </w:t>
      </w:r>
      <w:r>
        <w:rPr>
          <w:rFonts w:ascii="Nirmala UI" w:hAnsi="Nirmala UI" w:eastAsia="Nirmala UI" w:cs="Nirmala UI"/>
        </w:rPr>
        <w:t>നല്കപ്പെട്ടിരിക്കുന്നു</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യിസ്രായേലിന്റെ</w:t>
      </w:r>
      <w:r>
        <w:rPr>
          <w:rFonts w:ascii="Times New Roman" w:hAnsi="Times New Roman" w:eastAsia="Times New Roman" w:cs="Times New Roman"/>
        </w:rPr>
        <w:t xml:space="preserve"> </w:t>
      </w:r>
      <w:r>
        <w:rPr>
          <w:rFonts w:ascii="Nirmala UI" w:hAnsi="Nirmala UI" w:eastAsia="Nirmala UI" w:cs="Nirmala UI"/>
        </w:rPr>
        <w:t>ഫിലദെൽഫ്യൻ</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ദാവീദിന്റെ</w:t>
      </w:r>
      <w:r>
        <w:rPr>
          <w:rFonts w:ascii="Times New Roman" w:hAnsi="Times New Roman" w:eastAsia="Times New Roman" w:cs="Times New Roman"/>
        </w:rPr>
        <w:t xml:space="preserve"> </w:t>
      </w:r>
      <w:r>
        <w:rPr>
          <w:rFonts w:ascii="Nirmala UI" w:hAnsi="Nirmala UI" w:eastAsia="Nirmala UI" w:cs="Nirmala UI"/>
        </w:rPr>
        <w:t>പുത്രൻ</w:t>
      </w:r>
      <w:r>
        <w:rPr>
          <w:rFonts w:ascii="Times New Roman" w:hAnsi="Times New Roman" w:eastAsia="Times New Roman" w:cs="Times New Roman"/>
        </w:rPr>
        <w:t xml:space="preserve"> </w:t>
      </w:r>
      <w:r>
        <w:rPr>
          <w:rFonts w:ascii="Nirmala UI" w:hAnsi="Nirmala UI" w:eastAsia="Nirmala UI" w:cs="Nirmala UI"/>
        </w:rPr>
        <w:t>നല്കപ്പെട്ടു</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കാര്യങ്ങളോടൊപ്പം</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സിദ്ധാന്തമായ</w:t>
      </w:r>
      <w:r>
        <w:rPr>
          <w:rFonts w:ascii="Times New Roman" w:hAnsi="Times New Roman" w:eastAsia="Times New Roman" w:cs="Times New Roman"/>
        </w:rPr>
        <w:t xml:space="preserve"> </w:t>
      </w:r>
      <w:r>
        <w:rPr>
          <w:rFonts w:ascii="Nirmala UI" w:hAnsi="Nirmala UI" w:eastAsia="Nirmala UI" w:cs="Nirmala UI"/>
        </w:rPr>
        <w:t>ആൽഫയും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ആദ്യനും</w:t>
      </w:r>
      <w:r>
        <w:rPr>
          <w:rFonts w:ascii="Times New Roman" w:hAnsi="Times New Roman" w:eastAsia="Times New Roman" w:cs="Times New Roman"/>
        </w:rPr>
        <w:t xml:space="preserve"> </w:t>
      </w:r>
      <w:r>
        <w:rPr>
          <w:rFonts w:ascii="Nirmala UI" w:hAnsi="Nirmala UI" w:eastAsia="Nirmala UI" w:cs="Nirmala UI"/>
        </w:rPr>
        <w:t>അവസാനനും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താക്കോൽ</w:t>
      </w:r>
      <w:r>
        <w:rPr>
          <w:rFonts w:ascii="Times New Roman" w:hAnsi="Times New Roman" w:eastAsia="Times New Roman" w:cs="Times New Roman"/>
        </w:rPr>
        <w:t xml:space="preserve"> “</w:t>
      </w:r>
      <w:r>
        <w:rPr>
          <w:rFonts w:ascii="Nirmala UI" w:hAnsi="Nirmala UI" w:eastAsia="Nirmala UI" w:cs="Nirmala UI"/>
        </w:rPr>
        <w:t>ഹിസ്റ്റോറിസിസം</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രീതിശാസ്ത്രത്തെ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യിസ്രായേലിന്റെ</w:t>
      </w:r>
      <w:r>
        <w:rPr>
          <w:rFonts w:ascii="Times New Roman" w:hAnsi="Times New Roman" w:eastAsia="Times New Roman" w:cs="Times New Roman"/>
        </w:rPr>
        <w:t xml:space="preserve"> </w:t>
      </w:r>
      <w:r>
        <w:rPr>
          <w:rFonts w:ascii="Nirmala UI" w:hAnsi="Nirmala UI" w:eastAsia="Nirmala UI" w:cs="Nirmala UI"/>
        </w:rPr>
        <w:t>അവസാനഘട്ടത്തിലെ</w:t>
      </w:r>
      <w:r>
        <w:rPr>
          <w:rFonts w:ascii="Times New Roman" w:hAnsi="Times New Roman" w:eastAsia="Times New Roman" w:cs="Times New Roman"/>
        </w:rPr>
        <w:t xml:space="preserve"> </w:t>
      </w:r>
      <w:r>
        <w:rPr>
          <w:rFonts w:ascii="Nirmala UI" w:hAnsi="Nirmala UI" w:eastAsia="Nirmala UI" w:cs="Nirmala UI"/>
        </w:rPr>
        <w:t>ഫിലദെൽഫ്യാ</w:t>
      </w:r>
      <w:r>
        <w:rPr>
          <w:rFonts w:ascii="Times New Roman" w:hAnsi="Times New Roman" w:eastAsia="Times New Roman" w:cs="Times New Roman"/>
        </w:rPr>
        <w:t xml:space="preserve"> </w:t>
      </w:r>
      <w:r>
        <w:rPr>
          <w:rFonts w:ascii="Nirmala UI" w:hAnsi="Nirmala UI" w:eastAsia="Nirmala UI" w:cs="Nirmala UI"/>
        </w:rPr>
        <w:t>സഭയാൽ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പ്രവചനത്തിന്റെ</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കർത്താവായിരുന്നു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താക്കോൽ</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ഫിലദെൽഫ്യാ</w:t>
      </w:r>
      <w:r>
        <w:rPr>
          <w:rFonts w:ascii="Times New Roman" w:hAnsi="Times New Roman" w:eastAsia="Times New Roman" w:cs="Times New Roman"/>
        </w:rPr>
        <w:t xml:space="preserve"> </w:t>
      </w:r>
      <w:r>
        <w:rPr>
          <w:rFonts w:ascii="Nirmala UI" w:hAnsi="Nirmala UI" w:eastAsia="Nirmala UI" w:cs="Nirmala UI"/>
        </w:rPr>
        <w:t>സഭയാൽ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മില്ലർക്കു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താക്കോൽ</w:t>
      </w:r>
      <w:r>
        <w:rPr>
          <w:rFonts w:ascii="Times New Roman" w:hAnsi="Times New Roman" w:eastAsia="Times New Roman" w:cs="Times New Roman"/>
        </w:rPr>
        <w:t xml:space="preserve"> </w:t>
      </w:r>
      <w:r>
        <w:rPr>
          <w:rFonts w:ascii="Nirmala UI" w:hAnsi="Nirmala UI" w:eastAsia="Nirmala UI" w:cs="Nirmala UI"/>
        </w:rPr>
        <w:t>നല്കപ്പെട്ടു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ചരിത്രങ്ങളിലും</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തങ്ങൾ</w:t>
      </w:r>
      <w:r>
        <w:rPr>
          <w:rFonts w:ascii="Times New Roman" w:hAnsi="Times New Roman" w:eastAsia="Times New Roman" w:cs="Times New Roman"/>
        </w:rPr>
        <w:t xml:space="preserve"> </w:t>
      </w:r>
      <w:r>
        <w:rPr>
          <w:rFonts w:ascii="Nirmala UI" w:hAnsi="Nirmala UI" w:eastAsia="Nirmala UI" w:cs="Nirmala UI"/>
        </w:rPr>
        <w:t>അബ്രാഹാമിന്റെ</w:t>
      </w:r>
      <w:r>
        <w:rPr>
          <w:rFonts w:ascii="Times New Roman" w:hAnsi="Times New Roman" w:eastAsia="Times New Roman" w:cs="Times New Roman"/>
        </w:rPr>
        <w:t xml:space="preserve"> </w:t>
      </w:r>
      <w:r>
        <w:rPr>
          <w:rFonts w:ascii="Nirmala UI" w:hAnsi="Nirmala UI" w:eastAsia="Nirmala UI" w:cs="Nirmala UI"/>
        </w:rPr>
        <w:t>പുത്രന്മാരാണെന്ന്</w:t>
      </w:r>
      <w:r>
        <w:rPr>
          <w:rFonts w:ascii="Times New Roman" w:hAnsi="Times New Roman" w:eastAsia="Times New Roman" w:cs="Times New Roman"/>
        </w:rPr>
        <w:t xml:space="preserve"> </w:t>
      </w:r>
      <w:r>
        <w:rPr>
          <w:rFonts w:ascii="Nirmala UI" w:hAnsi="Nirmala UI" w:eastAsia="Nirmala UI" w:cs="Nirmala UI"/>
        </w:rPr>
        <w:t>കരുതിയ</w:t>
      </w:r>
      <w:r>
        <w:rPr>
          <w:rFonts w:ascii="Times New Roman" w:hAnsi="Times New Roman" w:eastAsia="Times New Roman" w:cs="Times New Roman"/>
        </w:rPr>
        <w:t xml:space="preserve"> </w:t>
      </w:r>
      <w:r>
        <w:rPr>
          <w:rFonts w:ascii="Nirmala UI" w:hAnsi="Nirmala UI" w:eastAsia="Nirmala UI" w:cs="Nirmala UI"/>
        </w:rPr>
        <w:t>യെഹൂദന്മാരോടു</w:t>
      </w:r>
      <w:r>
        <w:rPr>
          <w:rFonts w:ascii="Times New Roman" w:hAnsi="Times New Roman" w:eastAsia="Times New Roman" w:cs="Times New Roman"/>
        </w:rPr>
        <w:t xml:space="preserve"> </w:t>
      </w:r>
      <w:r>
        <w:rPr>
          <w:rFonts w:ascii="Nirmala UI" w:hAnsi="Nirmala UI" w:eastAsia="Nirmala UI" w:cs="Nirmala UI"/>
        </w:rPr>
        <w:t>ഇടപെട്ടു</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ആയിരുന്നില്ല</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തങ്ങൾ</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യെഹൂദന്മാരാണെന്ന്</w:t>
      </w:r>
      <w:r>
        <w:rPr>
          <w:rFonts w:ascii="Times New Roman" w:hAnsi="Times New Roman" w:eastAsia="Times New Roman" w:cs="Times New Roman"/>
        </w:rPr>
        <w:t xml:space="preserve"> </w:t>
      </w:r>
      <w:r>
        <w:rPr>
          <w:rFonts w:ascii="Nirmala UI" w:hAnsi="Nirmala UI" w:eastAsia="Nirmala UI" w:cs="Nirmala UI"/>
        </w:rPr>
        <w:t>കരുതിയ</w:t>
      </w:r>
      <w:r>
        <w:rPr>
          <w:rFonts w:ascii="Times New Roman" w:hAnsi="Times New Roman" w:eastAsia="Times New Roman" w:cs="Times New Roman"/>
        </w:rPr>
        <w:t xml:space="preserve"> </w:t>
      </w:r>
      <w:r>
        <w:rPr>
          <w:rFonts w:ascii="Nirmala UI" w:hAnsi="Nirmala UI" w:eastAsia="Nirmala UI" w:cs="Nirmala UI"/>
        </w:rPr>
        <w:t>പ്രൊട്ടസ്റ്റന്റുകളോടു</w:t>
      </w:r>
      <w:r>
        <w:rPr>
          <w:rFonts w:ascii="Times New Roman" w:hAnsi="Times New Roman" w:eastAsia="Times New Roman" w:cs="Times New Roman"/>
        </w:rPr>
        <w:t xml:space="preserve"> </w:t>
      </w:r>
      <w:r>
        <w:rPr>
          <w:rFonts w:ascii="Nirmala UI" w:hAnsi="Nirmala UI" w:eastAsia="Nirmala UI" w:cs="Nirmala UI"/>
        </w:rPr>
        <w:t>ഇടപെട്ടു</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ആയിരുന്നില്ല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Que celui qui a des oreilles entende ce que l’Esprit dit aux Églises. Apocalypse 3:13.</w:t>
      </w:r>
    </w:p>
    <w:p>
      <w:pPr>
        <w:pStyle w:val="ArticleBody"/>
        <w:jc w:val="left"/>
      </w:pPr>
      <w:r>
        <w:rPr>
          <w:rFonts w:ascii="Times New Roman" w:hAnsi="Times New Roman" w:eastAsia="Times New Roman" w:cs="Times New Roman"/>
        </w:rPr>
        <w:t>Laodicée signifie « un peuple jugé », et les Laodicéens, les Juifs de l’époque du Christ, furent finalement jugés en l’an 70 apr. J.-C., lors de la destruction de Jérusalem. Le jugement final du protestantisme apostat a lieu dans la crise de la loi du dimanche, mais il rencontra son jugement lorsqu’il rejeta le message du premier ange au printemps de 1844, et fut alors divinement déclaré comme les filles de Babylone. Ces protestants déchus représentent typologiquement l’adventisme laodicéen dans les derniers jours du jugement d’instruction.</w:t>
      </w:r>
    </w:p>
    <w:p>
      <w:pPr>
        <w:pStyle w:val="ArticleBody"/>
        <w:jc w:val="left"/>
      </w:pPr>
      <w:r>
        <w:rPr>
          <w:rFonts w:ascii="Times New Roman" w:hAnsi="Times New Roman" w:eastAsia="Times New Roman" w:cs="Times New Roman"/>
        </w:rPr>
        <w:t>On a maintenant essentiellement passé en revue plusieurs manières diverses selon lesquelles les sept Églises de l’Apocalypse peuvent être correctement comprises comme des symboles prophétiques et ensuite appliquées prophétiquement. Mais elles doivent être comprises et appliquées dans le contexte des règles prophétiques « qui nous ont été données par la plus haute autorité ».</w:t>
      </w:r>
    </w:p>
    <w:p>
      <w:pPr>
        <w:pStyle w:val="ArticleBody"/>
        <w:jc w:val="left"/>
      </w:pPr>
      <w:r>
        <w:rPr>
          <w:rFonts w:ascii="Times New Roman" w:hAnsi="Times New Roman" w:eastAsia="Times New Roman" w:cs="Times New Roman"/>
        </w:rPr>
        <w:t>Семибер Екклесиахь рахь иҟаз ацыҧҵәахақәа Иоанн ацыҧҵәахақәа анҭаҩҩуаз аамҭазы иҟаз семибер Екклесиахь ирыҭан ацыҧҵәахақәа ракәын. Семибер Екклесиахь иҟаз ацыҧҵәахақәа аҭоурых зегь ала иҟоу аекклесиақәа зегьы рзы арҵагагьы агәҽанҵарагьы ҟарҵоит. Семибер Екклесиахь иҟаз ацыҧҵәахақәа аҭоурых зегь ала иҟоу хаз-хазы акристиандар зегьы рзы арҵагагьы агәҽанҵарагьы ҟарҵоит. Абарҭ семи Екклесиа аапостолцәа рыԥҟараантә инагӡаны адунеи аҵыхәанӡа акристианра аҭоурых рхаҭарнакхоит. Абарҭ семи Екклесиа Моисеи иамҭантә Иерусалим 70 шықәсатәи А.Д. аҿы иԥыххаанӡа а древни Израиль аҭоурых рхаҭарнакхоит. Абарҭ семи Екклесиа еилкааны, ахархәара рыҭазар ауеит раԥхьатәи ԥшь-Екклесиақәеи аҵыхәтәантәи хԥа-Екклесиақәеи рыбжьара иҟоу аиԥшымра аилкаарала.</w:t>
      </w:r>
    </w:p>
    <w:p>
      <w:pPr>
        <w:pStyle w:val="ArticleBody"/>
        <w:jc w:val="left"/>
      </w:pPr>
      <w:r>
        <w:rPr>
          <w:rFonts w:ascii="Times New Roman" w:hAnsi="Times New Roman" w:eastAsia="Times New Roman" w:cs="Times New Roman"/>
        </w:rPr>
        <w:t>Na matumizi sita mbalimbali ya kinabii tunayoyatambua, matumizi hayo hayo yanawakilishwa katika mihuri saba.</w:t>
      </w:r>
    </w:p>
    <w:p>
      <w:pPr>
        <w:pStyle w:val="ArticleBody"/>
        <w:jc w:val="left"/>
      </w:pPr>
      <w:r>
        <w:rPr>
          <w:rFonts w:ascii="Times New Roman" w:hAnsi="Times New Roman" w:eastAsia="Times New Roman" w:cs="Times New Roman"/>
        </w:rPr>
        <w:t>Awaa, yenn bedd ci njàngale yii ci waxtaan wi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ਲਾਉਦੀਕਿਆ — ਨੰਬਰ ਚਾਰ</dc:title>
  <dc:subject>Histoires qui se chevauchent</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