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రోము</w:t>
      </w:r>
      <w:r>
        <w:rPr>
          <w:rFonts w:ascii="Arial" w:hAnsi="Arial" w:eastAsia="Arial" w:cs="Arial"/>
        </w:rPr>
        <w:t xml:space="preserve"> </w:t>
      </w:r>
      <w:r>
        <w:rPr>
          <w:rFonts w:ascii="Nirmala UI" w:hAnsi="Nirmala UI" w:eastAsia="Nirmala UI" w:cs="Nirmala UI"/>
        </w:rPr>
        <w:t>దర్శనాన్ని</w:t>
      </w:r>
      <w:r>
        <w:rPr>
          <w:rFonts w:ascii="Arial" w:hAnsi="Arial" w:eastAsia="Arial" w:cs="Arial"/>
        </w:rPr>
        <w:t xml:space="preserve"> </w:t>
      </w:r>
      <w:r>
        <w:rPr>
          <w:rFonts w:ascii="Nirmala UI" w:hAnsi="Nirmala UI" w:eastAsia="Nirmala UI" w:cs="Nirmala UI"/>
        </w:rPr>
        <w:t>స్థిరపరుస్తుంది</w:t>
      </w:r>
      <w:r>
        <w:rPr>
          <w:rFonts w:ascii="Arial" w:hAnsi="Arial" w:eastAsia="Arial" w:cs="Arial"/>
        </w:rPr>
        <w:t xml:space="preserve"> — </w:t>
      </w:r>
      <w:r>
        <w:rPr>
          <w:rFonts w:ascii="Nirmala UI" w:hAnsi="Nirmala UI" w:eastAsia="Nirmala UI" w:cs="Nirmala UI"/>
        </w:rPr>
        <w:t>సంఖ్య</w:t>
      </w:r>
      <w:r>
        <w:rPr>
          <w:rFonts w:ascii="Arial" w:hAnsi="Arial" w:eastAsia="Arial" w:cs="Arial"/>
        </w:rPr>
        <w:t xml:space="preserve"> </w:t>
      </w:r>
      <w:r>
        <w:rPr>
          <w:rFonts w:ascii="Nirmala UI" w:hAnsi="Nirmala UI" w:eastAsia="Nirmala UI" w:cs="Nirmala UI"/>
        </w:rPr>
        <w:t>రెండు</w:t>
      </w:r>
    </w:p>
    <w:p>
      <w:pPr>
        <w:pStyle w:val="ArticleSubtitle"/>
        <w:jc w:val="left"/>
      </w:pPr>
      <w:r>
        <w:rPr>
          <w:rFonts w:ascii="Arial" w:hAnsi="Arial" w:eastAsia="Arial" w:cs="Arial"/>
        </w:rPr>
        <w:t>Identifier la Rome moderne et la vision prophétique des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A cikin waɗannan kwanaki kuma, mutane da yawa za su tashi gāba da sarkin kudu; haka kuma, ’yan ta’adda daga cikin mutanenka za su ɗaukaka kansu domin su tabbatar da wahayi; amma za su fāɗi. Daniyel 11:14.</w:t>
      </w:r>
    </w:p>
    <w:p>
      <w:pPr>
        <w:pStyle w:val="ArticleBody"/>
        <w:jc w:val="left"/>
      </w:pPr>
      <w:r>
        <w:rPr>
          <w:rFonts w:ascii="Times New Roman" w:hAnsi="Times New Roman" w:eastAsia="Times New Roman" w:cs="Times New Roman"/>
        </w:rPr>
        <w:t>Die richtige Identifizierung der Macht der letzten Tage, die als das moderne Rom dargestellt wird und somit die Macht ist, welche „die Vision bestätigt“, ist wesentlich und heilsentscheidend. Sie stellt ein Element des abschließenden Prüfungsprozesses der hundertvierundvierzigtausend dar. Das Wort „Vision“ in dem Vers ist dasselbe hebräische Wort, das Salomo wählte, als er darlegte, warum Gottes Volk zugrunde geht.</w:t>
      </w:r>
    </w:p>
    <w:p>
      <w:pPr>
        <w:pStyle w:val="ArticleScripture"/>
        <w:jc w:val="left"/>
      </w:pPr>
      <w:r>
        <w:rPr>
          <w:rFonts w:ascii="Times New Roman" w:hAnsi="Times New Roman" w:eastAsia="Times New Roman" w:cs="Times New Roman"/>
        </w:rPr>
        <w:t>Là où il n’y a point de vision, le peuple périt; mais heureux est celui qui garde la loi. Proverbes 29:18.</w:t>
      </w:r>
    </w:p>
    <w:p>
      <w:pPr>
        <w:pStyle w:val="ArticleBody"/>
        <w:jc w:val="left"/>
      </w:pPr>
      <w:r>
        <w:rPr>
          <w:rFonts w:ascii="Times New Roman" w:hAnsi="Times New Roman" w:eastAsia="Times New Roman" w:cs="Times New Roman"/>
        </w:rPr>
        <w:t>Les prophètes parlent tous plus directement des derniers jours que de toute autre période de l’histoire sacrée, et l’avertissement de Salomon concernant la nécessité de posséder la « vision » est une question de vie ou de mort. La vérité opère toujours une division et produit deux classes d’adorateurs. Dans ce verset, il y a une classe qui périt et une classe qui garde heureusement la loi. Il convient toutefois de noter que le conseil de Salomon est placé dans le contexte d’une controverse au sujet de la « vérité ». Il se situe aussi dans le contexte de la parabole des dix vierges, car la parabole des dix vierges constitue une illustration principale de l’expérience du peuple de Dieu dans les derniers jours.</w:t>
      </w:r>
    </w:p>
    <w:p>
      <w:pPr>
        <w:pStyle w:val="ArticleScripture"/>
        <w:jc w:val="left"/>
      </w:pPr>
      <w:r>
        <w:rPr>
          <w:rFonts w:ascii="Times New Roman" w:hAnsi="Times New Roman" w:eastAsia="Times New Roman" w:cs="Times New Roman"/>
        </w:rPr>
        <w:t>Mpumbavu alonga byonse biri mu mutima wakwe; kwene umuntu wa mano abifisa, abireka kufuma panyuma. Nga mfumu itegera ku bubifi, abakozi bayo bonse baba babi. Umubusu no muntu wa bufi bakumanina pamo; Yehova eulengekeshya amenso yabo bombi. Imfumu ilinganya umubusu mu bufi bwabyo, intebe yakwe ikakomeshiwa imyaka yose. Inkoni no kulanda kwa kulungama fileta amano; lelo umwana walekelwa ku bumwine aleleta nyina insoni. Ilyo ababifi bakulilamo, ubulandu bukulilamo; lelo abalungami bakamona ukuwa kwabo. Longosha umwana obe, nao akakupepa umutende; ee, akaleta okusangalala ku mutima obe. Aho te kuli ukulumonesha, abantu babula; lelo uwabika amategeko, alikwata omukisa. Imisemo 29:11–18.</w:t>
      </w:r>
    </w:p>
    <w:p>
      <w:pPr>
        <w:pStyle w:val="ArticleBody"/>
        <w:jc w:val="left"/>
      </w:pPr>
      <w:r>
        <w:rPr>
          <w:rFonts w:ascii="Times New Roman" w:hAnsi="Times New Roman" w:eastAsia="Times New Roman" w:cs="Times New Roman"/>
        </w:rPr>
        <w:t>Ọ bụghị ebumnobi m ịtụ aka n’ebe ndị nwere ike ijide nghọta dị iche banyere Rome nke oge a karịa nke m nọ. Ebumnobi m bụ igosi na Solomon na-agwa klaasị abụọ nke ndị na-efe ofufe okwu, ndị ọ kpọrọ “onye amamihe” na “onye nzuzu.” A na-akọwakwa “onye nzuzu” dịka “onye ajọ omume.” A na-akọwakwa ụmụ agbọghọ amamihe na ụmụ agbọghọ nzuzu nke ilu ahụ, n’ahịrị amụma nke Daniel isi nke iri na abụọ, dịka ndị amamihe na ndị ajọ omume.</w:t>
      </w:r>
    </w:p>
    <w:p>
      <w:pPr>
        <w:pStyle w:val="ArticleScripture"/>
        <w:jc w:val="left"/>
      </w:pPr>
      <w:r>
        <w:rPr>
          <w:rFonts w:ascii="Times New Roman" w:hAnsi="Times New Roman" w:eastAsia="Times New Roman" w:cs="Times New Roman"/>
        </w:rPr>
        <w:t>Dau dau ka vakasavasavataki, ka vakasisivarataki, ka vakatovolei; ia ko ira na tamata ca era na caka ca tiko ga: ka sega ni dua vei ira na tamata ca ena kila; ia ko ira na vuku era na kila. Taniela 12:10.</w:t>
      </w:r>
    </w:p>
    <w:p>
      <w:pPr>
        <w:pStyle w:val="ArticleBody"/>
        <w:jc w:val="left"/>
      </w:pPr>
      <w:r>
        <w:rPr>
          <w:rFonts w:ascii="Times New Roman" w:hAnsi="Times New Roman" w:eastAsia="Times New Roman" w:cs="Times New Roman"/>
        </w:rPr>
        <w:t>Salomo og Daniel er samde med kvarandre, for alt det profetiske vitnemålet samstemmer i dei siste dagar. Dei vise forstår «auken i kunnskap».</w:t>
      </w:r>
    </w:p>
    <w:p>
      <w:pPr>
        <w:pStyle w:val="ArticleScripture"/>
        <w:jc w:val="left"/>
      </w:pPr>
      <w:r>
        <w:rPr>
          <w:rFonts w:ascii="Times New Roman" w:hAnsi="Times New Roman" w:eastAsia="Times New Roman" w:cs="Times New Roman"/>
        </w:rPr>
        <w:t>Ang mga pantas ay magniningning na gaya ng kaningningan ng kalawakan; at yaong mga umaakay sa marami sa katuwiran ay magiging gaya ng mga bituin magpakailanman. Ngunit ikaw, O Daniel, ipinid mo ang mga salita, at tatakan mo ang aklat, hanggang sa panahon ng wakas: marami ang paroo’t parito, at ang kaalaman ay lalago. Daniel 12:3, 4.</w:t>
      </w:r>
    </w:p>
    <w:p>
      <w:pPr>
        <w:pStyle w:val="ArticleBody"/>
        <w:jc w:val="left"/>
      </w:pPr>
      <w:r>
        <w:rPr>
          <w:rFonts w:ascii="Times New Roman" w:hAnsi="Times New Roman" w:eastAsia="Times New Roman" w:cs="Times New Roman"/>
        </w:rPr>
        <w:t>Le verset dix identifie le processus d’épreuve en trois étapes qui passe les vierges au crible, elles qui sont appelées à être parmi les cent quarante-quatre mille. Dans les deux cas, le processus de criblage et d’épreuve est fondé sur la question de savoir si les vierges comprennent l’accroissement de la connaissance (la vision) qui a été descellé au temps de la fin, en 1989.</w:t>
      </w:r>
    </w:p>
    <w:p>
      <w:pPr>
        <w:pStyle w:val="ArticleBody"/>
        <w:jc w:val="left"/>
      </w:pPr>
      <w:r>
        <w:rPr>
          <w:rFonts w:ascii="Times New Roman" w:hAnsi="Times New Roman" w:eastAsia="Times New Roman" w:cs="Times New Roman"/>
        </w:rPr>
        <w:t>"</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পঁয়তাল্লিশ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পদসমূহের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রাজার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উত্থান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পদসমূহে</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অনুপ্রেরণা</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“Modern Rome” </w:t>
      </w:r>
      <w:r>
        <w:rPr>
          <w:rFonts w:ascii="Nirmala UI" w:hAnsi="Nirmala UI" w:eastAsia="Nirmala UI" w:cs="Nirmala UI"/>
        </w:rPr>
        <w:t>অভিব্যক্তিটি</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অভিব্যক্তিটি</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উদ্ভাবন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“modern”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দিনগুলোকেই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“Modern Rome” </w:t>
      </w:r>
      <w:r>
        <w:rPr>
          <w:rFonts w:ascii="Nirmala UI" w:hAnsi="Nirmala UI" w:eastAsia="Nirmala UI" w:cs="Nirmala UI"/>
        </w:rPr>
        <w:t>অভিব্যক্তিটি</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করেননি।</w:t>
      </w:r>
    </w:p>
    <w:p>
      <w:pPr>
        <w:pStyle w:val="ArticleBody"/>
        <w:jc w:val="left"/>
      </w:pPr>
      <w:r>
        <w:rPr>
          <w:rFonts w:ascii="Leelawadee UI" w:hAnsi="Leelawadee UI" w:eastAsia="Leelawadee UI" w:cs="Leelawadee UI"/>
        </w:rPr>
        <w:t>មានទស្សនៈខុសៗគ្នាអំពីអ្នកដែល</w:t>
      </w:r>
      <w:r>
        <w:rPr>
          <w:rFonts w:ascii="Times New Roman" w:hAnsi="Times New Roman" w:eastAsia="Times New Roman" w:cs="Times New Roman"/>
        </w:rPr>
        <w:t xml:space="preserve"> «</w:t>
      </w:r>
      <w:r>
        <w:rPr>
          <w:rFonts w:ascii="Leelawadee UI" w:hAnsi="Leelawadee UI" w:eastAsia="Leelawadee UI" w:cs="Leelawadee UI"/>
        </w:rPr>
        <w:t>ស្តេចខាងជើង</w:t>
      </w:r>
      <w:r>
        <w:rPr>
          <w:rFonts w:ascii="Times New Roman" w:hAnsi="Times New Roman" w:eastAsia="Times New Roman" w:cs="Times New Roman"/>
        </w:rPr>
        <w:t xml:space="preserve">» </w:t>
      </w:r>
      <w:r>
        <w:rPr>
          <w:rFonts w:ascii="Leelawadee UI" w:hAnsi="Leelawadee UI" w:eastAsia="Leelawadee UI" w:cs="Leelawadee UI"/>
        </w:rPr>
        <w:t>តំណាងឲ្យក្នុងខប្រាំមួយចុងក្រោយនៃ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ប៉ុន្តែមានតែការយល់ដឹងត្រឹមត្រូវតែមួយប៉ុណ្ណោះ។</w:t>
      </w:r>
      <w:r>
        <w:rPr>
          <w:rFonts w:ascii="Times New Roman" w:hAnsi="Times New Roman" w:eastAsia="Times New Roman" w:cs="Times New Roman"/>
        </w:rPr>
        <w:t xml:space="preserve"> </w:t>
      </w:r>
      <w:r>
        <w:rPr>
          <w:rFonts w:ascii="Leelawadee UI" w:hAnsi="Leelawadee UI" w:eastAsia="Leelawadee UI" w:cs="Leelawadee UI"/>
        </w:rPr>
        <w:t>ការយល់ដឹងថា</w:t>
      </w:r>
      <w:r>
        <w:rPr>
          <w:rFonts w:ascii="Times New Roman" w:hAnsi="Times New Roman" w:eastAsia="Times New Roman" w:cs="Times New Roman"/>
        </w:rPr>
        <w:t xml:space="preserve"> «</w:t>
      </w:r>
      <w:r>
        <w:rPr>
          <w:rFonts w:ascii="Leelawadee UI" w:hAnsi="Leelawadee UI" w:eastAsia="Leelawadee UI" w:cs="Leelawadee UI"/>
        </w:rPr>
        <w:t>ស្តេចខាងជើង</w:t>
      </w:r>
      <w:r>
        <w:rPr>
          <w:rFonts w:ascii="Times New Roman" w:hAnsi="Times New Roman" w:eastAsia="Times New Roman" w:cs="Times New Roman"/>
        </w:rPr>
        <w:t xml:space="preserve">» </w:t>
      </w:r>
      <w:r>
        <w:rPr>
          <w:rFonts w:ascii="Leelawadee UI" w:hAnsi="Leelawadee UI" w:eastAsia="Leelawadee UI" w:cs="Leelawadee UI"/>
        </w:rPr>
        <w:t>នៅក្នុងខទាំងនោះគឺជាអំណាចសម្តេចប៉ាប</w:t>
      </w:r>
      <w:r>
        <w:rPr>
          <w:rFonts w:ascii="Times New Roman" w:hAnsi="Times New Roman" w:eastAsia="Times New Roman" w:cs="Times New Roman"/>
        </w:rPr>
        <w:t xml:space="preserve"> </w:t>
      </w:r>
      <w:r>
        <w:rPr>
          <w:rFonts w:ascii="Leelawadee UI" w:hAnsi="Leelawadee UI" w:eastAsia="Leelawadee UI" w:cs="Leelawadee UI"/>
        </w:rPr>
        <w:t>បានកើតចេញពីសាក្សីព្យាករណ៍ជាច្រើន។</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ចាប់ផ្តើមដោយកំណត់អត្តសញ្ញាណថា</w:t>
      </w:r>
      <w:r>
        <w:rPr>
          <w:rFonts w:ascii="Times New Roman" w:hAnsi="Times New Roman" w:eastAsia="Times New Roman" w:cs="Times New Roman"/>
        </w:rPr>
        <w:t xml:space="preserve"> </w:t>
      </w:r>
      <w:r>
        <w:rPr>
          <w:rFonts w:ascii="Leelawadee UI" w:hAnsi="Leelawadee UI" w:eastAsia="Leelawadee UI" w:cs="Leelawadee UI"/>
        </w:rPr>
        <w:t>សាសនាអធិបតេយ្យប៉ាបបានទទួលរបួសមរណភាពនៅឆ្នាំ</w:t>
      </w:r>
      <w:r>
        <w:rPr>
          <w:rFonts w:ascii="Times New Roman" w:hAnsi="Times New Roman" w:eastAsia="Times New Roman" w:cs="Times New Roman"/>
        </w:rPr>
        <w:t xml:space="preserve"> 1798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៤១</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៤៣</w:t>
      </w:r>
      <w:r>
        <w:rPr>
          <w:rFonts w:ascii="Times New Roman" w:hAnsi="Times New Roman" w:eastAsia="Times New Roman" w:cs="Times New Roman"/>
        </w:rPr>
        <w:t xml:space="preserve"> </w:t>
      </w:r>
      <w:r>
        <w:rPr>
          <w:rFonts w:ascii="Leelawadee UI" w:hAnsi="Leelawadee UI" w:eastAsia="Leelawadee UI" w:cs="Leelawadee UI"/>
        </w:rPr>
        <w:t>បញ្ជាក់អំពីសកម្មភាពនានាដែលពាក់ព័ន្ធនឹងការជាសះស្បើយនៃរបួសមរណភាពនោះ។</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៤៤</w:t>
      </w:r>
      <w:r>
        <w:rPr>
          <w:rFonts w:ascii="Times New Roman" w:hAnsi="Times New Roman" w:eastAsia="Times New Roman" w:cs="Times New Roman"/>
        </w:rPr>
        <w:t xml:space="preserve"> </w:t>
      </w:r>
      <w:r>
        <w:rPr>
          <w:rFonts w:ascii="Leelawadee UI" w:hAnsi="Leelawadee UI" w:eastAsia="Leelawadee UI" w:cs="Leelawadee UI"/>
        </w:rPr>
        <w:t>ពិពណ៌នាអំពីសារដែលធ្វើឲ្យអំណាចសម្តេចប៉ាបក្តៅក្រហាយ</w:t>
      </w:r>
      <w:r>
        <w:rPr>
          <w:rFonts w:ascii="Times New Roman" w:hAnsi="Times New Roman" w:eastAsia="Times New Roman" w:cs="Times New Roman"/>
        </w:rPr>
        <w:t xml:space="preserve"> </w:t>
      </w:r>
      <w:r>
        <w:rPr>
          <w:rFonts w:ascii="Leelawadee UI" w:hAnsi="Leelawadee UI" w:eastAsia="Leelawadee UI" w:cs="Leelawadee UI"/>
        </w:rPr>
        <w:t>ហើយនាំចូលទៅកាន់</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៤៥</w:t>
      </w:r>
      <w:r>
        <w:rPr>
          <w:rFonts w:ascii="Times New Roman" w:hAnsi="Times New Roman" w:eastAsia="Times New Roman" w:cs="Times New Roman"/>
        </w:rPr>
        <w:t xml:space="preserve"> </w:t>
      </w:r>
      <w:r>
        <w:rPr>
          <w:rFonts w:ascii="Leelawadee UI" w:hAnsi="Leelawadee UI" w:eastAsia="Leelawadee UI" w:cs="Leelawadee UI"/>
        </w:rPr>
        <w:t>នៅពេលដែលអំណាចប៉ាបឈានដល់ចុងបញ្ចប់ចុងក្រោយ</w:t>
      </w:r>
      <w:r>
        <w:rPr>
          <w:rFonts w:ascii="Times New Roman" w:hAnsi="Times New Roman" w:eastAsia="Times New Roman" w:cs="Times New Roman"/>
        </w:rPr>
        <w:t xml:space="preserve"> </w:t>
      </w:r>
      <w:r>
        <w:rPr>
          <w:rFonts w:ascii="Leelawadee UI" w:hAnsi="Leelawadee UI" w:eastAsia="Leelawadee UI" w:cs="Leelawadee UI"/>
        </w:rPr>
        <w:t>និងពេញលេញរបស់វា។</w:t>
      </w:r>
      <w:r>
        <w:rPr>
          <w:rFonts w:ascii="Times New Roman" w:hAnsi="Times New Roman" w:eastAsia="Times New Roman" w:cs="Times New Roman"/>
        </w:rPr>
        <w:t xml:space="preserve"> </w:t>
      </w:r>
      <w:r>
        <w:rPr>
          <w:rFonts w:ascii="Leelawadee UI" w:hAnsi="Leelawadee UI" w:eastAsia="Leelawadee UI" w:cs="Leelawadee UI"/>
        </w:rPr>
        <w:t>និមិត្តដែលត្រូវបានបើកត្រានៅឆ្នាំ</w:t>
      </w:r>
      <w:r>
        <w:rPr>
          <w:rFonts w:ascii="Times New Roman" w:hAnsi="Times New Roman" w:eastAsia="Times New Roman" w:cs="Times New Roman"/>
        </w:rPr>
        <w:t xml:space="preserve"> 1989 </w:t>
      </w:r>
      <w:r>
        <w:rPr>
          <w:rFonts w:ascii="Leelawadee UI" w:hAnsi="Leelawadee UI" w:eastAsia="Leelawadee UI" w:cs="Leelawadee UI"/>
        </w:rPr>
        <w:t>គឺជានិមិត្តអំពីការកើនឡើងចុងក្រោយ</w:t>
      </w:r>
      <w:r>
        <w:rPr>
          <w:rFonts w:ascii="Times New Roman" w:hAnsi="Times New Roman" w:eastAsia="Times New Roman" w:cs="Times New Roman"/>
        </w:rPr>
        <w:t xml:space="preserve"> </w:t>
      </w:r>
      <w:r>
        <w:rPr>
          <w:rFonts w:ascii="Leelawadee UI" w:hAnsi="Leelawadee UI" w:eastAsia="Leelawadee UI" w:cs="Leelawadee UI"/>
        </w:rPr>
        <w:t>និងការធ្លាក់ចុះចុងក្រោយនៃអំណាចសម្តេចប៉ាបនៅក្នុងថ្ងៃចុងក្រោយ។</w:t>
      </w:r>
      <w:r>
        <w:rPr>
          <w:rFonts w:ascii="Times New Roman" w:hAnsi="Times New Roman" w:eastAsia="Times New Roman" w:cs="Times New Roman"/>
        </w:rPr>
        <w:t xml:space="preserve"> </w:t>
      </w:r>
      <w:r>
        <w:rPr>
          <w:rFonts w:ascii="Leelawadee UI" w:hAnsi="Leelawadee UI" w:eastAsia="Leelawadee UI" w:cs="Leelawadee UI"/>
        </w:rPr>
        <w:t>និមិត្តនោះគឺជាការកើនឡើងនៃចំណេះដឹង</w:t>
      </w:r>
      <w:r>
        <w:rPr>
          <w:rFonts w:ascii="Times New Roman" w:hAnsi="Times New Roman" w:eastAsia="Times New Roman" w:cs="Times New Roman"/>
        </w:rPr>
        <w:t xml:space="preserve"> </w:t>
      </w:r>
      <w:r>
        <w:rPr>
          <w:rFonts w:ascii="Leelawadee UI" w:hAnsi="Leelawadee UI" w:eastAsia="Leelawadee UI" w:cs="Leelawadee UI"/>
        </w:rPr>
        <w:t>ដែលបង្កើត</w:t>
      </w:r>
      <w:r>
        <w:rPr>
          <w:rFonts w:ascii="Times New Roman" w:hAnsi="Times New Roman" w:eastAsia="Times New Roman" w:cs="Times New Roman"/>
        </w:rPr>
        <w:t xml:space="preserve"> </w:t>
      </w:r>
      <w:r>
        <w:rPr>
          <w:rFonts w:ascii="Leelawadee UI" w:hAnsi="Leelawadee UI" w:eastAsia="Leelawadee UI" w:cs="Leelawadee UI"/>
        </w:rPr>
        <w:t>និងបង្ហាញអ្នកថ្វាយបង្គំពីរប្រភេទ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ដោយផ្អែកលើការទទួលយក</w:t>
      </w:r>
      <w:r>
        <w:rPr>
          <w:rFonts w:ascii="Times New Roman" w:hAnsi="Times New Roman" w:eastAsia="Times New Roman" w:cs="Times New Roman"/>
        </w:rPr>
        <w:t xml:space="preserve"> </w:t>
      </w:r>
      <w:r>
        <w:rPr>
          <w:rFonts w:ascii="Leelawadee UI" w:hAnsi="Leelawadee UI" w:eastAsia="Leelawadee UI" w:cs="Leelawadee UI"/>
        </w:rPr>
        <w:t>ឬការបដិសេធរបស់ពួកគេចំពោះចំណេះដឹងដែលស្ថិតនៅក្នុងខទាំងនោះ។</w:t>
      </w:r>
    </w:p>
    <w:p>
      <w:pPr>
        <w:pStyle w:val="ArticleBody"/>
        <w:jc w:val="left"/>
      </w:pPr>
      <w:r>
        <w:rPr>
          <w:rFonts w:ascii="Times New Roman" w:hAnsi="Times New Roman" w:eastAsia="Times New Roman" w:cs="Times New Roman"/>
        </w:rPr>
        <w:t>De acordo com o mesmo capítulo em que o aumento do conhecimento foi desselado em 1989, os “violentos do teu povo”, que “se exaltarão” e por fim “cairão”, são o símbolo que estabelece a “visão”. Na peneiração final, a primeira questão probatória é quem está representado como os “violentos do teu povo”, pois eles são o símbolo profético que estabelece a “visão”. São os salteadores o poder papal, ou são os Estados Unidos?</w:t>
      </w:r>
    </w:p>
    <w:p>
      <w:pPr>
        <w:pStyle w:val="ArticleBody"/>
        <w:jc w:val="left"/>
      </w:pPr>
      <w:r>
        <w:rPr>
          <w:rFonts w:ascii="Times New Roman" w:hAnsi="Times New Roman" w:eastAsia="Times New Roman" w:cs="Times New Roman"/>
        </w:rPr>
        <w:t>Biɓliso ɗe Daniel e Wahayu ko deftere gooto, ko seedaaɓe ɗiɗo nder gootal ɗiɗol annabaaku. Daniel ko fuɗɗorde ndee, e Wahayu ko gasirde ndee; e ɗiɗo mum’en e cakkitii seedaaɓe ɗiɗo ɗe goonga kaɓirtinaaɗo e jamaanu timmorde, e 1989.</w:t>
      </w:r>
    </w:p>
    <w:p>
      <w:pPr>
        <w:pStyle w:val="ArticleBody"/>
        <w:jc w:val="left"/>
      </w:pPr>
      <w:r>
        <w:rPr>
          <w:rFonts w:ascii="Times New Roman" w:hAnsi="Times New Roman" w:eastAsia="Times New Roman" w:cs="Times New Roman"/>
        </w:rPr>
        <w:t>داﻧیال فرایندِ تطهیری را توصیف می‌کند که هنگامی پدید آمد که شیرِ سبطِ یهودا در سال ۱۹۸۹ آیاتِ چهل تا چهل‌وپنج را مُهرگشایی کرد. در آن زمان، فرایندی از آزمون آغاز شد تا معیّن سازد و آشکار کند چه کسانی «کاهنان»ی خواهند بود که قومِ عهد را تشکیل می‌دهند؛ همان صد و چهل و چهار هزار نفر در ایامِ آخر. هوشع نیز می‌افزاید که کسانی که افزایشِ معرفتِ ایامِ آخر را رد می‌کنند، از جملهٔ کاهنانی که صد و چهل و چهار هزار را تشکیل می‌دهند نخواهند شد.</w:t>
      </w:r>
    </w:p>
    <w:p>
      <w:pPr>
        <w:pStyle w:val="ArticleScripture"/>
        <w:jc w:val="left"/>
      </w:pPr>
      <w:r>
        <w:rPr>
          <w:rFonts w:ascii="Times New Roman" w:hAnsi="Times New Roman" w:eastAsia="Times New Roman" w:cs="Times New Roman"/>
        </w:rPr>
        <w:t>Moj lud je zničen zaradi pomanjkanja spoznanja; ker si zavrgel spoznanje, bom tudi jaz zavrgel tebe, da mi ne boš več duhovnik; ker si pozabil postavo svojega Boga, bom tudi jaz pozabil tvoje otroke. Ozej 4,6.</w:t>
      </w:r>
    </w:p>
    <w:p>
      <w:pPr>
        <w:pStyle w:val="ArticleBody"/>
        <w:jc w:val="left"/>
      </w:pPr>
      <w:r>
        <w:rPr>
          <w:rFonts w:ascii="Microsoft Himalaya" w:hAnsi="Microsoft Himalaya" w:eastAsia="Microsoft Himalaya" w:cs="Microsoft Himalaya"/>
        </w:rPr>
        <w:t>མངོན་རྟོགས་ཀྱི་དེབ་ཀྱིས།</w:t>
      </w:r>
      <w:r>
        <w:rPr>
          <w:rFonts w:ascii="Times New Roman" w:hAnsi="Times New Roman" w:eastAsia="Times New Roman" w:cs="Times New Roman"/>
        </w:rPr>
        <w:t xml:space="preserve"> </w:t>
      </w:r>
      <w:r>
        <w:rPr>
          <w:rFonts w:ascii="Microsoft Himalaya" w:hAnsi="Microsoft Himalaya" w:eastAsia="Microsoft Himalaya" w:cs="Microsoft Himalaya"/>
        </w:rPr>
        <w:t>ཁག་གཅིག་གིས་ཕྱེ་བའི་ཤེས་བྱ་དེ་དང་ལེན་མ་བྱས་པ་ནི།</w:t>
      </w:r>
      <w:r>
        <w:rPr>
          <w:rFonts w:ascii="Times New Roman" w:hAnsi="Times New Roman" w:eastAsia="Times New Roman" w:cs="Times New Roman"/>
        </w:rPr>
        <w:t xml:space="preserve"> </w:t>
      </w:r>
      <w:r>
        <w:rPr>
          <w:rFonts w:ascii="Microsoft Himalaya" w:hAnsi="Microsoft Himalaya" w:eastAsia="Microsoft Himalaya" w:cs="Microsoft Himalaya"/>
        </w:rPr>
        <w:t>བཅད་ཁྲ་མ་རྫོགས་པའི་སྔ་ཙམ་དུ་ཁོང་ཚོའི་ངོས་ལེན་མེད་པ་དེ་ཉིད་འགྲུབ་པར་བྱེད་པ་ཡིན་པར་གསལ་པོར་མཚོན་ཏོ།</w:t>
      </w:r>
    </w:p>
    <w:p>
      <w:pPr>
        <w:pStyle w:val="ArticleScripture"/>
        <w:jc w:val="left"/>
      </w:pPr>
      <w:r>
        <w:rPr>
          <w:rFonts w:ascii="Times New Roman" w:hAnsi="Times New Roman" w:eastAsia="Times New Roman" w:cs="Times New Roman"/>
        </w:rPr>
        <w:t>At siya’y nagsabi sa akin, Huwag mong tatakan ang mga salita ng hula ng aklat na ito: sapagkat malapit na ang panahon. Ang liko, ay hayaang magpatuloy sa pagkaliko pa rin: at ang marumi, ay hayaang magpatuloy sa karumihan pa rin: at ang matuwid, ay hayaang magpatuloy sa pagkamatuwid pa rin: at ang banal, ay hayaang magpatuloy sa kabanalan pa rin. Apocalipsis 22:10, 11.</w:t>
      </w:r>
    </w:p>
    <w:p>
      <w:pPr>
        <w:pStyle w:val="ArticleBody"/>
        <w:jc w:val="left"/>
      </w:pPr>
      <w:r>
        <w:rPr>
          <w:rFonts w:ascii="Times New Roman" w:hAnsi="Times New Roman" w:eastAsia="Times New Roman" w:cs="Times New Roman"/>
        </w:rPr>
        <w:t>L’histoire millérite illustre l’histoire des cent quarante-quatre mille, et ensemble, les millérites et les cent quarante-quatre mille représentent le commencement et l’achèvement du message et de l’œuvre des trois anges d’Apocalypse chapitre quatorze. Les histoires parallèles identifient les événements liés à la clôture du temps de grâce. L’œuvre de ces deux histoires a été typifiée par Élie et Jean-Baptiste.</w:t>
      </w:r>
    </w:p>
    <w:p>
      <w:pPr>
        <w:pStyle w:val="ArticleScripture"/>
        <w:jc w:val="left"/>
      </w:pPr>
      <w:r>
        <w:rPr>
          <w:rFonts w:ascii="Times New Roman" w:hAnsi="Times New Roman" w:eastAsia="Times New Roman" w:cs="Times New Roman"/>
        </w:rPr>
        <w:t>“Tetatyao, William Miller dia nanomboka namelabelatra tamin’ny vahoaka ny zava-miafin’ny fanjakan’Andriamanitra, nitondra ny mpihaino azy namakivaky ny faminaniana hatramin’ny fiavian’i Kristy fanindroany. Isaky ny ezaka nataony dia nitombo hery izy. Tahaka an’i Jaona Mpanao-batisa izay nitory mialoha ny fiavian’i Jesosy voalohany ka nanomana ny lalana ho an’ny fahatongavany, dia toy izany koa no nanambaran’i William Miller sy ireo niara-dia taminy ny fiavian’ny Zanak’Andriamanitra fanindroany.” Early Writings, 229, 230.</w:t>
      </w:r>
    </w:p>
    <w:p>
      <w:pPr>
        <w:pStyle w:val="ArticleBody"/>
        <w:jc w:val="left"/>
      </w:pPr>
      <w:r>
        <w:rPr>
          <w:rFonts w:ascii="Times New Roman" w:hAnsi="Times New Roman" w:eastAsia="Times New Roman" w:cs="Times New Roman"/>
        </w:rPr>
        <w:t>Le message millérite a identifié les « événements » liés à la fin du temps de grâce, tels qu’ils sont représentés à la fois par Élie et par Jean-Baptiste.</w:t>
      </w:r>
    </w:p>
    <w:p>
      <w:pPr>
        <w:pStyle w:val="ArticleScripture"/>
        <w:jc w:val="left"/>
      </w:pPr>
      <w:r>
        <w:rPr>
          <w:rFonts w:ascii="Times New Roman" w:hAnsi="Times New Roman" w:eastAsia="Times New Roman" w:cs="Times New Roman"/>
        </w:rPr>
        <w:t>“Il était nécessaire que les hommes fussent réveillés quant au danger qui les menaçait; qu’ils fussent amenés à se préparer aux événements solennels liés à la clôture du temps de grâce.” The Great Controversy, 310.</w:t>
      </w:r>
    </w:p>
    <w:p>
      <w:pPr>
        <w:pStyle w:val="ArticleBody"/>
        <w:jc w:val="left"/>
      </w:pPr>
      <w:r>
        <w:rPr>
          <w:rFonts w:ascii="Microsoft Himalaya" w:hAnsi="Microsoft Himalaya" w:eastAsia="Microsoft Himalaya" w:cs="Microsoft Himalaya"/>
        </w:rPr>
        <w:t>ལོ་</w:t>
      </w:r>
      <w:r>
        <w:rPr>
          <w:rFonts w:ascii="Times New Roman" w:hAnsi="Times New Roman" w:eastAsia="Times New Roman" w:cs="Times New Roman"/>
        </w:rPr>
        <w:t xml:space="preserve">1989 </w:t>
      </w:r>
      <w:r>
        <w:rPr>
          <w:rFonts w:ascii="Microsoft Himalaya" w:hAnsi="Microsoft Himalaya" w:eastAsia="Microsoft Himalaya" w:cs="Microsoft Himalaya"/>
        </w:rPr>
        <w:t>ལ་</w:t>
      </w:r>
      <w:r>
        <w:rPr>
          <w:rFonts w:ascii="Times New Roman" w:hAnsi="Times New Roman" w:eastAsia="Times New Roman" w:cs="Times New Roman"/>
        </w:rPr>
        <w:t xml:space="preserve"> </w:t>
      </w:r>
      <w:r>
        <w:rPr>
          <w:rFonts w:ascii="Microsoft Himalaya" w:hAnsi="Microsoft Himalaya" w:eastAsia="Microsoft Himalaya" w:cs="Microsoft Himalaya"/>
        </w:rPr>
        <w:t>སོ་བེའི་ཡུ་ནིན་འཐོར་ཞིག་གིས་མཇུག་བསྡུ་བ་དང་བསྟུན་ནས་</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དཱ་ནི་ཨེལ་གྱི་དེབ་ཀྱི་མཐའ་མའི་ཉིན་མོ་དང་འབྲེལ་བའི་ཆ་ཤས་དེ་ཕྱེ་བར་གྱུར་ཞིང་</w:t>
      </w:r>
      <w:r>
        <w:rPr>
          <w:rFonts w:ascii="Times New Roman" w:hAnsi="Times New Roman" w:eastAsia="Times New Roman" w:cs="Times New Roman"/>
        </w:rPr>
        <w:t xml:space="preserve"> </w:t>
      </w:r>
      <w:r>
        <w:rPr>
          <w:rFonts w:ascii="Microsoft Himalaya" w:hAnsi="Microsoft Himalaya" w:eastAsia="Microsoft Himalaya" w:cs="Microsoft Himalaya"/>
        </w:rPr>
        <w:t>ཚོད་ལྟའི་ལས་རིམ་ཞིག་འགོ་བཙུགས།</w:t>
      </w:r>
      <w:r>
        <w:rPr>
          <w:rFonts w:ascii="Times New Roman" w:hAnsi="Times New Roman" w:eastAsia="Times New Roman" w:cs="Times New Roman"/>
        </w:rPr>
        <w:t xml:space="preserve"> </w:t>
      </w:r>
      <w:r>
        <w:rPr>
          <w:rFonts w:ascii="Microsoft Himalaya" w:hAnsi="Microsoft Himalaya" w:eastAsia="Microsoft Himalaya" w:cs="Microsoft Himalaya"/>
        </w:rPr>
        <w:t>ཚོད་ལྟ་དེ་ནི་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དཱ་ནི་ཨེལ་ལེའུ་</w:t>
      </w:r>
      <w:r>
        <w:rPr>
          <w:rFonts w:ascii="Times New Roman" w:hAnsi="Times New Roman" w:eastAsia="Times New Roman" w:cs="Times New Roman"/>
        </w:rPr>
        <w:t xml:space="preserve">11 </w:t>
      </w:r>
      <w:r>
        <w:rPr>
          <w:rFonts w:ascii="Microsoft Himalaya" w:hAnsi="Microsoft Himalaya" w:eastAsia="Microsoft Himalaya" w:cs="Microsoft Himalaya"/>
        </w:rPr>
        <w:t>པའི་ཚིགས་བཅད་མཐའ་མ་དྲུག་ནང་མཚོན་པའི་ཤེས་ཡོན་འཕེལ་བ་དེ་</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དཀོན་མཆོག་གི་མི་ཚོས་རྟོགས་ནུས་མི་ནུས་སམ་</w:t>
      </w:r>
      <w:r>
        <w:rPr>
          <w:rFonts w:ascii="Times New Roman" w:hAnsi="Times New Roman" w:eastAsia="Times New Roman" w:cs="Times New Roman"/>
        </w:rPr>
        <w:t xml:space="preserve"> </w:t>
      </w:r>
      <w:r>
        <w:rPr>
          <w:rFonts w:ascii="Microsoft Himalaya" w:hAnsi="Microsoft Himalaya" w:eastAsia="Microsoft Himalaya" w:cs="Microsoft Himalaya"/>
        </w:rPr>
        <w:t>ཡང་ན་དེ་དང་འགལ་ཏེ་དང་ལེན་མི་བྱེད་པའི་ནུས་པ་ལ་གཞི་བཞག་པ་ཡིན།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ཚིགས་བཅད་དེ་དག་གིས་ལེའུ་</w:t>
      </w:r>
      <w:r>
        <w:rPr>
          <w:rFonts w:ascii="Times New Roman" w:hAnsi="Times New Roman" w:eastAsia="Times New Roman" w:cs="Times New Roman"/>
        </w:rPr>
        <w:t xml:space="preserve">12 </w:t>
      </w:r>
      <w:r>
        <w:rPr>
          <w:rFonts w:ascii="Microsoft Himalaya" w:hAnsi="Microsoft Himalaya" w:eastAsia="Microsoft Himalaya" w:cs="Microsoft Himalaya"/>
        </w:rPr>
        <w:t>པའི་ཚིགས་བཅད་</w:t>
      </w:r>
      <w:r>
        <w:rPr>
          <w:rFonts w:ascii="Times New Roman" w:hAnsi="Times New Roman" w:eastAsia="Times New Roman" w:cs="Times New Roman"/>
        </w:rPr>
        <w:t xml:space="preserve">1 </w:t>
      </w:r>
      <w:r>
        <w:rPr>
          <w:rFonts w:ascii="Microsoft Himalaya" w:hAnsi="Microsoft Himalaya" w:eastAsia="Microsoft Himalaya" w:cs="Microsoft Himalaya"/>
        </w:rPr>
        <w:t>པར་འཁྲིད་དེ་</w:t>
      </w:r>
      <w:r>
        <w:rPr>
          <w:rFonts w:ascii="Times New Roman" w:hAnsi="Times New Roman" w:eastAsia="Times New Roman" w:cs="Times New Roman"/>
        </w:rPr>
        <w:t xml:space="preserve"> “close of probation” </w:t>
      </w:r>
      <w:r>
        <w:rPr>
          <w:rFonts w:ascii="Microsoft Himalaya" w:hAnsi="Microsoft Himalaya" w:eastAsia="Microsoft Himalaya" w:cs="Microsoft Himalaya"/>
        </w:rPr>
        <w:t>ཞེས་པ་ངོས་འཛིན་བྱེད།</w:t>
      </w:r>
      <w:r>
        <w:rPr>
          <w:rFonts w:ascii="Times New Roman" w:hAnsi="Times New Roman" w:eastAsia="Times New Roman" w:cs="Times New Roman"/>
        </w:rPr>
        <w:t xml:space="preserve"> </w:t>
      </w:r>
      <w:r>
        <w:rPr>
          <w:rFonts w:ascii="Microsoft Himalaya" w:hAnsi="Microsoft Himalaya" w:eastAsia="Microsoft Himalaya" w:cs="Microsoft Himalaya"/>
        </w:rPr>
        <w:t>དེ་ནས་</w:t>
      </w:r>
      <w:r>
        <w:rPr>
          <w:rFonts w:ascii="Times New Roman" w:hAnsi="Times New Roman" w:eastAsia="Times New Roman" w:cs="Times New Roman"/>
        </w:rPr>
        <w:t xml:space="preserve"> “events connected with the close of probation” </w:t>
      </w:r>
      <w:r>
        <w:rPr>
          <w:rFonts w:ascii="Microsoft Himalaya" w:hAnsi="Microsoft Himalaya" w:eastAsia="Microsoft Himalaya" w:cs="Microsoft Himalaya"/>
        </w:rPr>
        <w:t>ཞེས་པའི་འཕྲིན་དེ་ཕྱེ་བར་གྱུར་ཞིང་</w:t>
      </w:r>
      <w:r>
        <w:rPr>
          <w:rFonts w:ascii="Times New Roman" w:hAnsi="Times New Roman" w:eastAsia="Times New Roman" w:cs="Times New Roman"/>
        </w:rPr>
        <w:t xml:space="preserve"> </w:t>
      </w:r>
      <w:r>
        <w:rPr>
          <w:rFonts w:ascii="Microsoft Himalaya" w:hAnsi="Microsoft Himalaya" w:eastAsia="Microsoft Himalaya" w:cs="Microsoft Himalaya"/>
        </w:rPr>
        <w:t>མི་འབུམ་བཞི་ཁྲི་བཞི་</w:t>
      </w:r>
      <w:r>
        <w:rPr>
          <w:rFonts w:ascii="Times New Roman" w:hAnsi="Times New Roman" w:eastAsia="Times New Roman" w:cs="Times New Roman"/>
        </w:rPr>
        <w:t xml:space="preserve">(one hundred and forty-four thousand) </w:t>
      </w:r>
      <w:r>
        <w:rPr>
          <w:rFonts w:ascii="Microsoft Himalaya" w:hAnsi="Microsoft Himalaya" w:eastAsia="Microsoft Himalaya" w:cs="Microsoft Himalaya"/>
        </w:rPr>
        <w:t>ཡི་</w:t>
      </w:r>
      <w:r>
        <w:rPr>
          <w:rFonts w:ascii="Times New Roman" w:hAnsi="Times New Roman" w:eastAsia="Times New Roman" w:cs="Times New Roman"/>
        </w:rPr>
        <w:t xml:space="preserve"> “priests” </w:t>
      </w:r>
      <w:r>
        <w:rPr>
          <w:rFonts w:ascii="Microsoft Himalaya" w:hAnsi="Microsoft Himalaya" w:eastAsia="Microsoft Himalaya" w:cs="Microsoft Himalaya"/>
        </w:rPr>
        <w:t>ཡིན་པའི་འོས་མི་རྣམས་ཀྱི་ལས་ཀ་འགོ་ཚུགས།</w:t>
      </w:r>
      <w:r>
        <w:rPr>
          <w:rFonts w:ascii="Times New Roman" w:hAnsi="Times New Roman" w:eastAsia="Times New Roman" w:cs="Times New Roman"/>
        </w:rPr>
        <w:t xml:space="preserve"> </w:t>
      </w:r>
      <w:r>
        <w:rPr>
          <w:rFonts w:ascii="Microsoft Himalaya" w:hAnsi="Microsoft Himalaya" w:eastAsia="Microsoft Himalaya" w:cs="Microsoft Himalaya"/>
        </w:rPr>
        <w:t>ཁོ་ཚོའི་ལས་ཀ་ནི་</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ཚིགས་བཅད་དེས་མཚོན་པའི་འཕྲིན་དེ་</w:t>
      </w:r>
      <w:r>
        <w:rPr>
          <w:rFonts w:ascii="Times New Roman" w:hAnsi="Times New Roman" w:eastAsia="Times New Roman" w:cs="Times New Roman"/>
        </w:rPr>
        <w:t xml:space="preserve"> “understand” </w:t>
      </w:r>
      <w:r>
        <w:rPr>
          <w:rFonts w:ascii="Microsoft Himalaya" w:hAnsi="Microsoft Himalaya" w:eastAsia="Microsoft Himalaya" w:cs="Microsoft Himalaya"/>
        </w:rPr>
        <w:t>བྱས་ཏེ་བསྒྲགས་པ་ཡིན།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མི་འབུམ་བཞི་ཁྲི་བཞི་</w:t>
      </w:r>
      <w:r>
        <w:rPr>
          <w:rFonts w:ascii="Times New Roman" w:hAnsi="Times New Roman" w:eastAsia="Times New Roman" w:cs="Times New Roman"/>
        </w:rPr>
        <w:t xml:space="preserve"> </w:t>
      </w:r>
      <w:r>
        <w:rPr>
          <w:rFonts w:ascii="Microsoft Himalaya" w:hAnsi="Microsoft Himalaya" w:eastAsia="Microsoft Himalaya" w:cs="Microsoft Himalaya"/>
        </w:rPr>
        <w:t>ཡི་འཕྲིན་དང་ལས་ཀ་ནི་</w:t>
      </w:r>
      <w:r>
        <w:rPr>
          <w:rFonts w:ascii="Times New Roman" w:hAnsi="Times New Roman" w:eastAsia="Times New Roman" w:cs="Times New Roman"/>
        </w:rPr>
        <w:t xml:space="preserve"> </w:t>
      </w:r>
      <w:r>
        <w:rPr>
          <w:rFonts w:ascii="Microsoft Himalaya" w:hAnsi="Microsoft Himalaya" w:eastAsia="Microsoft Himalaya" w:cs="Microsoft Himalaya"/>
        </w:rPr>
        <w:t>མི་རྣམས་</w:t>
      </w:r>
      <w:r>
        <w:rPr>
          <w:rFonts w:ascii="Times New Roman" w:hAnsi="Times New Roman" w:eastAsia="Times New Roman" w:cs="Times New Roman"/>
        </w:rPr>
        <w:t xml:space="preserve"> “to prepare for the solemn events connected with the close of probation” </w:t>
      </w:r>
      <w:r>
        <w:rPr>
          <w:rFonts w:ascii="Microsoft Himalaya" w:hAnsi="Microsoft Himalaya" w:eastAsia="Microsoft Himalaya" w:cs="Microsoft Himalaya"/>
        </w:rPr>
        <w:t>ཞེས་པའི་དོན་དུ་སྐུལ་ལྕག་བྱེད་པའི་ཆེད་</w:t>
      </w:r>
      <w:r>
        <w:rPr>
          <w:rFonts w:ascii="Times New Roman" w:hAnsi="Times New Roman" w:eastAsia="Times New Roman" w:cs="Times New Roman"/>
        </w:rPr>
        <w:t xml:space="preserve"> </w:t>
      </w:r>
      <w:r>
        <w:rPr>
          <w:rFonts w:ascii="Microsoft Himalaya" w:hAnsi="Microsoft Himalaya" w:eastAsia="Microsoft Himalaya" w:cs="Microsoft Himalaya"/>
        </w:rPr>
        <w:t>ཕྱེ་ཟིན་པའི་འཕྲིན་དེ་འབུལ་བ་ཡིན།</w:t>
      </w:r>
    </w:p>
    <w:p>
      <w:pPr>
        <w:pStyle w:val="ArticleScripture"/>
        <w:jc w:val="left"/>
      </w:pPr>
      <w:r>
        <w:rPr>
          <w:rFonts w:ascii="Times New Roman" w:hAnsi="Times New Roman" w:eastAsia="Times New Roman" w:cs="Times New Roman"/>
        </w:rPr>
        <w:t>«آج، الیاس اور یوحنا بپتسمہ دینے والے کی روح اور قدرت میں، خدا کی مقررکردہ قاصد اُس دنیا کی توجہ اُن پُرہیبت واقعات کی طرف مبذول کرا رہے ہیں جو عنقریب مہلتِ فضل کے اختتامی لمحات اور مسیح یسوع کے بادشاہوں کے بادشاہ اور خداوندوں کے خداوند کے طور پر ظہور کے ساتھ تعلق رکھتے ہوئے وقوع پذیر ہونے والے ہیں۔ جلد ہر انسان کا اُن کاموں کے مطابق جو جسم میں کیے گئے ہیں، انصاف کیا جائے گا۔ خدا کے عدالت کے وقت آ پہنچا ہے، اور زمین پر اُس کی کلیسیا کے ارکان پر یہ سنجیدہ ذمہ داری عائد ہوتی ہے کہ وہ اُن لوگوں کو تنبیہ کریں جو گویا ابدی ہلاکت کے عین کنارے پر کھڑے ہیں۔ تمام وسیع دنیا کے ہر اُس انسان کے لیے جو توجہ دے گا، یہ واضح کر دیا جانا چاہیے کہ اُس عظیم نزاع میں کون سے اصول داؤ پر لگے ہوئے ہیں جو جاری ہے، وہ اصول جن پر تمام نوعِ انسانی کی تقدیریں موقوف ہیں۔» Prophets and Kings, 715, 716.</w:t>
      </w:r>
    </w:p>
    <w:p>
      <w:pPr>
        <w:pStyle w:val="ArticleBody"/>
        <w:jc w:val="left"/>
      </w:pPr>
      <w:r>
        <w:rPr>
          <w:rFonts w:ascii="Times New Roman" w:hAnsi="Times New Roman" w:eastAsia="Times New Roman" w:cs="Times New Roman"/>
        </w:rPr>
        <w:t>L’historique de Jean-Baptiste et du Christ, ainsi que l’histoire des millérites, illustre le message et l’œuvre des cent quarante-quatre mille. Jean comme Christ comprenaient leur message comme représentant la clôture du temps de grâce.</w:t>
      </w:r>
    </w:p>
    <w:p>
      <w:pPr>
        <w:pStyle w:val="ArticleScripture"/>
        <w:jc w:val="left"/>
      </w:pPr>
      <w:r>
        <w:rPr>
          <w:rFonts w:ascii="Times New Roman" w:hAnsi="Times New Roman" w:eastAsia="Times New Roman" w:cs="Times New Roman"/>
        </w:rPr>
        <w:t>Men när han såg många av fariséerna och sadducéerna komma till hans dop, sade han till dem: Ni huggormars avföda, vem har varnat er att fly undan den kommande vreden? Matteus 3:7.</w:t>
      </w:r>
    </w:p>
    <w:p>
      <w:pPr>
        <w:pStyle w:val="ArticleBody"/>
        <w:jc w:val="left"/>
      </w:pPr>
      <w:r>
        <w:rPr>
          <w:rFonts w:ascii="Times New Roman" w:hAnsi="Times New Roman" w:eastAsia="Times New Roman" w:cs="Times New Roman"/>
        </w:rPr>
        <w:t>Christo o ile a hlahisa timetso ea Jerusalema, e leng eona timetso eo Johanne a neng a ile a lemosa Bajuda ba ratang likhang ka eona, e le e atamelang. Jesu o ile a sebelisa timetso eo e le letšoao la “khalefo” e qalang ha Eena, e le Mikaele, a ema ho Daniele khaolo ea leshome le metso e ’meli, temana ea pele.</w:t>
      </w:r>
    </w:p>
    <w:p>
      <w:pPr>
        <w:pStyle w:val="ArticleScripture"/>
        <w:jc w:val="left"/>
      </w:pPr>
      <w:r>
        <w:rPr>
          <w:rFonts w:ascii="Times New Roman" w:hAnsi="Times New Roman" w:eastAsia="Times New Roman" w:cs="Times New Roman"/>
        </w:rPr>
        <w:t>“Christus sah in Jerusalem ein Sinnbild der Welt, verhärtet in Unglauben und Empörung und eilend dem vergeltenden Gericht Gottes entgegen. Das Wehe eines gefallenen Geschlechts, das auf seiner Seele lastete, rang seinen Lippen jenen überaus bitteren Klageruf ab. Er sah die Spur der Sünde eingezeichnet in menschliches Elend, Tränen und Blut; sein Herz wurde von unendlichem Mitleid bewegt für die Bedrängten und Leidenden der Erde; es verlangte ihn, ihnen allen Erleichterung zu bringen. Doch selbst seine Hand vermochte die Flut menschlichen Elends nicht aufzuhalten; nur wenige wollten ihre einzige Quelle der Hilfe suchen. Er war willens, seine Seele in den Tod auszuschütten, um ihnen das Heil erreichbar zu machen; doch nur wenige würden zu ihm kommen, damit sie das Leben hätten.”</w:t>
      </w:r>
    </w:p>
    <w:p>
      <w:pPr>
        <w:pStyle w:val="ArticleScripture"/>
        <w:jc w:val="left"/>
      </w:pPr>
      <w:r>
        <w:rPr>
          <w:rFonts w:ascii="Times New Roman" w:hAnsi="Times New Roman" w:eastAsia="Times New Roman" w:cs="Times New Roman"/>
        </w:rPr>
        <w:t>“Mae Mawredd y nefoedd mewn dagrau! Mab y Duw anfeidrol wedi ei gyffroi yn ei ysbryd, wedi ei ymgrymu dan ing! Llenwodd yr olygfa y nefoedd oll â rhyfeddod. Y mae’r olygfa honno yn datguddio i ni bechadurusrwydd aruthrol pechod; y mae’n dangos mor galed yw’r dasg, hyd yn oed i Allu Anfeidrol, i achub yr euog rhag canlyniadau troseddu cyfraith Duw. Iesu, wrth edrych ymlaen at y genhedlaeth olaf, a welodd y byd wedi ei lyncu mewn twyll tebyg i’r hyn a barodd ddinistr Jerwsalem. Pechod mawr yr Iddewon oedd eu gwrthodiad o Grist; pechod mawr y byd Cristnogol fyddai ei wrthodiad o gyfraith Duw, sef sail Ei lywodraeth yn y nefoedd ac ar y ddaear. Dirmygid gorchmynion Jehofa a’u cyfrif yn ddim. Gwrthodai miliynau mewn caethiwed i bechod, yn gaethweision i Satan, wedi eu tynghedu i ddioddef yr ail farwolaeth, wrando ar eiriau’r gwirionedd yn nydd eu hymweliad. Dallineb ofnadwy! hudoliaeth ryfedd!” The Great Controversy, 22.</w:t>
      </w:r>
    </w:p>
    <w:p>
      <w:pPr>
        <w:pStyle w:val="ArticleBody"/>
        <w:jc w:val="left"/>
      </w:pPr>
      <w:r>
        <w:rPr>
          <w:rFonts w:ascii="Nirmala UI" w:hAnsi="Nirmala UI" w:eastAsia="Nirmala UI" w:cs="Nirmala UI"/>
        </w:rPr>
        <w:t>ദീക്ഷാസ്നാപകനായ</w:t>
      </w:r>
      <w:r>
        <w:rPr>
          <w:rFonts w:ascii="Times New Roman" w:hAnsi="Times New Roman" w:eastAsia="Times New Roman" w:cs="Times New Roman"/>
        </w:rPr>
        <w:t xml:space="preserve"> </w:t>
      </w:r>
      <w:r>
        <w:rPr>
          <w:rFonts w:ascii="Nirmala UI" w:hAnsi="Nirmala UI" w:eastAsia="Nirmala UI" w:cs="Nirmala UI"/>
        </w:rPr>
        <w:t>യോഹന്നാനും</w:t>
      </w:r>
      <w:r>
        <w:rPr>
          <w:rFonts w:ascii="Times New Roman" w:hAnsi="Times New Roman" w:eastAsia="Times New Roman" w:cs="Times New Roman"/>
        </w:rPr>
        <w:t xml:space="preserve"> </w:t>
      </w:r>
      <w:r>
        <w:rPr>
          <w:rFonts w:ascii="Nirmala UI" w:hAnsi="Nirmala UI" w:eastAsia="Nirmala UI" w:cs="Nirmala UI"/>
        </w:rPr>
        <w:t>ക്രിസ്തുവും</w:t>
      </w:r>
      <w:r>
        <w:rPr>
          <w:rFonts w:ascii="Times New Roman" w:hAnsi="Times New Roman" w:eastAsia="Times New Roman" w:cs="Times New Roman"/>
        </w:rPr>
        <w:t xml:space="preserve"> </w:t>
      </w:r>
      <w:r>
        <w:rPr>
          <w:rFonts w:ascii="Nirmala UI" w:hAnsi="Nirmala UI" w:eastAsia="Nirmala UI" w:cs="Nirmala UI"/>
        </w:rPr>
        <w:t>പ്രസംഗിച്ച</w:t>
      </w:r>
      <w:r>
        <w:rPr>
          <w:rFonts w:ascii="Times New Roman" w:hAnsi="Times New Roman" w:eastAsia="Times New Roman" w:cs="Times New Roman"/>
        </w:rPr>
        <w:t xml:space="preserve"> </w:t>
      </w:r>
      <w:r>
        <w:rPr>
          <w:rFonts w:ascii="Nirmala UI" w:hAnsi="Nirmala UI" w:eastAsia="Nirmala UI" w:cs="Nirmala UI"/>
        </w:rPr>
        <w:t>മുന്നറിയിപ്പിന്റെ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സന്ദേശമായിരുന്നു</w:t>
      </w:r>
      <w:r>
        <w:rPr>
          <w:rFonts w:ascii="Times New Roman" w:hAnsi="Times New Roman" w:eastAsia="Times New Roman" w:cs="Times New Roman"/>
        </w:rPr>
        <w:t xml:space="preserve">; </w:t>
      </w:r>
      <w:r>
        <w:rPr>
          <w:rFonts w:ascii="Nirmala UI" w:hAnsi="Nirmala UI" w:eastAsia="Nirmala UI" w:cs="Nirmala UI"/>
        </w:rPr>
        <w:t>അതുപോലെതന്നെ</w:t>
      </w:r>
      <w:r>
        <w:rPr>
          <w:rFonts w:ascii="Times New Roman" w:hAnsi="Times New Roman" w:eastAsia="Times New Roman" w:cs="Times New Roman"/>
        </w:rPr>
        <w:t xml:space="preserve">, </w:t>
      </w:r>
      <w:r>
        <w:rPr>
          <w:rFonts w:ascii="Nirmala UI" w:hAnsi="Nirmala UI" w:eastAsia="Nirmala UI" w:cs="Nirmala UI"/>
        </w:rPr>
        <w:t>മില്ലെറൈറ്റുകളുടെ</w:t>
      </w:r>
      <w:r>
        <w:rPr>
          <w:rFonts w:ascii="Times New Roman" w:hAnsi="Times New Roman" w:eastAsia="Times New Roman" w:cs="Times New Roman"/>
        </w:rPr>
        <w:t xml:space="preserve"> </w:t>
      </w:r>
      <w:r>
        <w:rPr>
          <w:rFonts w:ascii="Nirmala UI" w:hAnsi="Nirmala UI" w:eastAsia="Nirmala UI" w:cs="Nirmala UI"/>
        </w:rPr>
        <w:t>മുന്നറിയിപ്പുസന്ദേശവും</w:t>
      </w:r>
      <w:r>
        <w:rPr>
          <w:rFonts w:ascii="Times New Roman" w:hAnsi="Times New Roman" w:eastAsia="Times New Roman" w:cs="Times New Roman"/>
        </w:rPr>
        <w:t xml:space="preserve"> </w:t>
      </w:r>
      <w:r>
        <w:rPr>
          <w:rFonts w:ascii="Nirmala UI" w:hAnsi="Nirmala UI" w:eastAsia="Nirmala UI" w:cs="Nirmala UI"/>
        </w:rPr>
        <w:t>പരീക്ഷണകാലത്തിന്റെ</w:t>
      </w:r>
      <w:r>
        <w:rPr>
          <w:rFonts w:ascii="Times New Roman" w:hAnsi="Times New Roman" w:eastAsia="Times New Roman" w:cs="Times New Roman"/>
        </w:rPr>
        <w:t xml:space="preserve"> </w:t>
      </w:r>
      <w:r>
        <w:rPr>
          <w:rFonts w:ascii="Nirmala UI" w:hAnsi="Nirmala UI" w:eastAsia="Nirmala UI" w:cs="Nirmala UI"/>
        </w:rPr>
        <w:t>സമാപ്തിയോടു</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സംഭവങ്ങളെ</w:t>
      </w:r>
      <w:r>
        <w:rPr>
          <w:rFonts w:ascii="Times New Roman" w:hAnsi="Times New Roman" w:eastAsia="Times New Roman" w:cs="Times New Roman"/>
        </w:rPr>
        <w:t xml:space="preserve"> </w:t>
      </w:r>
      <w:r>
        <w:rPr>
          <w:rFonts w:ascii="Nirmala UI" w:hAnsi="Nirmala UI" w:eastAsia="Nirmala UI" w:cs="Nirmala UI"/>
        </w:rPr>
        <w:t>നിർണ്ണയിച്ച്</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w:t>
      </w:r>
      <w:r>
        <w:rPr>
          <w:rFonts w:ascii="Times New Roman" w:hAnsi="Times New Roman" w:eastAsia="Times New Roman" w:cs="Times New Roman"/>
        </w:rPr>
        <w:t xml:space="preserve"> </w:t>
      </w:r>
      <w:r>
        <w:rPr>
          <w:rFonts w:ascii="Nirmala UI" w:hAnsi="Nirmala UI" w:eastAsia="Nirmala UI" w:cs="Nirmala UI"/>
        </w:rPr>
        <w:t>പേർ</w:t>
      </w:r>
      <w:r>
        <w:rPr>
          <w:rFonts w:ascii="Times New Roman" w:hAnsi="Times New Roman" w:eastAsia="Times New Roman" w:cs="Times New Roman"/>
        </w:rPr>
        <w:t xml:space="preserve"> </w:t>
      </w:r>
      <w:r>
        <w:rPr>
          <w:rFonts w:ascii="Nirmala UI" w:hAnsi="Nirmala UI" w:eastAsia="Nirmala UI" w:cs="Nirmala UI"/>
        </w:rPr>
        <w:t>പ്രഖ്യാപിക്കേണ്ടതായ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സന്ദേശമായിരുന്നു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സാക്ഷികൾ</w:t>
      </w:r>
      <w:r>
        <w:rPr>
          <w:rFonts w:ascii="Times New Roman" w:hAnsi="Times New Roman" w:eastAsia="Times New Roman" w:cs="Times New Roman"/>
        </w:rPr>
        <w:t>—</w:t>
      </w:r>
      <w:r>
        <w:rPr>
          <w:rFonts w:ascii="Nirmala UI" w:hAnsi="Nirmala UI" w:eastAsia="Nirmala UI" w:cs="Nirmala UI"/>
        </w:rPr>
        <w:t>ദീക്ഷാസ്നാപകനായ</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മില്ലെറൈറ്റുകൾ</w:t>
      </w:r>
      <w:r>
        <w:rPr>
          <w:rFonts w:ascii="Times New Roman" w:hAnsi="Times New Roman" w:eastAsia="Times New Roman" w:cs="Times New Roman"/>
        </w:rPr>
        <w:t>—</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പറയുന്നത്</w:t>
      </w:r>
      <w:r>
        <w:rPr>
          <w:rFonts w:ascii="Times New Roman" w:hAnsi="Times New Roman" w:eastAsia="Times New Roman" w:cs="Times New Roman"/>
        </w:rPr>
        <w:t xml:space="preserve"> </w:t>
      </w:r>
      <w:r>
        <w:rPr>
          <w:rFonts w:ascii="Nirmala UI" w:hAnsi="Nirmala UI" w:eastAsia="Nirmala UI" w:cs="Nirmala UI"/>
        </w:rPr>
        <w:t>ഇപ്രകാരമാണ്</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w:t>
      </w:r>
      <w:r>
        <w:rPr>
          <w:rFonts w:ascii="Times New Roman" w:hAnsi="Times New Roman" w:eastAsia="Times New Roman" w:cs="Times New Roman"/>
        </w:rPr>
        <w:t xml:space="preserve"> </w:t>
      </w:r>
      <w:r>
        <w:rPr>
          <w:rFonts w:ascii="Nirmala UI" w:hAnsi="Nirmala UI" w:eastAsia="Nirmala UI" w:cs="Nirmala UI"/>
        </w:rPr>
        <w:t>പേരുടെ</w:t>
      </w:r>
      <w:r>
        <w:rPr>
          <w:rFonts w:ascii="Times New Roman" w:hAnsi="Times New Roman" w:eastAsia="Times New Roman" w:cs="Times New Roman"/>
        </w:rPr>
        <w:t xml:space="preserve"> </w:t>
      </w:r>
      <w:r>
        <w:rPr>
          <w:rFonts w:ascii="Nirmala UI" w:hAnsi="Nirmala UI" w:eastAsia="Nirmala UI" w:cs="Nirmala UI"/>
        </w:rPr>
        <w:t>പ്രവർത്തിയും</w:t>
      </w:r>
      <w:r>
        <w:rPr>
          <w:rFonts w:ascii="Times New Roman" w:hAnsi="Times New Roman" w:eastAsia="Times New Roman" w:cs="Times New Roman"/>
        </w:rPr>
        <w:t xml:space="preserve"> </w:t>
      </w:r>
      <w:r>
        <w:rPr>
          <w:rFonts w:ascii="Nirmala UI" w:hAnsi="Nirmala UI" w:eastAsia="Nirmala UI" w:cs="Nirmala UI"/>
        </w:rPr>
        <w:t>സന്ദേശവും</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w:t>
      </w:r>
      <w:r>
        <w:rPr>
          <w:rFonts w:ascii="Nirmala UI" w:hAnsi="Nirmala UI" w:eastAsia="Nirmala UI" w:cs="Nirmala UI"/>
        </w:rPr>
        <w:t>അറിവിന്റെ</w:t>
      </w:r>
      <w:r>
        <w:rPr>
          <w:rFonts w:ascii="Times New Roman" w:hAnsi="Times New Roman" w:eastAsia="Times New Roman" w:cs="Times New Roman"/>
        </w:rPr>
        <w:t xml:space="preserve"> </w:t>
      </w:r>
      <w:r>
        <w:rPr>
          <w:rFonts w:ascii="Nirmala UI" w:hAnsi="Nirmala UI" w:eastAsia="Nirmala UI" w:cs="Nirmala UI"/>
        </w:rPr>
        <w:t>വർധനവഴി</w:t>
      </w:r>
      <w:r>
        <w:rPr>
          <w:rFonts w:ascii="Times New Roman" w:hAnsi="Times New Roman" w:eastAsia="Times New Roman" w:cs="Times New Roman"/>
        </w:rPr>
        <w:t xml:space="preserve"> </w:t>
      </w:r>
      <w:r>
        <w:rPr>
          <w:rFonts w:ascii="Nirmala UI" w:hAnsi="Nirmala UI" w:eastAsia="Nirmala UI" w:cs="Nirmala UI"/>
        </w:rPr>
        <w:t>നടപ്പിലാക്കപ്പെടുന്ന</w:t>
      </w:r>
      <w:r>
        <w:rPr>
          <w:rFonts w:ascii="Times New Roman" w:hAnsi="Times New Roman" w:eastAsia="Times New Roman" w:cs="Times New Roman"/>
        </w:rPr>
        <w:t xml:space="preserve"> </w:t>
      </w:r>
      <w:r>
        <w:rPr>
          <w:rFonts w:ascii="Nirmala UI" w:hAnsi="Nirmala UI" w:eastAsia="Nirmala UI" w:cs="Nirmala UI"/>
        </w:rPr>
        <w:t>ജീവൻ</w:t>
      </w:r>
      <w:r>
        <w:rPr>
          <w:rFonts w:ascii="Times New Roman" w:hAnsi="Times New Roman" w:eastAsia="Times New Roman" w:cs="Times New Roman"/>
        </w:rPr>
        <w:t>-</w:t>
      </w:r>
      <w:r>
        <w:rPr>
          <w:rFonts w:ascii="Nirmala UI" w:hAnsi="Nirmala UI" w:eastAsia="Nirmala UI" w:cs="Nirmala UI"/>
        </w:rPr>
        <w:t>മരണപരമായ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പരീക്ഷണപ്രക്രിയയാണ്</w:t>
      </w:r>
      <w:r>
        <w:rPr>
          <w:rFonts w:ascii="Times New Roman" w:hAnsi="Times New Roman" w:eastAsia="Times New Roman" w:cs="Times New Roman"/>
        </w:rPr>
        <w:t xml:space="preserve">. </w:t>
      </w:r>
      <w:r>
        <w:rPr>
          <w:rFonts w:ascii="Nirmala UI" w:hAnsi="Nirmala UI" w:eastAsia="Nirmala UI" w:cs="Nirmala UI"/>
        </w:rPr>
        <w:t>അന്നുകാലത്ത്</w:t>
      </w:r>
      <w:r>
        <w:rPr>
          <w:rFonts w:ascii="Times New Roman" w:hAnsi="Times New Roman" w:eastAsia="Times New Roman" w:cs="Times New Roman"/>
        </w:rPr>
        <w:t xml:space="preserve"> </w:t>
      </w:r>
      <w:r>
        <w:rPr>
          <w:rFonts w:ascii="Nirmala UI" w:hAnsi="Nirmala UI" w:eastAsia="Nirmala UI" w:cs="Nirmala UI"/>
        </w:rPr>
        <w:t>മുദ്രവിമോചിതമായ</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അന്ത്യദിനദർശനമാണ്</w:t>
      </w:r>
      <w:r>
        <w:rPr>
          <w:rFonts w:ascii="Times New Roman" w:hAnsi="Times New Roman" w:eastAsia="Times New Roman" w:cs="Times New Roman"/>
        </w:rPr>
        <w:t>; “</w:t>
      </w:r>
      <w:r>
        <w:rPr>
          <w:rFonts w:ascii="Nirmala UI" w:hAnsi="Nirmala UI" w:eastAsia="Nirmala UI" w:cs="Nirmala UI"/>
        </w:rPr>
        <w:t>പുരോഹിതന്മാർ</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നാല്പത്തിനാലായിരത്തിൽ</w:t>
      </w:r>
      <w:r>
        <w:rPr>
          <w:rFonts w:ascii="Times New Roman" w:hAnsi="Times New Roman" w:eastAsia="Times New Roman" w:cs="Times New Roman"/>
        </w:rPr>
        <w:t xml:space="preserve"> </w:t>
      </w:r>
      <w:r>
        <w:rPr>
          <w:rFonts w:ascii="Nirmala UI" w:hAnsi="Nirmala UI" w:eastAsia="Nirmala UI" w:cs="Nirmala UI"/>
        </w:rPr>
        <w:t>ഉൾപ്പെടേണ്ടവരായ</w:t>
      </w:r>
      <w:r>
        <w:rPr>
          <w:rFonts w:ascii="Times New Roman" w:hAnsi="Times New Roman" w:eastAsia="Times New Roman" w:cs="Times New Roman"/>
        </w:rPr>
        <w:t xml:space="preserve"> </w:t>
      </w:r>
      <w:r>
        <w:rPr>
          <w:rFonts w:ascii="Nirmala UI" w:hAnsi="Nirmala UI" w:eastAsia="Nirmala UI" w:cs="Nirmala UI"/>
        </w:rPr>
        <w:t>ജ്ഞാനികൾ</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മനസ്സിലാക്കേണ്ടതാണ്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സ്ഥാനാർത്ഥികൾ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മനസ്സിലാക്കുന്നില്ലെങ്കിൽ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ദുഷ്ടന്മാരെന്നും</w:t>
      </w:r>
      <w:r>
        <w:rPr>
          <w:rFonts w:ascii="Times New Roman" w:hAnsi="Times New Roman" w:eastAsia="Times New Roman" w:cs="Times New Roman"/>
        </w:rPr>
        <w:t xml:space="preserve"> </w:t>
      </w:r>
      <w:r>
        <w:rPr>
          <w:rFonts w:ascii="Nirmala UI" w:hAnsi="Nirmala UI" w:eastAsia="Nirmala UI" w:cs="Nirmala UI"/>
        </w:rPr>
        <w:t>മൂഢന്മാരെന്നും</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നശിച്ചുപോകുകയും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അറിവിന്റെ</w:t>
      </w:r>
      <w:r>
        <w:rPr>
          <w:rFonts w:ascii="Times New Roman" w:hAnsi="Times New Roman" w:eastAsia="Times New Roman" w:cs="Times New Roman"/>
        </w:rPr>
        <w:t xml:space="preserve"> </w:t>
      </w:r>
      <w:r>
        <w:rPr>
          <w:rFonts w:ascii="Nirmala UI" w:hAnsi="Nirmala UI" w:eastAsia="Nirmala UI" w:cs="Nirmala UI"/>
        </w:rPr>
        <w:t>വർധനവായ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ദർശനത്തെ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തള്ളിക്കളയുന്നതോടൊത്തു</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മക്കളും</w:t>
      </w:r>
      <w:r>
        <w:rPr>
          <w:rFonts w:ascii="Times New Roman" w:hAnsi="Times New Roman" w:eastAsia="Times New Roman" w:cs="Times New Roman"/>
        </w:rPr>
        <w:t xml:space="preserve"> </w:t>
      </w:r>
      <w:r>
        <w:rPr>
          <w:rFonts w:ascii="Nirmala UI" w:hAnsi="Nirmala UI" w:eastAsia="Nirmala UI" w:cs="Nirmala UI"/>
        </w:rPr>
        <w:t>നിരസിക്കപ്പെടുന്നു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Kalom ya Rabs identifies that Rome ya e exalts itself, robs God’s people, en then falls en establishes the vision. The question of whether Modern Rome is the papal power or the United States is the test wey identifies that those candidates are either wise virgins or foolish virgins. The test is a prophetic test derived from the book of Daniel, wey is thereafter confirmed en brought to perfection in the book of Revelation. The subject of Modern Rome is not simply a choice between the papal power or the United States, e is the final test for the one hundred and forty-four thousand. E is a prophetic test, en correctly understood e encompasses every representation of the final testing process wey is set forth within God’s sanctified prophetic testimony.</w:t>
      </w:r>
    </w:p>
    <w:p>
      <w:pPr>
        <w:pStyle w:val="ArticleBody"/>
        <w:jc w:val="left"/>
      </w:pPr>
      <w:r>
        <w:rPr>
          <w:rFonts w:ascii="Times New Roman" w:hAnsi="Times New Roman" w:eastAsia="Times New Roman" w:cs="Times New Roman"/>
        </w:rPr>
        <w:t>Ang proseso ng pagsubok noong panahon ni Juan Bautista at ni Cristo ay hinango mula sa aklat ni Daniel, gaya rin ng proseso ng pagsubok noong panahon ng mga Millerita. Bilang isang propetikong pagsubok, ang metodolohiya kung paano itinatatag ang katotohanan ay kasinghalaga para sa mga kandidatong iyon na mailapat nang wasto, gaya ng simpleng paninindigan sa tamang pananaw kung sino ang Makabagong Roma. Isaalang-alang man ang tamang pagkakakilanlan sa Makabagong Roma, o ang paggamit ng tamang metodolohiya, kapuwa ang dalawang sangkap ng pagsubok ay nakapaloob sa aklat ni Daniel. Sa unang kabanata ng Daniel, nilakbay ni Daniel ang isang tatlong-yugtong proseso ng pagsubok na nagsimula sa pagkain, sumunod ang isang bisuwal na pagsubok, at pagkatapos ay isang pagsubok na isinagawa ni Nabucodonosor, isang biblikal na sagisag ng Hari ng Hilaga, ang kapangyarihang papal ng mga huling araw.</w:t>
      </w:r>
    </w:p>
    <w:p>
      <w:pPr>
        <w:pStyle w:val="ArticleScripture"/>
        <w:jc w:val="left"/>
      </w:pPr>
      <w:r>
        <w:rPr>
          <w:rFonts w:ascii="Times New Roman" w:hAnsi="Times New Roman" w:eastAsia="Times New Roman" w:cs="Times New Roman"/>
        </w:rPr>
        <w:t>Quant à ces quatre enfants, Dieu leur donna la science et l’intelligence dans toutes les lettres et dans toute la sagesse; et Daniel avait l’intelligence de toutes les visions et de tous les songes. Or, au terme des jours dont le roi avait dit qu’on les lui amenât, le chef des eunuques les fit entrer devant Nebucadnetsar. Et le roi s’entretint avec eux; et, parmi eux tous, il ne s’en trouva aucun comme Daniel, Hanania, Mischaël et Azaria; c’est pourquoi ils se tinrent devant le roi. Et dans toutes les affaires de sagesse et d’intelligence sur lesquelles le roi les interrogea, il les trouva dix fois supérieurs à tous les magiciens et astrologues qui étaient dans tout son royaume. Daniel 1:17–20.</w:t>
      </w:r>
    </w:p>
    <w:p>
      <w:pPr>
        <w:pStyle w:val="ArticleBody"/>
        <w:jc w:val="left"/>
      </w:pPr>
      <w:r>
        <w:rPr>
          <w:rFonts w:ascii="Times New Roman" w:hAnsi="Times New Roman" w:eastAsia="Times New Roman" w:cs="Times New Roman"/>
        </w:rPr>
        <w:t>« À la fin des jours », ce qui, prophétiquement, désigne les derniers jours où les cent quarante-quatre mille sont mis à l’épreuve, Daniel et les trois jeunes Hébreux furent trouvés « dix fois supérieurs à tous les magiciens et astrologues qui étaient dans tout son royaume », et Daniel avait « l’intelligence de toutes les visions et de tous les songes ». Daniel représente les cent quarante-quatre mille, qui, dans les derniers jours, comprennent l’accroissement de la connaissance qui survint lorsque le Christ, en tant que Lion de la tribu de Juda, descella « cette partie du livre de Daniel qui concernait les derniers jours », en 1989.</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संगठित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Dieser Kraft kann nur dadurch Geltung verschafft werden, dass die richtige Methodik angewandt wird. Die meisten, die bekennen, die Bibel zu studieren, verwerfen die Methodik von Zeile auf Zeile; und manche, die vorgeben, sie anzuwenden, gebrauchen die Regeln, aus denen die Methodik von Zeile auf Zeile besteht, in verkehrter Weise. Diese Regeln wurden zuerst von den Milleriten öffentlich zu Protokoll gegeben, und Gottes Volk der letzten Tage ist im Voraus gewarnt worden, dass diejenigen, die tatsächlich die Boten des dritten Engels sind, sich der Regeln William Millers zur prophetischen Auslegung bedienen werden.</w:t>
      </w:r>
    </w:p>
    <w:p>
      <w:pPr>
        <w:pStyle w:val="ArticleScripture"/>
        <w:jc w:val="left"/>
      </w:pPr>
      <w:r>
        <w:rPr>
          <w:rFonts w:ascii="Times New Roman" w:hAnsi="Times New Roman" w:eastAsia="Times New Roman" w:cs="Times New Roman"/>
        </w:rPr>
        <w:t>« Ceux qui sont engagés dans la proclamation du message du troisième ange sondent les Écritures selon le même plan que celui qu’adopta le Père Miller. » Review and Herald, 25 novembre 1884.</w:t>
      </w:r>
    </w:p>
    <w:p>
      <w:pPr>
        <w:pStyle w:val="ArticleBody"/>
        <w:jc w:val="left"/>
      </w:pPr>
      <w:r>
        <w:rPr>
          <w:rFonts w:ascii="Times New Roman" w:hAnsi="Times New Roman" w:eastAsia="Times New Roman" w:cs="Times New Roman"/>
        </w:rPr>
        <w:t>William Miller ná áńgẹli mẹ́ta ti Ìfihàn orí kẹ́rìnlá jáde, a sì fi í ṣe àpèjúwe Johanu Oníbatisiti, ẹni tí ó jẹ́ ìbẹ̀rẹ̀ ìhìnrere náà tí Kristi jẹ́ ìparí rẹ̀. Sister White fi hàn ní tààrà pé ìlànà ìdánwò láti ọ̀dọ̀ Johanu Oníbatisiti sí Kristi bá ìlànà ìdánwò àwọn áńgẹli mẹ́ta mu. Johanu bẹ̀rẹ̀ iṣẹ́ ìhìnrere náà, kò sì di ṣáájú agbelebu pẹ̀lú, nígbà tí Kristi ti mú àwọn ọmọ-ẹ̀yìn Rẹ̀ lọ sí Kesarea Filipi, ni Jesu tún fi àwọn àlàyé iṣẹ́ ìhìnrere náà kún un, èyí tí Johanu ti bẹ̀rẹ̀. Òtítọ́ àkọ́kọ́ tí Johanu sọ di mímọ̀ nígbà tí ó rí Kristi, ni pípa mọ̀ Kristi gẹ́gẹ́ bí Ọdọ-agutan Ọlọrun, ẹni tí ń mú ẹ̀ṣẹ̀ ayé kúrò.</w:t>
      </w:r>
    </w:p>
    <w:p>
      <w:pPr>
        <w:pStyle w:val="ArticleScripture"/>
        <w:jc w:val="left"/>
      </w:pPr>
      <w:r>
        <w:rPr>
          <w:rFonts w:ascii="Times New Roman" w:hAnsi="Times New Roman" w:eastAsia="Times New Roman" w:cs="Times New Roman"/>
        </w:rPr>
        <w:t>Ibyo byabereye i Betabara hakurya ya Yorodani, aho Yohana yabatizaga. Ku munsi wakurikiyeho Yohana abona Yesu aza amusanga, aravuga ati: Dore Umwana w’Intama w’Imana ukuraho ibyaha by’abari mu isi. Uwo ni we navuzeho nti: Inyuma yanjye haza umuntu unduta icyubahiro, kuko yariho mbere yanjye. Yohana 1:28–30.</w:t>
      </w:r>
    </w:p>
    <w:p>
      <w:pPr>
        <w:pStyle w:val="ArticleBody"/>
        <w:jc w:val="left"/>
      </w:pPr>
      <w:r>
        <w:rPr>
          <w:rFonts w:ascii="Times New Roman" w:hAnsi="Times New Roman" w:eastAsia="Times New Roman" w:cs="Times New Roman"/>
        </w:rPr>
        <w:t>Alors commença la période d’épreuve de trois ans et demi qui prit fin à la croix. Après que Jean eut été mis à mort peu avant la croix, Jésus se mit alors à expliquer cette toute première déclaration de Jean.</w:t>
      </w:r>
    </w:p>
    <w:p>
      <w:pPr>
        <w:pStyle w:val="ArticleScripture"/>
        <w:jc w:val="left"/>
      </w:pPr>
      <w:r>
        <w:rPr>
          <w:rFonts w:ascii="Times New Roman" w:hAnsi="Times New Roman" w:eastAsia="Times New Roman" w:cs="Times New Roman"/>
        </w:rPr>
        <w:t>Lorsque Jésus fut arrivé dans le territoire de Césarée de Philippe, il interrogea ses disciples, disant : Qui dit-on parmi les hommes que je suis, moi, le Fils de l’homme ? Ils répondirent : Les uns disent que tu es Jean-Baptiste ; d’autres, Élie ; d’autres encore, Jérémie, ou l’un des prophètes. Il leur dit : Et vous, qui dites-vous que je suis ? Simon Pierre répondit : Tu es le Christ, le Fils du Dieu vivant. Jésus, reprenant la parole, lui dit : Tu es heureux, Simon, fils de Jonas ; car ce ne sont pas la chair et le sang qui t’ont révélé cela, mais mon Père qui est dans les cieux. Et moi aussi, je te dis que tu es Pierre, et que sur cette pierre je bâtirai mon Église, et que les portes du séjour des morts ne prévaudront point contre elle. Je te donnerai les clefs du royaume des cieux : tout ce que tu lieras sur la terre sera lié dans les cieux, et tout ce que tu délieras sur la terre sera délié dans les cieux. Alors il recommanda à ses disciples de ne dire à personne qu’il était Jésus le Christ. Dès lors Jésus commença à montrer à ses disciples qu’il fallait qu’il allât à Jérusalem, qu’il souffrît beaucoup de la part des anciens, des principaux sacrificateurs et des scribes, qu’il fût mis à mort, et qu’il ressuscitât le troisième jour. Matthieu 16:13–21.</w:t>
      </w:r>
    </w:p>
    <w:p>
      <w:pPr>
        <w:pStyle w:val="ArticleBody"/>
        <w:jc w:val="left"/>
      </w:pP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पानेउम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पानेउम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विवरणों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ઘટના</w:t>
      </w:r>
      <w:r>
        <w:rPr>
          <w:rFonts w:ascii="Times New Roman" w:hAnsi="Times New Roman" w:eastAsia="Times New Roman" w:cs="Times New Roman"/>
        </w:rPr>
        <w:t>-</w:t>
      </w:r>
      <w:r>
        <w:rPr>
          <w:rFonts w:ascii="Nirmala UI" w:hAnsi="Nirmala UI" w:eastAsia="Nirmala UI" w:cs="Nirmala UI"/>
        </w:rPr>
        <w:t>દર્શનને</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પહોંચવું</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ક્રોસના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નકારનારાઓ</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સમાનાંતર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જણાવવામાં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બાપ્તિસ્તના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નકારનાર</w:t>
      </w:r>
      <w:r>
        <w:rPr>
          <w:rFonts w:ascii="Times New Roman" w:hAnsi="Times New Roman" w:eastAsia="Times New Roman" w:cs="Times New Roman"/>
        </w:rPr>
        <w:t xml:space="preserve"> </w:t>
      </w:r>
      <w:r>
        <w:rPr>
          <w:rFonts w:ascii="Nirmala UI" w:hAnsi="Nirmala UI" w:eastAsia="Nirmala UI" w:cs="Nirmala UI"/>
        </w:rPr>
        <w:t>યહૂદીઓ</w:t>
      </w:r>
      <w:r>
        <w:rPr>
          <w:rFonts w:ascii="Times New Roman" w:hAnsi="Times New Roman" w:eastAsia="Times New Roman" w:cs="Times New Roman"/>
        </w:rPr>
        <w:t xml:space="preserve"> </w:t>
      </w:r>
      <w:r>
        <w:rPr>
          <w:rFonts w:ascii="Nirmala UI" w:hAnsi="Nirmala UI" w:eastAsia="Nirmala UI" w:cs="Nirmala UI"/>
        </w:rPr>
        <w:t>ઈસુના</w:t>
      </w:r>
      <w:r>
        <w:rPr>
          <w:rFonts w:ascii="Times New Roman" w:hAnsi="Times New Roman" w:eastAsia="Times New Roman" w:cs="Times New Roman"/>
        </w:rPr>
        <w:t xml:space="preserve"> </w:t>
      </w:r>
      <w:r>
        <w:rPr>
          <w:rFonts w:ascii="Nirmala UI" w:hAnsi="Nirmala UI" w:eastAsia="Nirmala UI" w:cs="Nirmala UI"/>
        </w:rPr>
        <w:t>ઉપદેશોથી</w:t>
      </w:r>
      <w:r>
        <w:rPr>
          <w:rFonts w:ascii="Times New Roman" w:hAnsi="Times New Roman" w:eastAsia="Times New Roman" w:cs="Times New Roman"/>
        </w:rPr>
        <w:t xml:space="preserve"> </w:t>
      </w:r>
      <w:r>
        <w:rPr>
          <w:rFonts w:ascii="Nirmala UI" w:hAnsi="Nirmala UI" w:eastAsia="Nirmala UI" w:cs="Nirmala UI"/>
        </w:rPr>
        <w:t>લાભાન્વિત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યહૂદીઓએ</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નકારનારાઓનું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મિલરાઇટોએ</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લૂંટારાઓ</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શબ્દોથી</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ces considérations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రోము దర్శనాన్ని స్థిరపరుస్తుంది — సంఖ్య రెండు</dc:title>
  <dc:subject>Identifier la Rome moderne et la vision prophétique des derniers jours</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