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罗马确立这异象</w:t>
      </w:r>
      <w:r>
        <w:rPr>
          <w:rFonts w:ascii="Arial" w:hAnsi="Arial" w:eastAsia="Arial" w:cs="Arial"/>
        </w:rPr>
        <w:t>——</w:t>
      </w:r>
      <w:r>
        <w:rPr>
          <w:rFonts w:ascii="Microsoft YaHei" w:hAnsi="Microsoft YaHei" w:eastAsia="Microsoft YaHei" w:cs="Microsoft YaHei"/>
        </w:rPr>
        <w:t>第三篇</w:t>
      </w:r>
    </w:p>
    <w:p>
      <w:pPr>
        <w:pStyle w:val="ArticleSubtitle"/>
        <w:jc w:val="left"/>
      </w:pPr>
      <w:r>
        <w:rPr>
          <w:rFonts w:ascii="Arial" w:hAnsi="Arial" w:eastAsia="Arial" w:cs="Arial"/>
        </w:rPr>
        <w:t>Les États-Unis et la vision prophétique : un appel à une étude biblique approfondie et à la compréhension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Maqaaladii hore ee laba ahaa ee ka hadlayay fasiraadda gaarka ah ee sheegaysa in Maraykanka lagu matalay “tuugada dadkaaga” ee “aragtiyadii adkeeya” ee ku xusan Daanyeel cutubka kow iyo tobnaad aayadda afar iyo tobnaad, waxaan soo xigannay tuduc ka mid ah qoraallada Ellen White oo leh, “Xubnaha kaniisadda mid mid ayaa loo tijaabin doonaa oo loo caddayn doonaa.” Hannaankaas caddaynta, tijaabinta, iyo haandhaynta ah ee lagu matalay Rasuulka Axdiga ee Malaakii cutubka saddexaad, isaga oo nadiifinaya lacagta iyo dahabka, hadda wuu socdaa. Malaakii cutubka saddexaad, waxa uu tilmaamayaa daahirin.</w:t>
      </w:r>
    </w:p>
    <w:p>
      <w:pPr>
        <w:pStyle w:val="ArticleScripture"/>
        <w:jc w:val="left"/>
      </w:pPr>
      <w:r>
        <w:rPr>
          <w:rFonts w:ascii="Times New Roman" w:hAnsi="Times New Roman" w:eastAsia="Times New Roman" w:cs="Times New Roman"/>
        </w:rPr>
        <w:t>Wa taakaa kama msafishaji na mtakasaji wa fedha; naye atawatakasa wana wa Lawi, na kuwachuja kama dhahabu na fedha, ili wamtolee Bwana sadaka katika haki. Ndipo sadaka ya Yuda na Yerusalemu itakapompendeza Bwana, kama katika siku za kale, na kama katika miaka ya zamani. Malaki 3:3, 4.</w:t>
      </w:r>
    </w:p>
    <w:p>
      <w:pPr>
        <w:pStyle w:val="ArticleBody"/>
        <w:jc w:val="left"/>
      </w:pPr>
      <w:r>
        <w:rPr>
          <w:rFonts w:ascii="Times New Roman" w:hAnsi="Times New Roman" w:eastAsia="Times New Roman" w:cs="Times New Roman"/>
        </w:rPr>
        <w:t>بعض الذين يتمسكون بالفكرة القائلة إن الولايات المتحدة هي الرمز الذي يثبت الرؤيا، قد عجزوا أو لم يرغبوا في أن يفهموا أن الرسالة التي فُكَّ ختمها في يوليو 2023 هي التي تنقّي المرشحين ليكونوا من بين المئة والأربعة والأربعين ألفًا. وفي المجمع في كفرناحوم تمثّل التطهير النهائي للمئة والأربعة والأربعين ألفًا.</w:t>
      </w:r>
    </w:p>
    <w:p>
      <w:pPr>
        <w:pStyle w:val="ArticleScripture"/>
        <w:jc w:val="left"/>
      </w:pPr>
      <w:r>
        <w:rPr>
          <w:rFonts w:ascii="Times New Roman" w:hAnsi="Times New Roman" w:eastAsia="Times New Roman" w:cs="Times New Roman"/>
        </w:rPr>
        <w:t>Jesus anavaambia waziwazi, “Wapo baadhi yenu wasioamini;” akaongeza, “Kwa hiyo naliwaambia, ya kwamba hakuna mtu awezaye kuja Kwangu, isipokuwa amejaliwa hilo na Baba Yangu.” Alitaka waelewe kwamba kama hawakuvutwa Kwake, ilikuwa kwa sababu mioyo yao haikuwa wazi kwa Roho Mtakatifu. “Bali mwanadamu wa asili hayapokei mambo ya Roho wa Mungu; maana kwake ni upuzi; wala hawezi kuyatambua, kwa kuwa yatambulikana kwa jinsi ya rohoni.” 1 Wakorintho 2:14. Ni kwa imani ndipo nafsi huutazama utukufu wa Yesu. Utukufu huu umefichwa, hata, kwa njia ya Roho Mtakatifu, imani inapowashwa ndani ya nafsi.</w:t>
      </w:r>
    </w:p>
    <w:p>
      <w:pPr>
        <w:pStyle w:val="ArticleScripture"/>
        <w:jc w:val="left"/>
      </w:pPr>
      <w:r>
        <w:rPr>
          <w:rFonts w:ascii="Times New Roman" w:hAnsi="Times New Roman" w:eastAsia="Times New Roman" w:cs="Times New Roman"/>
        </w:rPr>
        <w:t>«Бо ин шогирдон бо сарзаниши ошкорои беимонии худ боз ҳам бештар аз Исо дур шуданд. Онҳо сахт норозӣ гаштанд ва, хоҳони он ки Наҷотдиҳандаро биозоранд ва ба кинаи фарисиён хушнудӣ бахшанд, ба Ӯ пушт гардонданд ва бо таҳқир Ӯро тарк карданд. Онҳо интихоби худро карда буданд,—суратро бе рӯҳ, пӯстро бе мағз гирифта буданд. Қарори онҳо дигар ҳеҷ гоҳ баъдан барнагашт; зеро онҳо дигар бо Исо роҳ намерафтанд.</w:t>
      </w:r>
    </w:p>
    <w:p>
      <w:pPr>
        <w:pStyle w:val="ArticleScripture"/>
        <w:jc w:val="left"/>
      </w:pP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सुपा</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खलिहानलाई</w:t>
      </w:r>
      <w:r>
        <w:rPr>
          <w:rFonts w:ascii="Times New Roman" w:hAnsi="Times New Roman" w:eastAsia="Times New Roman" w:cs="Times New Roman"/>
        </w:rPr>
        <w:t xml:space="preserve"> </w:t>
      </w:r>
      <w:r>
        <w:rPr>
          <w:rFonts w:ascii="Nirmala UI" w:hAnsi="Nirmala UI" w:eastAsia="Nirmala UI" w:cs="Nirmala UI"/>
        </w:rPr>
        <w:t>राम्ररी</w:t>
      </w:r>
      <w:r>
        <w:rPr>
          <w:rFonts w:ascii="Times New Roman" w:hAnsi="Times New Roman" w:eastAsia="Times New Roman" w:cs="Times New Roman"/>
        </w:rPr>
        <w:t xml:space="preserve"> </w:t>
      </w:r>
      <w:r>
        <w:rPr>
          <w:rFonts w:ascii="Nirmala UI" w:hAnsi="Nirmala UI" w:eastAsia="Nirmala UI" w:cs="Nirmala UI"/>
        </w:rPr>
        <w:t>सफा</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गहुँलाई</w:t>
      </w:r>
      <w:r>
        <w:rPr>
          <w:rFonts w:ascii="Times New Roman" w:hAnsi="Times New Roman" w:eastAsia="Times New Roman" w:cs="Times New Roman"/>
        </w:rPr>
        <w:t xml:space="preserve"> </w:t>
      </w:r>
      <w:r>
        <w:rPr>
          <w:rFonts w:ascii="Nirmala UI" w:hAnsi="Nirmala UI" w:eastAsia="Nirmala UI" w:cs="Nirmala UI"/>
        </w:rPr>
        <w:t>भण्डारमा</w:t>
      </w:r>
      <w:r>
        <w:rPr>
          <w:rFonts w:ascii="Times New Roman" w:hAnsi="Times New Roman" w:eastAsia="Times New Roman" w:cs="Times New Roman"/>
        </w:rPr>
        <w:t xml:space="preserve"> </w:t>
      </w:r>
      <w:r>
        <w:rPr>
          <w:rFonts w:ascii="Nirmala UI" w:hAnsi="Nirmala UI" w:eastAsia="Nirmala UI" w:cs="Nirmala UI"/>
        </w:rPr>
        <w:t>जम्मा</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3:12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समयहरूमध्ये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वचनहरूद्वारा</w:t>
      </w:r>
      <w:r>
        <w:rPr>
          <w:rFonts w:ascii="Times New Roman" w:hAnsi="Times New Roman" w:eastAsia="Times New Roman" w:cs="Times New Roman"/>
        </w:rPr>
        <w:t xml:space="preserve"> </w:t>
      </w:r>
      <w:r>
        <w:rPr>
          <w:rFonts w:ascii="Nirmala UI" w:hAnsi="Nirmala UI" w:eastAsia="Nirmala UI" w:cs="Nirmala UI"/>
        </w:rPr>
        <w:t>भुसलाई</w:t>
      </w:r>
      <w:r>
        <w:rPr>
          <w:rFonts w:ascii="Times New Roman" w:hAnsi="Times New Roman" w:eastAsia="Times New Roman" w:cs="Times New Roman"/>
        </w:rPr>
        <w:t xml:space="preserve"> </w:t>
      </w:r>
      <w:r>
        <w:rPr>
          <w:rFonts w:ascii="Nirmala UI" w:hAnsi="Nirmala UI" w:eastAsia="Nirmala UI" w:cs="Nirmala UI"/>
        </w:rPr>
        <w:t>गहुँबाट</w:t>
      </w:r>
      <w:r>
        <w:rPr>
          <w:rFonts w:ascii="Times New Roman" w:hAnsi="Times New Roman" w:eastAsia="Times New Roman" w:cs="Times New Roman"/>
        </w:rPr>
        <w:t xml:space="preserve"> </w:t>
      </w:r>
      <w:r>
        <w:rPr>
          <w:rFonts w:ascii="Nirmala UI" w:hAnsi="Nirmala UI" w:eastAsia="Nirmala UI" w:cs="Nirmala UI"/>
        </w:rPr>
        <w:t>छुट्याइँदै</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हप्काइ</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आत्मधर्मी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नम्रताको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संसारप्रेमी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येशूबाट</w:t>
      </w:r>
      <w:r>
        <w:rPr>
          <w:rFonts w:ascii="Times New Roman" w:hAnsi="Times New Roman" w:eastAsia="Times New Roman" w:cs="Times New Roman"/>
        </w:rPr>
        <w:t xml:space="preserve"> </w:t>
      </w:r>
      <w:r>
        <w:rPr>
          <w:rFonts w:ascii="Nirmala UI" w:hAnsi="Nirmala UI" w:eastAsia="Nirmala UI" w:cs="Nirmala UI"/>
        </w:rPr>
        <w:t>फर्किए।</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आत्माहरू</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जाँचिन्छन्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कफरनहूमको</w:t>
      </w:r>
      <w:r>
        <w:rPr>
          <w:rFonts w:ascii="Times New Roman" w:hAnsi="Times New Roman" w:eastAsia="Times New Roman" w:cs="Times New Roman"/>
        </w:rPr>
        <w:t xml:space="preserve"> </w:t>
      </w:r>
      <w:r>
        <w:rPr>
          <w:rFonts w:ascii="Nirmala UI" w:hAnsi="Nirmala UI" w:eastAsia="Nirmala UI" w:cs="Nirmala UI"/>
        </w:rPr>
        <w:t>सभाघरमा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चेलाहरू</w:t>
      </w:r>
      <w:r>
        <w:rPr>
          <w:rFonts w:ascii="Times New Roman" w:hAnsi="Times New Roman" w:eastAsia="Times New Roman" w:cs="Times New Roman"/>
        </w:rPr>
        <w:t xml:space="preserve"> </w:t>
      </w:r>
      <w:r>
        <w:rPr>
          <w:rFonts w:ascii="Nirmala UI" w:hAnsi="Nirmala UI" w:eastAsia="Nirmala UI" w:cs="Nirmala UI"/>
        </w:rPr>
        <w:t>जाँचिएका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याइन्छ</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इच्छासँग</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खाँदैन।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आफूमै</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परिवर्तनको</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देख्छन्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त्यागी</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उठाउन</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हुँदैनन्।</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पापहरू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क्रोधित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ठेस</w:t>
      </w:r>
      <w:r>
        <w:rPr>
          <w:rFonts w:ascii="Times New Roman" w:hAnsi="Times New Roman" w:eastAsia="Times New Roman" w:cs="Times New Roman"/>
        </w:rPr>
        <w:t xml:space="preserve"> </w:t>
      </w:r>
      <w:r>
        <w:rPr>
          <w:rFonts w:ascii="Nirmala UI" w:hAnsi="Nirmala UI" w:eastAsia="Nirmala UI" w:cs="Nirmala UI"/>
        </w:rPr>
        <w:t>लागेर</w:t>
      </w:r>
      <w:r>
        <w:rPr>
          <w:rFonts w:ascii="Times New Roman" w:hAnsi="Times New Roman" w:eastAsia="Times New Roman" w:cs="Times New Roman"/>
        </w:rPr>
        <w:t xml:space="preserve"> </w:t>
      </w:r>
      <w:r>
        <w:rPr>
          <w:rFonts w:ascii="Nirmala UI" w:hAnsi="Nirmala UI" w:eastAsia="Nirmala UI" w:cs="Nirmala UI"/>
        </w:rPr>
        <w:t>टाढा</w:t>
      </w:r>
      <w:r>
        <w:rPr>
          <w:rFonts w:ascii="Times New Roman" w:hAnsi="Times New Roman" w:eastAsia="Times New Roman" w:cs="Times New Roman"/>
        </w:rPr>
        <w:t xml:space="preserve"> </w:t>
      </w:r>
      <w:r>
        <w:rPr>
          <w:rFonts w:ascii="Nirmala UI" w:hAnsi="Nirmala UI" w:eastAsia="Nirmala UI" w:cs="Nirmala UI"/>
        </w:rPr>
        <w:t>जान्छन्</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चेलाहरू</w:t>
      </w:r>
      <w:r>
        <w:rPr>
          <w:rFonts w:ascii="Times New Roman" w:hAnsi="Times New Roman" w:eastAsia="Times New Roman" w:cs="Times New Roman"/>
        </w:rPr>
        <w:t xml:space="preserve"> </w:t>
      </w:r>
      <w:r>
        <w:rPr>
          <w:rFonts w:ascii="Nirmala UI" w:hAnsi="Nirmala UI" w:eastAsia="Nirmala UI" w:cs="Nirmala UI"/>
        </w:rPr>
        <w:t>येशूलाई</w:t>
      </w:r>
      <w:r>
        <w:rPr>
          <w:rFonts w:ascii="Times New Roman" w:hAnsi="Times New Roman" w:eastAsia="Times New Roman" w:cs="Times New Roman"/>
        </w:rPr>
        <w:t xml:space="preserve"> </w:t>
      </w:r>
      <w:r>
        <w:rPr>
          <w:rFonts w:ascii="Nirmala UI" w:hAnsi="Nirmala UI" w:eastAsia="Nirmala UI" w:cs="Nirmala UI"/>
        </w:rPr>
        <w:t>छोडेर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भन्दै</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डिजायर</w:t>
      </w:r>
      <w:r>
        <w:rPr>
          <w:rFonts w:ascii="Times New Roman" w:hAnsi="Times New Roman" w:eastAsia="Times New Roman" w:cs="Times New Roman"/>
        </w:rPr>
        <w:t xml:space="preserve"> </w:t>
      </w:r>
      <w:r>
        <w:rPr>
          <w:rFonts w:ascii="Nirmala UI" w:hAnsi="Nirmala UI" w:eastAsia="Nirmala UI" w:cs="Nirmala UI"/>
        </w:rPr>
        <w:t>अफ</w:t>
      </w:r>
      <w:r>
        <w:rPr>
          <w:rFonts w:ascii="Times New Roman" w:hAnsi="Times New Roman" w:eastAsia="Times New Roman" w:cs="Times New Roman"/>
        </w:rPr>
        <w:t xml:space="preserve"> </w:t>
      </w:r>
      <w:r>
        <w:rPr>
          <w:rFonts w:ascii="Nirmala UI" w:hAnsi="Nirmala UI" w:eastAsia="Nirmala UI" w:cs="Nirmala UI"/>
        </w:rPr>
        <w:t>एजेस</w:t>
      </w:r>
      <w:r>
        <w:rPr>
          <w:rFonts w:ascii="Times New Roman" w:hAnsi="Times New Roman" w:eastAsia="Times New Roman" w:cs="Times New Roman"/>
        </w:rPr>
        <w:t>, 392.</w:t>
      </w:r>
    </w:p>
    <w:p>
      <w:pPr>
        <w:pStyle w:val="ArticleBody"/>
        <w:jc w:val="left"/>
      </w:pPr>
      <w:r>
        <w:rPr>
          <w:rFonts w:ascii="Times New Roman" w:hAnsi="Times New Roman" w:eastAsia="Times New Roman" w:cs="Times New Roman"/>
        </w:rPr>
        <w:t>Par les « paroles de vérité » étaient représentés l’or et l’argent de l’illustration, chez Malachie, de la purification finale du temple des cent quarante-quatre mille.</w:t>
      </w:r>
    </w:p>
    <w:p>
      <w:pPr>
        <w:pStyle w:val="ArticleScripture"/>
        <w:jc w:val="left"/>
      </w:pPr>
      <w:r>
        <w:rPr>
          <w:rFonts w:ascii="Times New Roman" w:hAnsi="Times New Roman" w:eastAsia="Times New Roman" w:cs="Times New Roman"/>
        </w:rPr>
        <w:t>Taga, papahintulutan ko ang aking sugo, at kaniyang ihahanda ang daan sa harap ko: at ang Panginoon, na inyong hinahanap, ay biglang paroroon sa kaniyang templo, samakatuwid baga’y ang sugo ng tipan, na inyong kinalulugdan: narito, siya’y darating, sabi ng Panginoon ng mga hukbo. Ngunit sino ang makatatagal sa araw ng kaniyang pagparito? at sino ang makatatayo pagka siya’y nahayag? sapagka’t siya’y gaya ng apoy ng magdadalisay, at gaya ng sabon ng mga tagapaglaba. Malakias 3:1, 2.</w:t>
      </w:r>
    </w:p>
    <w:p>
      <w:pPr>
        <w:pStyle w:val="ArticleBody"/>
        <w:jc w:val="left"/>
      </w:pPr>
      <w:r>
        <w:rPr>
          <w:rFonts w:ascii="Leelawadee UI" w:hAnsi="Leelawadee UI" w:eastAsia="Leelawadee UI" w:cs="Leelawadee UI"/>
        </w:rPr>
        <w:t>วอนซำเสร็จทุกองกงฤสดือ</w:t>
      </w:r>
      <w:r>
        <w:rPr>
          <w:rFonts w:ascii="Times New Roman" w:hAnsi="Times New Roman" w:eastAsia="Times New Roman" w:cs="Times New Roman"/>
        </w:rPr>
        <w:t xml:space="preserve"> </w:t>
      </w:r>
      <w:r>
        <w:rPr>
          <w:rFonts w:ascii="Leelawadee UI" w:hAnsi="Leelawadee UI" w:eastAsia="Leelawadee UI" w:cs="Leelawadee UI"/>
        </w:rPr>
        <w:t>มั่งกี</w:t>
      </w:r>
      <w:r>
        <w:rPr>
          <w:rFonts w:ascii="Times New Roman" w:hAnsi="Times New Roman" w:eastAsia="Times New Roman" w:cs="Times New Roman"/>
        </w:rPr>
        <w:t xml:space="preserve"> </w:t>
      </w:r>
      <w:r>
        <w:rPr>
          <w:rFonts w:ascii="Leelawadee UI" w:hAnsi="Leelawadee UI" w:eastAsia="Leelawadee UI" w:cs="Leelawadee UI"/>
        </w:rPr>
        <w:t>มาลาคี</w:t>
      </w:r>
      <w:r>
        <w:rPr>
          <w:rFonts w:ascii="Times New Roman" w:hAnsi="Times New Roman" w:eastAsia="Times New Roman" w:cs="Times New Roman"/>
        </w:rPr>
        <w:t xml:space="preserve"> </w:t>
      </w:r>
      <w:r>
        <w:rPr>
          <w:rFonts w:ascii="Leelawadee UI" w:hAnsi="Leelawadee UI" w:eastAsia="Leelawadee UI" w:cs="Leelawadee UI"/>
        </w:rPr>
        <w:t>ติ๊ดะ</w:t>
      </w:r>
      <w:r>
        <w:rPr>
          <w:rFonts w:ascii="Times New Roman" w:hAnsi="Times New Roman" w:eastAsia="Times New Roman" w:cs="Times New Roman"/>
        </w:rPr>
        <w:t xml:space="preserve"> </w:t>
      </w:r>
      <w:r>
        <w:rPr>
          <w:rFonts w:ascii="Leelawadee UI" w:hAnsi="Leelawadee UI" w:eastAsia="Leelawadee UI" w:cs="Leelawadee UI"/>
        </w:rPr>
        <w:t>กำลังชี้บอกถึงวาระสุดท้าย</w:t>
      </w:r>
      <w:r>
        <w:rPr>
          <w:rFonts w:ascii="Times New Roman" w:hAnsi="Times New Roman" w:eastAsia="Times New Roman" w:cs="Times New Roman"/>
        </w:rPr>
        <w:t xml:space="preserve"> </w:t>
      </w:r>
      <w:r>
        <w:rPr>
          <w:rFonts w:ascii="Leelawadee UI" w:hAnsi="Leelawadee UI" w:eastAsia="Leelawadee UI" w:cs="Leelawadee UI"/>
        </w:rPr>
        <w:t>ในบทความฉบับแรกในบรรดาบทความเหล่านี้</w:t>
      </w:r>
      <w:r>
        <w:rPr>
          <w:rFonts w:ascii="Times New Roman" w:hAnsi="Times New Roman" w:eastAsia="Times New Roman" w:cs="Times New Roman"/>
        </w:rPr>
        <w:t xml:space="preserve"> </w:t>
      </w:r>
      <w:r>
        <w:rPr>
          <w:rFonts w:ascii="Leelawadee UI" w:hAnsi="Leelawadee UI" w:eastAsia="Leelawadee UI" w:cs="Leelawadee UI"/>
        </w:rPr>
        <w:t>เราได้อ้างถึง</w:t>
      </w:r>
      <w:r>
        <w:rPr>
          <w:rFonts w:ascii="Times New Roman" w:hAnsi="Times New Roman" w:eastAsia="Times New Roman" w:cs="Times New Roman"/>
        </w:rPr>
        <w:t xml:space="preserve"> The 1888 Materials, </w:t>
      </w:r>
      <w:r>
        <w:rPr>
          <w:rFonts w:ascii="Leelawadee UI" w:hAnsi="Leelawadee UI" w:eastAsia="Leelawadee UI" w:cs="Leelawadee UI"/>
        </w:rPr>
        <w:t>หน้า</w:t>
      </w:r>
      <w:r>
        <w:rPr>
          <w:rFonts w:ascii="Times New Roman" w:hAnsi="Times New Roman" w:eastAsia="Times New Roman" w:cs="Times New Roman"/>
        </w:rPr>
        <w:t xml:space="preserve"> 403 </w:t>
      </w:r>
      <w:r>
        <w:rPr>
          <w:rFonts w:ascii="Leelawadee UI" w:hAnsi="Leelawadee UI" w:eastAsia="Leelawadee UI" w:cs="Leelawadee UI"/>
        </w:rPr>
        <w:t>ซึ่ง</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ที่นั้นได้แจ้งแก่เราว่า</w:t>
      </w:r>
      <w:r>
        <w:rPr>
          <w:rFonts w:ascii="Times New Roman" w:hAnsi="Times New Roman" w:eastAsia="Times New Roman" w:cs="Times New Roman"/>
        </w:rPr>
        <w:t xml:space="preserve"> “</w:t>
      </w:r>
      <w:r>
        <w:rPr>
          <w:rFonts w:ascii="Leelawadee UI" w:hAnsi="Leelawadee UI" w:eastAsia="Leelawadee UI" w:cs="Leelawadee UI"/>
        </w:rPr>
        <w:t>ผู้ใดที่พอใจหยุดอยู่กับความรู้พระคัมภีร์อันไม่สมบูรณ์ของตนในปัจจุบัน</w:t>
      </w:r>
      <w:r>
        <w:rPr>
          <w:rFonts w:ascii="Times New Roman" w:hAnsi="Times New Roman" w:eastAsia="Times New Roman" w:cs="Times New Roman"/>
        </w:rPr>
        <w:t xml:space="preserve"> </w:t>
      </w:r>
      <w:r>
        <w:rPr>
          <w:rFonts w:ascii="Leelawadee UI" w:hAnsi="Leelawadee UI" w:eastAsia="Leelawadee UI" w:cs="Leelawadee UI"/>
        </w:rPr>
        <w:t>โดยคิดว่านั่นเพียงพอแล้วสำหรับความรอดของตน</w:t>
      </w:r>
      <w:r>
        <w:rPr>
          <w:rFonts w:ascii="Times New Roman" w:hAnsi="Times New Roman" w:eastAsia="Times New Roman" w:cs="Times New Roman"/>
        </w:rPr>
        <w:t xml:space="preserve"> </w:t>
      </w:r>
      <w:r>
        <w:rPr>
          <w:rFonts w:ascii="Leelawadee UI" w:hAnsi="Leelawadee UI" w:eastAsia="Leelawadee UI" w:cs="Leelawadee UI"/>
        </w:rPr>
        <w:t>ผู้นั้นกำลังพักอยู่ในความลวงอันถึงตาย</w:t>
      </w:r>
      <w:r>
        <w:rPr>
          <w:rFonts w:ascii="Times New Roman" w:hAnsi="Times New Roman" w:eastAsia="Times New Roman" w:cs="Times New Roman"/>
        </w:rPr>
        <w:t xml:space="preserve"> </w:t>
      </w:r>
      <w:r>
        <w:rPr>
          <w:rFonts w:ascii="Leelawadee UI" w:hAnsi="Leelawadee UI" w:eastAsia="Leelawadee UI" w:cs="Leelawadee UI"/>
        </w:rPr>
        <w:t>มีคนเป็นอันมากที่ยังไม่ได้รับการจัดเตรียมอย่างครบถ้วนด้วยข้อโต้แย้งจากพระคัมภีร์</w:t>
      </w:r>
      <w:r>
        <w:rPr>
          <w:rFonts w:ascii="Times New Roman" w:hAnsi="Times New Roman" w:eastAsia="Times New Roman" w:cs="Times New Roman"/>
        </w:rPr>
        <w:t xml:space="preserve"> </w:t>
      </w:r>
      <w:r>
        <w:rPr>
          <w:rFonts w:ascii="Leelawadee UI" w:hAnsi="Leelawadee UI" w:eastAsia="Leelawadee UI" w:cs="Leelawadee UI"/>
        </w:rPr>
        <w:t>เพื่อเขาจะสามารถหยั่งรู้ความผิด</w:t>
      </w:r>
      <w:r>
        <w:rPr>
          <w:rFonts w:ascii="Times New Roman" w:hAnsi="Times New Roman" w:eastAsia="Times New Roman" w:cs="Times New Roman"/>
        </w:rPr>
        <w:t xml:space="preserve"> </w:t>
      </w:r>
      <w:r>
        <w:rPr>
          <w:rFonts w:ascii="Leelawadee UI" w:hAnsi="Leelawadee UI" w:eastAsia="Leelawadee UI" w:cs="Leelawadee UI"/>
        </w:rPr>
        <w:t>และประณามบรรดาธรรมเนียมประเพณีและความงมงายที่ถูกยัดเยียดให้รับว่าเป็นความจริง</w:t>
      </w:r>
      <w:r>
        <w:rPr>
          <w:rFonts w:ascii="Times New Roman" w:hAnsi="Times New Roman" w:eastAsia="Times New Roman" w:cs="Times New Roman"/>
        </w:rPr>
        <w:t xml:space="preserve">” </w:t>
      </w:r>
      <w:r>
        <w:rPr>
          <w:rFonts w:ascii="Leelawadee UI" w:hAnsi="Leelawadee UI" w:eastAsia="Leelawadee UI" w:cs="Leelawadee UI"/>
        </w:rPr>
        <w:t>ผู้ที่ถูกระบุไว้ในตอนเดียวกันนั้น</w:t>
      </w:r>
      <w:r>
        <w:rPr>
          <w:rFonts w:ascii="Times New Roman" w:hAnsi="Times New Roman" w:eastAsia="Times New Roman" w:cs="Times New Roman"/>
        </w:rPr>
        <w:t xml:space="preserve"> “</w:t>
      </w:r>
      <w:r>
        <w:rPr>
          <w:rFonts w:ascii="Leelawadee UI" w:hAnsi="Leelawadee UI" w:eastAsia="Leelawadee UI" w:cs="Leelawadee UI"/>
        </w:rPr>
        <w:t>มิใช่นักศึกษาพระคัมภีร์อย่างใกล้ชิด</w:t>
      </w:r>
      <w:r>
        <w:rPr>
          <w:rFonts w:ascii="Times New Roman" w:hAnsi="Times New Roman" w:eastAsia="Times New Roman" w:cs="Times New Roman"/>
        </w:rPr>
        <w:t xml:space="preserve">” </w:t>
      </w:r>
      <w:r>
        <w:rPr>
          <w:rFonts w:ascii="Leelawadee UI" w:hAnsi="Leelawadee UI" w:eastAsia="Leelawadee UI" w:cs="Leelawadee UI"/>
        </w:rPr>
        <w:t>ผู้ซึ่ง</w:t>
      </w:r>
      <w:r>
        <w:rPr>
          <w:rFonts w:ascii="Times New Roman" w:hAnsi="Times New Roman" w:eastAsia="Times New Roman" w:cs="Times New Roman"/>
        </w:rPr>
        <w:t xml:space="preserve"> “</w:t>
      </w:r>
      <w:r>
        <w:rPr>
          <w:rFonts w:ascii="Leelawadee UI" w:hAnsi="Leelawadee UI" w:eastAsia="Leelawadee UI" w:cs="Leelawadee UI"/>
        </w:rPr>
        <w:t>มิได้ศึกษาอย่างมุ่งหมาย</w:t>
      </w:r>
      <w:r>
        <w:rPr>
          <w:rFonts w:ascii="Times New Roman" w:hAnsi="Times New Roman" w:eastAsia="Times New Roman" w:cs="Times New Roman"/>
        </w:rPr>
        <w:t xml:space="preserve">” </w:t>
      </w:r>
      <w:r>
        <w:rPr>
          <w:rFonts w:ascii="Leelawadee UI" w:hAnsi="Leelawadee UI" w:eastAsia="Leelawadee UI" w:cs="Leelawadee UI"/>
        </w:rPr>
        <w:t>บรรดา</w:t>
      </w:r>
      <w:r>
        <w:rPr>
          <w:rFonts w:ascii="Times New Roman" w:hAnsi="Times New Roman" w:eastAsia="Times New Roman" w:cs="Times New Roman"/>
        </w:rPr>
        <w:t xml:space="preserve"> “</w:t>
      </w:r>
      <w:r>
        <w:rPr>
          <w:rFonts w:ascii="Leelawadee UI" w:hAnsi="Leelawadee UI" w:eastAsia="Leelawadee UI" w:cs="Leelawadee UI"/>
        </w:rPr>
        <w:t>ข้อพระคัมภีร์</w:t>
      </w:r>
      <w:r>
        <w:rPr>
          <w:rFonts w:ascii="Times New Roman" w:hAnsi="Times New Roman" w:eastAsia="Times New Roman" w:cs="Times New Roman"/>
        </w:rPr>
        <w:t xml:space="preserve">” </w:t>
      </w:r>
      <w:r>
        <w:rPr>
          <w:rFonts w:ascii="Leelawadee UI" w:hAnsi="Leelawadee UI" w:eastAsia="Leelawadee UI" w:cs="Leelawadee UI"/>
        </w:rPr>
        <w:t>ซึ่งในที่เหล่านั้นมี</w:t>
      </w:r>
      <w:r>
        <w:rPr>
          <w:rFonts w:ascii="Times New Roman" w:hAnsi="Times New Roman" w:eastAsia="Times New Roman" w:cs="Times New Roman"/>
        </w:rPr>
        <w:t xml:space="preserve"> “</w:t>
      </w:r>
      <w:r>
        <w:rPr>
          <w:rFonts w:ascii="Leelawadee UI" w:hAnsi="Leelawadee UI" w:eastAsia="Leelawadee UI" w:cs="Leelawadee UI"/>
        </w:rPr>
        <w:t>ความเห็นที่แตกต่างกัน</w:t>
      </w:r>
      <w:r>
        <w:rPr>
          <w:rFonts w:ascii="Times New Roman" w:hAnsi="Times New Roman" w:eastAsia="Times New Roman" w:cs="Times New Roman"/>
        </w:rPr>
        <w:t xml:space="preserve">” </w:t>
      </w:r>
      <w:r>
        <w:rPr>
          <w:rFonts w:ascii="Leelawadee UI" w:hAnsi="Leelawadee UI" w:eastAsia="Leelawadee UI" w:cs="Leelawadee UI"/>
        </w:rPr>
        <w:t>ผู้ที่กำลังได้รับการกล่าวถึงนั้น</w:t>
      </w:r>
      <w:r>
        <w:rPr>
          <w:rFonts w:ascii="Times New Roman" w:hAnsi="Times New Roman" w:eastAsia="Times New Roman" w:cs="Times New Roman"/>
        </w:rPr>
        <w:t xml:space="preserve"> “</w:t>
      </w:r>
      <w:r>
        <w:rPr>
          <w:rFonts w:ascii="Leelawadee UI" w:hAnsi="Leelawadee UI" w:eastAsia="Leelawadee UI" w:cs="Leelawadee UI"/>
        </w:rPr>
        <w:t>มิได้อ่านพระคัมภีร์</w:t>
      </w:r>
      <w:r>
        <w:rPr>
          <w:rFonts w:ascii="Times New Roman" w:hAnsi="Times New Roman" w:eastAsia="Times New Roman" w:cs="Times New Roman"/>
        </w:rPr>
        <w:t xml:space="preserve"> [</w:t>
      </w:r>
      <w:r>
        <w:rPr>
          <w:rFonts w:ascii="Leelawadee UI" w:hAnsi="Leelawadee UI" w:eastAsia="Leelawadee UI" w:cs="Leelawadee UI"/>
        </w:rPr>
        <w:t>เพื่อ</w:t>
      </w:r>
      <w:r>
        <w:rPr>
          <w:rFonts w:ascii="Times New Roman" w:hAnsi="Times New Roman" w:eastAsia="Times New Roman" w:cs="Times New Roman"/>
        </w:rPr>
        <w:t xml:space="preserve">] </w:t>
      </w:r>
      <w:r>
        <w:rPr>
          <w:rFonts w:ascii="Leelawadee UI" w:hAnsi="Leelawadee UI" w:eastAsia="Leelawadee UI" w:cs="Leelawadee UI"/>
        </w:rPr>
        <w:t>รับเอาแก่นสารและความอุดมสมบูรณ์เข้าสู่จิตวิญญาณของตนเอง</w:t>
      </w:r>
      <w:r>
        <w:rPr>
          <w:rFonts w:ascii="Times New Roman" w:hAnsi="Times New Roman" w:eastAsia="Times New Roman" w:cs="Times New Roman"/>
        </w:rPr>
        <w:t xml:space="preserve"> </w:t>
      </w:r>
      <w:r>
        <w:rPr>
          <w:rFonts w:ascii="Leelawadee UI" w:hAnsi="Leelawadee UI" w:eastAsia="Leelawadee UI" w:cs="Leelawadee UI"/>
        </w:rPr>
        <w:t>พวกเขามิได้รู้สึกว่านั่นคือพระสุรเสียงของพระเจ้าที่กำลังตรัสกับพวกเขา</w:t>
      </w:r>
      <w:r>
        <w:rPr>
          <w:rFonts w:ascii="Times New Roman" w:hAnsi="Times New Roman" w:eastAsia="Times New Roman" w:cs="Times New Roman"/>
        </w:rPr>
        <w:t xml:space="preserve"> </w:t>
      </w:r>
      <w:r>
        <w:rPr>
          <w:rFonts w:ascii="Leelawadee UI" w:hAnsi="Leelawadee UI" w:eastAsia="Leelawadee UI" w:cs="Leelawadee UI"/>
        </w:rPr>
        <w:t>แต่ถ้าเราปรารถนาจะเข้าใจหนทางแห่งความรอด</w:t>
      </w:r>
      <w:r>
        <w:rPr>
          <w:rFonts w:ascii="Times New Roman" w:hAnsi="Times New Roman" w:eastAsia="Times New Roman" w:cs="Times New Roman"/>
        </w:rPr>
        <w:t xml:space="preserve"> </w:t>
      </w:r>
      <w:r>
        <w:rPr>
          <w:rFonts w:ascii="Leelawadee UI" w:hAnsi="Leelawadee UI" w:eastAsia="Leelawadee UI" w:cs="Leelawadee UI"/>
        </w:rPr>
        <w:t>ถ้าเราปรารถนาจะเห็นลำแสงแห่งดวงอาทิตย์แห่งความชอบธรรม</w:t>
      </w:r>
      <w:r>
        <w:rPr>
          <w:rFonts w:ascii="Times New Roman" w:hAnsi="Times New Roman" w:eastAsia="Times New Roman" w:cs="Times New Roman"/>
        </w:rPr>
        <w:t xml:space="preserve">” </w:t>
      </w:r>
      <w:r>
        <w:rPr>
          <w:rFonts w:ascii="Leelawadee UI" w:hAnsi="Leelawadee UI" w:eastAsia="Leelawadee UI" w:cs="Leelawadee UI"/>
        </w:rPr>
        <w:t>พวกเขา</w:t>
      </w:r>
      <w:r>
        <w:rPr>
          <w:rFonts w:ascii="Times New Roman" w:hAnsi="Times New Roman" w:eastAsia="Times New Roman" w:cs="Times New Roman"/>
        </w:rPr>
        <w:t xml:space="preserve"> “</w:t>
      </w:r>
      <w:r>
        <w:rPr>
          <w:rFonts w:ascii="Leelawadee UI" w:hAnsi="Leelawadee UI" w:eastAsia="Leelawadee UI" w:cs="Leelawadee UI"/>
        </w:rPr>
        <w:t>จำต้องศึกษาพระคัมภีร์อย่างมีจุดมุ่งหมาย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L’article précédent a relevé que l’un des éléments de leur modèle prophétique erroné est le passage tiré de The Great Controversy, qui déclare : « Romanism in the Old World and apostate Protestantism in the New will pursue a similar course toward those who honor all the divine precepts. » The Great Controversy, 615. Leur interprétation privée prétend que cette phrase désigne le « Romanism » comme relevant de l’histoire passée et le « apostate Protestantism » comme représentant le monde moderne. Après que les preuves grammaticales ont montré que l’application qu’ils font de cette phrase a été arrachée à son sens véritable, ils n’ont publié aucune rétractation de cette fausse application. En réalité, ils ont utilisé ce même passage pour faire la publicité de leur réunion Zoom suivante. Pourtant, il nous est dit que « We ought to impress upon all the necessity of inquiring diligently into divine truth, that they may know that they do know what is truth. » Aucun effort n’a été fait pour retirer cette affirmation erronée, ce qui semble constituer la preuve que ceux qui promeuvent cette fausse application ne « inquir[e] diligently » pas afin de « know what is truth ».</w:t>
      </w:r>
    </w:p>
    <w:p>
      <w:pPr>
        <w:pStyle w:val="ArticleBody"/>
        <w:jc w:val="left"/>
      </w:pPr>
      <w:r>
        <w:rPr>
          <w:rFonts w:ascii="Times New Roman" w:hAnsi="Times New Roman" w:eastAsia="Times New Roman" w:cs="Times New Roman"/>
        </w:rPr>
        <w:t>Dès le commencement de cette controverse, nous l’avons abordée comme si elle était plus qu’un simple désaccord entre la vérité et l’erreur au sujet de l’identité de ceux que représentent les brigands de ton peuple, et je maintiens encore cette position. Les articles sur le livre de Daniel étaient parvenus, au numéro deux cents, à un point où la signification des versets treize à quinze de Daniel onze avait été solidement exposée. Ces versets représentent l’histoire depuis 1989 jusqu’à la loi dominicale imminente qui se trouve au verset quarante de Daniel onze.</w:t>
      </w:r>
    </w:p>
    <w:p>
      <w:pPr>
        <w:pStyle w:val="ArticleBody"/>
        <w:jc w:val="left"/>
      </w:pPr>
      <w:r>
        <w:rPr>
          <w:rFonts w:ascii="Times New Roman" w:hAnsi="Times New Roman" w:eastAsia="Times New Roman" w:cs="Times New Roman"/>
        </w:rPr>
        <w:t>Մենք նույնականացրել ենք այդ պատմությունը որպես քառասուներորդ համարի թաքնված պատմություն։ Մենք նաև նույնականացրել ենք, որ երբ Քույր Ուայթը ասում է. «կնքված գիրքը Հայտնությունը չէ, այլ Դանիելի մարգարեության այն մասը, որ վերաբերում է վերջին օրերին», ապա Դանիել տասնմեկերորդ գլխի քառասուներորդ համարի թաքնված պատմությունը հենց «Դանիելի մարգարեության այն մասն» է։ Տասներեքից մինչև տասնհինգ համարները ներկայացնում են այն մարգարեական ճշմարտությունը, որ բացվում է վերջին օրերում։ Հետևաբար այդ երեք համարները նաև ներկայացված են որպես թե՛ «Հիսուս Քրիստոսի Հայտնությունը», թե՛ Հայտնության գրքում գտնվող «Յոթ Որոտները», որը բացվում է փորձաշրջանի ավարտից անմիջապես առաջ։ Երբ Քույր Ուայթը հղում է անում Դանիելի գրքի այդ «մասին», այն հատվածը, ուր գտնվում է այդ արտահայտությունը, ասում է.</w:t>
      </w:r>
    </w:p>
    <w:p>
      <w:pPr>
        <w:pStyle w:val="ArticleScripture"/>
        <w:jc w:val="left"/>
      </w:pPr>
      <w:r>
        <w:rPr>
          <w:rFonts w:ascii="Times New Roman" w:hAnsi="Times New Roman" w:eastAsia="Times New Roman" w:cs="Times New Roman"/>
        </w:rPr>
        <w:t>“Ke ho se be le ea nahanang hore, hobane a sitoa ho hlalosa moelelo oa letšoao le leng le le leng bukeng ea Tšenolo, ha ho na thuso hore a batlisise buka ena ka boiteko ba ho tseba moelelo oa ’nete eo e e fupereng. Eo ea senoletseng Johanne liphiri tsena o tla nea mofuputsi ea mafolo-folo oa ’nete tatso ea pele ea lintho tsa leholimo. Bao lipelo tsa bona li bulehileng ho amohela ’nete ba tla nolofalloa ho utloisisa lithuto tsa eona, ’me ba tla fuoa tlhohonolofatso e tšepisitsoeng ba ‘utloang mantsoe a boprofeta bona, ’me ba bolokang lintho tse ngoliloeng ho bona.’”</w:t>
      </w:r>
    </w:p>
    <w:p>
      <w:pPr>
        <w:pStyle w:val="ArticleScripture"/>
        <w:jc w:val="left"/>
      </w:pPr>
      <w:r>
        <w:rPr>
          <w:rFonts w:ascii="Times New Roman" w:hAnsi="Times New Roman" w:eastAsia="Times New Roman" w:cs="Times New Roman"/>
        </w:rPr>
        <w:t>« Dans l’Apocalypse, tous les livres de la Bible se rencontrent et s’achèvent. Voici le complément du livre de Daniel. L’un est une prophétie ; l’autre une révélation. Le livre qui était scellé n’est pas l’Apocalypse, mais cette partie de la prophétie de Daniel qui se rapporte aux derniers jours. L’ange donna cet ordre : “Mais toi, Daniel, tiens secrètes ces paroles, et scelle le livre jusqu’au temps de la fin.” Daniel 12:4. » Acts of the Apostles, 584, 585.</w:t>
      </w:r>
    </w:p>
    <w:p>
      <w:pPr>
        <w:pStyle w:val="ArticleBody"/>
        <w:jc w:val="left"/>
      </w:pPr>
      <w:r>
        <w:rPr>
          <w:rFonts w:ascii="Times New Roman" w:hAnsi="Times New Roman" w:eastAsia="Times New Roman" w:cs="Times New Roman"/>
        </w:rPr>
        <w:t>‘Complement’ jechuun gara guutummaatti raawwatamuu fiduu jechuudha. Kutaan macaafa Daaniʼel kan bara dhumaa wajjin wal qabatu, yeroo dhumaa irratti kan banamu, yeroo “line upon line” jedhuun “Mulʼata Yesuus Kiristoos” fi “Sagaleewwan Torban” wajjin walitti makamu guutummaatti raawwatama. Fakkeenyonni sadan sun ergaa baname sana dha; kanaafis “jechoota dhugaa” warra dhibba afurtamii afur kuma afur (144,000) qulqulleessuu mana qulqullummaa Malakiyaas keessatti isa xumuraa keessatti “qulqulleessuuf” itti hojjetaman agarsiisu. Kunis akkuma lakkoofsa kudha sadii irraa hamma kudha shaniitti Daaniʼel boqonnaa kudha tokko keessatti bakka buʼameetti. Lakkoofsi giddugaleessaa lakkoofsa falmiin yeroo ammaa keessatti bakka buʼametti dha; akkasumas, seenaa isaanii keessatti falmii walfakkaataa kan Miilariitoota mudate isauma sana bakka buʼa.</w:t>
      </w:r>
    </w:p>
    <w:p>
      <w:pPr>
        <w:pStyle w:val="ArticleBody"/>
        <w:jc w:val="left"/>
      </w:pPr>
      <w:r>
        <w:rPr>
          <w:rFonts w:ascii="Times New Roman" w:hAnsi="Times New Roman" w:eastAsia="Times New Roman" w:cs="Times New Roman"/>
        </w:rPr>
        <w:t>Attribuer aux « brigands de ton peuple », au verset quatorze, les États-Unis constitue un parallèle parfait avec les protestants de l’histoire millérite qui soutenaient que ces brigands représentaient Antiochus Épiphane. La controverse purifiera l’or et l’argent de leurs scories, mais la question plus importante est que la controverse a été permise afin de conduire ceux qui sont représentés par les Lévites du chapitre trois de Malachie à étudier plus profondément que jamais auparavant la Parole prophétique de Dieu. L’« Homme à la brosse à poussière » du rêve de William Miller balaie maintenant hors de la pièce les pièces de monnaie et les joyaux contrefaits, en prévision de son œuvre consistant à rassembler de nouveau les véritables joyaux dans un ordre parfait qui resplendit dix fois plus que le soleil.</w:t>
      </w:r>
    </w:p>
    <w:p>
      <w:pPr>
        <w:pStyle w:val="ArticleBody"/>
        <w:jc w:val="left"/>
      </w:pP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ክርክር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ግብሪ</w:t>
      </w:r>
      <w:r>
        <w:rPr>
          <w:rFonts w:ascii="Times New Roman" w:hAnsi="Times New Roman" w:eastAsia="Times New Roman" w:cs="Times New Roman"/>
        </w:rPr>
        <w:t xml:space="preserve"> </w:t>
      </w:r>
      <w:r>
        <w:rPr>
          <w:rFonts w:ascii="Ebrima" w:hAnsi="Ebrima" w:eastAsia="Ebrima" w:cs="Ebrima"/>
        </w:rPr>
        <w:t>ንምፍጻም</w:t>
      </w:r>
      <w:r>
        <w:rPr>
          <w:rFonts w:ascii="Times New Roman" w:hAnsi="Times New Roman" w:eastAsia="Times New Roman" w:cs="Times New Roman"/>
        </w:rPr>
        <w:t xml:space="preserve"> </w:t>
      </w:r>
      <w:r>
        <w:rPr>
          <w:rFonts w:ascii="Ebrima" w:hAnsi="Ebrima" w:eastAsia="Ebrima" w:cs="Ebrima"/>
        </w:rPr>
        <w:t>ክፍቀድ</w:t>
      </w:r>
      <w:r>
        <w:rPr>
          <w:rFonts w:ascii="Times New Roman" w:hAnsi="Times New Roman" w:eastAsia="Times New Roman" w:cs="Times New Roman"/>
        </w:rPr>
        <w:t xml:space="preserve"> </w:t>
      </w:r>
      <w:r>
        <w:rPr>
          <w:rFonts w:ascii="Ebrima" w:hAnsi="Ebrima" w:eastAsia="Ebrima" w:cs="Ebrima"/>
        </w:rPr>
        <w:t>ተፈቒዱ</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ተነጊሩና</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ህዝቡ</w:t>
      </w:r>
      <w:r>
        <w:rPr>
          <w:rFonts w:ascii="Times New Roman" w:hAnsi="Times New Roman" w:eastAsia="Times New Roman" w:cs="Times New Roman"/>
        </w:rPr>
        <w:t xml:space="preserve"> </w:t>
      </w:r>
      <w:r>
        <w:rPr>
          <w:rFonts w:ascii="Ebrima" w:hAnsi="Ebrima" w:eastAsia="Ebrima" w:cs="Ebrima"/>
        </w:rPr>
        <w:t>ከንቅሕ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ካልኦት</w:t>
      </w:r>
      <w:r>
        <w:rPr>
          <w:rFonts w:ascii="Times New Roman" w:hAnsi="Times New Roman" w:eastAsia="Times New Roman" w:cs="Times New Roman"/>
        </w:rPr>
        <w:t xml:space="preserve"> </w:t>
      </w:r>
      <w:r>
        <w:rPr>
          <w:rFonts w:ascii="Ebrima" w:hAnsi="Ebrima" w:eastAsia="Ebrima" w:cs="Ebrima"/>
        </w:rPr>
        <w:t>መንገዶች</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ኣልቦሙ፡</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መንጎኦም</w:t>
      </w:r>
      <w:r>
        <w:rPr>
          <w:rFonts w:ascii="Times New Roman" w:hAnsi="Times New Roman" w:eastAsia="Times New Roman" w:cs="Times New Roman"/>
        </w:rPr>
        <w:t xml:space="preserve"> </w:t>
      </w:r>
      <w:r>
        <w:rPr>
          <w:rFonts w:ascii="Ebrima" w:hAnsi="Ebrima" w:eastAsia="Ebrima" w:cs="Ebrima"/>
        </w:rPr>
        <w:t>መናፍቕነት</w:t>
      </w:r>
      <w:r>
        <w:rPr>
          <w:rFonts w:ascii="Times New Roman" w:hAnsi="Times New Roman" w:eastAsia="Times New Roman" w:cs="Times New Roman"/>
        </w:rPr>
        <w:t xml:space="preserve"> </w:t>
      </w:r>
      <w:r>
        <w:rPr>
          <w:rFonts w:ascii="Ebrima" w:hAnsi="Ebrima" w:eastAsia="Ebrima" w:cs="Ebrima"/>
        </w:rPr>
        <w:t>ክኣቱ</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ክወቅዖም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ሓሰር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ስርናይ</w:t>
      </w:r>
      <w:r>
        <w:rPr>
          <w:rFonts w:ascii="Times New Roman" w:hAnsi="Times New Roman" w:eastAsia="Times New Roman" w:cs="Times New Roman"/>
        </w:rPr>
        <w:t xml:space="preserve"> </w:t>
      </w:r>
      <w:r>
        <w:rPr>
          <w:rFonts w:ascii="Ebrima" w:hAnsi="Ebrima" w:eastAsia="Ebrima" w:cs="Ebrima"/>
        </w:rPr>
        <w:t>እናፈለየ።</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ንኹሎም</w:t>
      </w:r>
      <w:r>
        <w:rPr>
          <w:rFonts w:ascii="Times New Roman" w:hAnsi="Times New Roman" w:eastAsia="Times New Roman" w:cs="Times New Roman"/>
        </w:rPr>
        <w:t xml:space="preserve"> </w:t>
      </w:r>
      <w:r>
        <w:rPr>
          <w:rFonts w:ascii="Ebrima" w:hAnsi="Ebrima" w:eastAsia="Ebrima" w:cs="Ebrima"/>
        </w:rPr>
        <w:t>ቃሉ</w:t>
      </w:r>
      <w:r>
        <w:rPr>
          <w:rFonts w:ascii="Times New Roman" w:hAnsi="Times New Roman" w:eastAsia="Times New Roman" w:cs="Times New Roman"/>
        </w:rPr>
        <w:t xml:space="preserve"> </w:t>
      </w:r>
      <w:r>
        <w:rPr>
          <w:rFonts w:ascii="Ebrima" w:hAnsi="Ebrima" w:eastAsia="Ebrima" w:cs="Ebrima"/>
        </w:rPr>
        <w:t>ዝኣምኑ</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ድቃስ</w:t>
      </w:r>
      <w:r>
        <w:rPr>
          <w:rFonts w:ascii="Times New Roman" w:hAnsi="Times New Roman" w:eastAsia="Times New Roman" w:cs="Times New Roman"/>
        </w:rPr>
        <w:t xml:space="preserve"> </w:t>
      </w:r>
      <w:r>
        <w:rPr>
          <w:rFonts w:ascii="Ebrima" w:hAnsi="Ebrima" w:eastAsia="Ebrima" w:cs="Ebrima"/>
        </w:rPr>
        <w:t>ክነቅሑ</w:t>
      </w:r>
      <w:r>
        <w:rPr>
          <w:rFonts w:ascii="Times New Roman" w:hAnsi="Times New Roman" w:eastAsia="Times New Roman" w:cs="Times New Roman"/>
        </w:rPr>
        <w:t xml:space="preserve"> </w:t>
      </w:r>
      <w:r>
        <w:rPr>
          <w:rFonts w:ascii="Ebrima" w:hAnsi="Ebrima" w:eastAsia="Ebrima" w:cs="Ebrima"/>
        </w:rPr>
        <w:t>ይጽውዕ።</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መጺኡ</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ንዚ</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ዝግባእ።</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መጽሓፍ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ቀረባ</w:t>
      </w:r>
      <w:r>
        <w:rPr>
          <w:rFonts w:ascii="Times New Roman" w:hAnsi="Times New Roman" w:eastAsia="Times New Roman" w:cs="Times New Roman"/>
        </w:rPr>
        <w:t xml:space="preserve"> </w:t>
      </w:r>
      <w:r>
        <w:rPr>
          <w:rFonts w:ascii="Ebrima" w:hAnsi="Ebrima" w:eastAsia="Ebrima" w:cs="Ebrima"/>
        </w:rPr>
        <w:t>ዘለዉና</w:t>
      </w:r>
      <w:r>
        <w:rPr>
          <w:rFonts w:ascii="Times New Roman" w:hAnsi="Times New Roman" w:eastAsia="Times New Roman" w:cs="Times New Roman"/>
        </w:rPr>
        <w:t xml:space="preserve"> </w:t>
      </w:r>
      <w:r>
        <w:rPr>
          <w:rFonts w:ascii="Ebrima" w:hAnsi="Ebrima" w:eastAsia="Ebrima" w:cs="Ebrima"/>
        </w:rPr>
        <w:t>ሓደጋታት</w:t>
      </w:r>
      <w:r>
        <w:rPr>
          <w:rFonts w:ascii="Times New Roman" w:hAnsi="Times New Roman" w:eastAsia="Times New Roman" w:cs="Times New Roman"/>
        </w:rPr>
        <w:t xml:space="preserve"> </w:t>
      </w:r>
      <w:r>
        <w:rPr>
          <w:rFonts w:ascii="Ebrima" w:hAnsi="Ebrima" w:eastAsia="Ebrima" w:cs="Ebrima"/>
        </w:rPr>
        <w:t>ዘርኢ።</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ትጉህ</w:t>
      </w:r>
      <w:r>
        <w:rPr>
          <w:rFonts w:ascii="Times New Roman" w:hAnsi="Times New Roman" w:eastAsia="Times New Roman" w:cs="Times New Roman"/>
        </w:rPr>
        <w:t xml:space="preserve"> </w:t>
      </w:r>
      <w:r>
        <w:rPr>
          <w:rFonts w:ascii="Ebrima" w:hAnsi="Ebrima" w:eastAsia="Ebrima" w:cs="Ebrima"/>
        </w:rPr>
        <w:t>ምጽናዕ</w:t>
      </w:r>
      <w:r>
        <w:rPr>
          <w:rFonts w:ascii="Times New Roman" w:hAnsi="Times New Roman" w:eastAsia="Times New Roman" w:cs="Times New Roman"/>
        </w:rPr>
        <w:t xml:space="preserve"> </w:t>
      </w:r>
      <w:r>
        <w:rPr>
          <w:rFonts w:ascii="Ebrima" w:hAnsi="Ebrima" w:eastAsia="Ebrima" w:cs="Ebrima"/>
        </w:rPr>
        <w:t>ቅዱሳት</w:t>
      </w:r>
      <w:r>
        <w:rPr>
          <w:rFonts w:ascii="Times New Roman" w:hAnsi="Times New Roman" w:eastAsia="Times New Roman" w:cs="Times New Roman"/>
        </w:rPr>
        <w:t xml:space="preserve"> </w:t>
      </w:r>
      <w:r>
        <w:rPr>
          <w:rFonts w:ascii="Ebrima" w:hAnsi="Ebrima" w:eastAsia="Ebrima" w:cs="Ebrima"/>
        </w:rPr>
        <w:t>መጻሕፍቲን</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እንሕዞም</w:t>
      </w:r>
      <w:r>
        <w:rPr>
          <w:rFonts w:ascii="Times New Roman" w:hAnsi="Times New Roman" w:eastAsia="Times New Roman" w:cs="Times New Roman"/>
        </w:rPr>
        <w:t xml:space="preserve"> </w:t>
      </w:r>
      <w:r>
        <w:rPr>
          <w:rFonts w:ascii="Ebrima" w:hAnsi="Ebrima" w:eastAsia="Ebrima" w:cs="Ebrima"/>
        </w:rPr>
        <w:t>መርገጽታት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ብዝበለጸ</w:t>
      </w:r>
      <w:r>
        <w:rPr>
          <w:rFonts w:ascii="Times New Roman" w:hAnsi="Times New Roman" w:eastAsia="Times New Roman" w:cs="Times New Roman"/>
        </w:rPr>
        <w:t xml:space="preserve"> </w:t>
      </w:r>
      <w:r>
        <w:rPr>
          <w:rFonts w:ascii="Ebrima" w:hAnsi="Ebrima" w:eastAsia="Ebrima" w:cs="Ebrima"/>
        </w:rPr>
        <w:t>ጥንቃቐ</w:t>
      </w:r>
      <w:r>
        <w:rPr>
          <w:rFonts w:ascii="Times New Roman" w:hAnsi="Times New Roman" w:eastAsia="Times New Roman" w:cs="Times New Roman"/>
        </w:rPr>
        <w:t xml:space="preserve"> </w:t>
      </w:r>
      <w:r>
        <w:rPr>
          <w:rFonts w:ascii="Ebrima" w:hAnsi="Ebrima" w:eastAsia="Ebrima" w:cs="Ebrima"/>
        </w:rPr>
        <w:t>ምርመራን</w:t>
      </w:r>
      <w:r>
        <w:rPr>
          <w:rFonts w:ascii="Times New Roman" w:hAnsi="Times New Roman" w:eastAsia="Times New Roman" w:cs="Times New Roman"/>
        </w:rPr>
        <w:t xml:space="preserve"> </w:t>
      </w:r>
      <w:r>
        <w:rPr>
          <w:rFonts w:ascii="Ebrima" w:hAnsi="Ebrima" w:eastAsia="Ebrima" w:cs="Ebrima"/>
        </w:rPr>
        <w:t>ክመርሓና</w:t>
      </w:r>
      <w:r>
        <w:rPr>
          <w:rFonts w:ascii="Times New Roman" w:hAnsi="Times New Roman" w:eastAsia="Times New Roman" w:cs="Times New Roman"/>
        </w:rPr>
        <w:t xml:space="preserve"> </w:t>
      </w:r>
      <w:r>
        <w:rPr>
          <w:rFonts w:ascii="Ebrima" w:hAnsi="Ebrima" w:eastAsia="Ebrima" w:cs="Ebrima"/>
        </w:rPr>
        <w:t>ይግባእ።</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ኩሉ</w:t>
      </w:r>
      <w:r>
        <w:rPr>
          <w:rFonts w:ascii="Times New Roman" w:hAnsi="Times New Roman" w:eastAsia="Times New Roman" w:cs="Times New Roman"/>
        </w:rPr>
        <w:t xml:space="preserve"> </w:t>
      </w:r>
      <w:r>
        <w:rPr>
          <w:rFonts w:ascii="Ebrima" w:hAnsi="Ebrima" w:eastAsia="Ebrima" w:cs="Ebrima"/>
        </w:rPr>
        <w:t>መዳያትን</w:t>
      </w:r>
      <w:r>
        <w:rPr>
          <w:rFonts w:ascii="Times New Roman" w:hAnsi="Times New Roman" w:eastAsia="Times New Roman" w:cs="Times New Roman"/>
        </w:rPr>
        <w:t xml:space="preserve"> </w:t>
      </w:r>
      <w:r>
        <w:rPr>
          <w:rFonts w:ascii="Ebrima" w:hAnsi="Ebrima" w:eastAsia="Ebrima" w:cs="Ebrima"/>
        </w:rPr>
        <w:t>መርገጽታትን</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ብጸሎትን</w:t>
      </w:r>
      <w:r>
        <w:rPr>
          <w:rFonts w:ascii="Times New Roman" w:hAnsi="Times New Roman" w:eastAsia="Times New Roman" w:cs="Times New Roman"/>
        </w:rPr>
        <w:t xml:space="preserve"> </w:t>
      </w:r>
      <w:r>
        <w:rPr>
          <w:rFonts w:ascii="Ebrima" w:hAnsi="Ebrima" w:eastAsia="Ebrima" w:cs="Ebrima"/>
        </w:rPr>
        <w:t>ጾምን</w:t>
      </w:r>
      <w:r>
        <w:rPr>
          <w:rFonts w:ascii="Times New Roman" w:hAnsi="Times New Roman" w:eastAsia="Times New Roman" w:cs="Times New Roman"/>
        </w:rPr>
        <w:t xml:space="preserve"> </w:t>
      </w:r>
      <w:r>
        <w:rPr>
          <w:rFonts w:ascii="Ebrima" w:hAnsi="Ebrima" w:eastAsia="Ebrima" w:cs="Ebrima"/>
        </w:rPr>
        <w:t>ብምሉእን</w:t>
      </w:r>
      <w:r>
        <w:rPr>
          <w:rFonts w:ascii="Times New Roman" w:hAnsi="Times New Roman" w:eastAsia="Times New Roman" w:cs="Times New Roman"/>
        </w:rPr>
        <w:t xml:space="preserve"> </w:t>
      </w:r>
      <w:r>
        <w:rPr>
          <w:rFonts w:ascii="Ebrima" w:hAnsi="Ebrima" w:eastAsia="Ebrima" w:cs="Ebrima"/>
        </w:rPr>
        <w:t>ቀጻሊን</w:t>
      </w:r>
      <w:r>
        <w:rPr>
          <w:rFonts w:ascii="Times New Roman" w:hAnsi="Times New Roman" w:eastAsia="Times New Roman" w:cs="Times New Roman"/>
        </w:rPr>
        <w:t xml:space="preserve"> </w:t>
      </w:r>
      <w:r>
        <w:rPr>
          <w:rFonts w:ascii="Ebrima" w:hAnsi="Ebrima" w:eastAsia="Ebrima" w:cs="Ebrima"/>
        </w:rPr>
        <w:t>ክምርመሩ</w:t>
      </w:r>
      <w:r>
        <w:rPr>
          <w:rFonts w:ascii="Times New Roman" w:hAnsi="Times New Roman" w:eastAsia="Times New Roman" w:cs="Times New Roman"/>
        </w:rPr>
        <w:t xml:space="preserve"> </w:t>
      </w:r>
      <w:r>
        <w:rPr>
          <w:rFonts w:ascii="Ebrima" w:hAnsi="Ebrima" w:eastAsia="Ebrima" w:cs="Ebrima"/>
        </w:rPr>
        <w:t>ይደሊ።</w:t>
      </w:r>
      <w:r>
        <w:rPr>
          <w:rFonts w:ascii="Times New Roman" w:hAnsi="Times New Roman" w:eastAsia="Times New Roman" w:cs="Times New Roman"/>
        </w:rPr>
        <w:t xml:space="preserve"> </w:t>
      </w:r>
      <w:r>
        <w:rPr>
          <w:rFonts w:ascii="Ebrima" w:hAnsi="Ebrima" w:eastAsia="Ebrima" w:cs="Ebrima"/>
        </w:rPr>
        <w:t>ኣመንቲ</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ዝኾነት</w:t>
      </w:r>
      <w:r>
        <w:rPr>
          <w:rFonts w:ascii="Times New Roman" w:hAnsi="Times New Roman" w:eastAsia="Times New Roman" w:cs="Times New Roman"/>
        </w:rPr>
        <w:t xml:space="preserve"> </w:t>
      </w:r>
      <w:r>
        <w:rPr>
          <w:rFonts w:ascii="Ebrima" w:hAnsi="Ebrima" w:eastAsia="Ebrima" w:cs="Ebrima"/>
        </w:rPr>
        <w:t>ብግምትን</w:t>
      </w:r>
      <w:r>
        <w:rPr>
          <w:rFonts w:ascii="Times New Roman" w:hAnsi="Times New Roman" w:eastAsia="Times New Roman" w:cs="Times New Roman"/>
        </w:rPr>
        <w:t xml:space="preserve"> </w:t>
      </w:r>
      <w:r>
        <w:rPr>
          <w:rFonts w:ascii="Ebrima" w:hAnsi="Ebrima" w:eastAsia="Ebrima" w:cs="Ebrima"/>
        </w:rPr>
        <w:t>ዘይተነጸረ</w:t>
      </w:r>
      <w:r>
        <w:rPr>
          <w:rFonts w:ascii="Times New Roman" w:hAnsi="Times New Roman" w:eastAsia="Times New Roman" w:cs="Times New Roman"/>
        </w:rPr>
        <w:t xml:space="preserve"> </w:t>
      </w:r>
      <w:r>
        <w:rPr>
          <w:rFonts w:ascii="Ebrima" w:hAnsi="Ebrima" w:eastAsia="Ebrima" w:cs="Ebrima"/>
        </w:rPr>
        <w:t>ሓሳባትን</w:t>
      </w:r>
      <w:r>
        <w:rPr>
          <w:rFonts w:ascii="Times New Roman" w:hAnsi="Times New Roman" w:eastAsia="Times New Roman" w:cs="Times New Roman"/>
        </w:rPr>
        <w:t xml:space="preserve"> </w:t>
      </w:r>
      <w:r>
        <w:rPr>
          <w:rFonts w:ascii="Ebrima" w:hAnsi="Ebrima" w:eastAsia="Ebrima" w:cs="Ebrima"/>
        </w:rPr>
        <w:t>ክዕረፉ</w:t>
      </w:r>
      <w:r>
        <w:rPr>
          <w:rFonts w:ascii="Times New Roman" w:hAnsi="Times New Roman" w:eastAsia="Times New Roman" w:cs="Times New Roman"/>
        </w:rPr>
        <w:t xml:space="preserve"> </w:t>
      </w:r>
      <w:r>
        <w:rPr>
          <w:rFonts w:ascii="Ebrima" w:hAnsi="Ebrima" w:eastAsia="Ebrima" w:cs="Ebrima"/>
        </w:rPr>
        <w:t>የብሎምን።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 hérésies » qu’Il permet et qu’Il emploie pour réveiller Ses saints endormis sont de « vieilles controverses ».</w:t>
      </w:r>
    </w:p>
    <w:p>
      <w:pPr>
        <w:pStyle w:val="ArticleScripture"/>
        <w:jc w:val="left"/>
      </w:pPr>
      <w:r>
        <w:rPr>
          <w:rFonts w:ascii="Times New Roman" w:hAnsi="Times New Roman" w:eastAsia="Times New Roman" w:cs="Times New Roman"/>
        </w:rPr>
        <w:t>«En historia y profecía, la Palabra de Dios presenta el prolongado conflicto entre la verdad y el error. Ese conflicto aún sigue en curso. Aquellas cosas que han sido, se repetirán. Antiguas controversias serán reavivadas, y continuamente surgirán nuevas teorías. Pero el pueblo de Dios, que en su creencia y en el cumplimiento de la profecía ha desempeñado una parte en la proclamación de los mensajes del primer, segundo y tercer ángel, sabe dónde está. Posee una experiencia más preciosa que el oro fino. Ha de permanecer firme como una roca, reteniendo el principio de su confianza, firme hasta el fin.» Selected Messages, book 2, 109.</w:t>
      </w:r>
    </w:p>
    <w:p>
      <w:pPr>
        <w:pStyle w:val="ArticleBody"/>
        <w:jc w:val="left"/>
      </w:pPr>
      <w:r>
        <w:rPr>
          <w:rFonts w:ascii="Times New Roman" w:hAnsi="Times New Roman" w:eastAsia="Times New Roman" w:cs="Times New Roman"/>
        </w:rPr>
        <w:t>Ang hidwaan bahin sa “mga tulisan sa imong katawohan” usa ka daang hidwaan gikan sa kasaysayan sa mga Millerite, nga mao ang “sinugdanan sa ilang pagsalig” nga gisugo kanila nga kuptan nga “malig-on hangtod sa katapusan.” Ang “sinugdanan sa” “pagsalig” sa usa ka gatos ug kap-atan ug upat ka libo mao ang mga patukoranan nga kamatuoran nga gilarawan diha sa mga tsart sa mga payunir sa 1843 ug 1850.</w:t>
      </w:r>
    </w:p>
    <w:p>
      <w:pPr>
        <w:pStyle w:val="ArticleScripture"/>
        <w:jc w:val="left"/>
      </w:pPr>
      <w:r>
        <w:rPr>
          <w:rFonts w:ascii="Times New Roman" w:hAnsi="Times New Roman" w:eastAsia="Times New Roman" w:cs="Times New Roman"/>
        </w:rPr>
        <w:t>“Ɖui dzi kokoko la le mía nɔviŋutsuwo kple nɔvinyɔnuwo ƒe susuwɔwɔme trɔm le dɔ si nye amewo ɖoɖowɔwɔ be woate ŋu tsi tre le ŋkeke mamlɛtɔ siawo me la gbɔ. Eƒe aɖaŋuwɔwɔwo ɖe ɖoɖo be yele susuwɔwɔwo kplɔm adzo le gaƒoƒo sia ƒe vɔsa kple dɔwɔwɔwo gbɔ. Wole kekeli si Kristo tso dzi va tsɔ na Yohanes na eƒe ameawo la kpɔm abe menye nyaa aɖeke o. Wole fiam be nuwuwu siwo le mía ŋgɔ tututu la menye siwo le ŋusẽ nyuitɔ aɖe be woakpɔ ɖe eme tɔxɛe o. Wole dziƒo ƒe gɔmeɖeɖe tso la ƒe nyateƒe la wɔm be mekpɔa dɔ o, eye wole Mawu ƒe ameawo ƒe woƒe numetotowo si va yi la ɖeem le wo gbɔ, hele atsɔ dzesii aʋatsɔtsɔ ƒe sidzedze aɖe nɔ teƒe na wo.”</w:t>
      </w:r>
    </w:p>
    <w:p>
      <w:pPr>
        <w:pStyle w:val="ArticleScripture"/>
        <w:jc w:val="left"/>
      </w:pPr>
      <w:r>
        <w:rPr>
          <w:rFonts w:ascii="Times New Roman" w:hAnsi="Times New Roman" w:eastAsia="Times New Roman" w:cs="Times New Roman"/>
        </w:rPr>
        <w:t>«Voici ce que dit le Seigneur : Tenez-vous sur les chemins, regardez, et demandez quels sont les sentiers anciens, quelle est la bonne voie, et marchez-y.»</w:t>
      </w:r>
    </w:p>
    <w:p>
      <w:pPr>
        <w:pStyle w:val="ArticleScripture"/>
        <w:jc w:val="left"/>
      </w:pPr>
      <w:r>
        <w:rPr>
          <w:rFonts w:ascii="Times New Roman" w:hAnsi="Times New Roman" w:eastAsia="Times New Roman" w:cs="Times New Roman"/>
        </w:rPr>
        <w:t>“Que personne ne cherche à arracher les fondements de notre foi,—les fondements qui furent posés au commencement de notre œuvre, par l’étude fervente de la Parole et par la révélation. C’est sur ces fondements que nous bâtissons depuis cinquante ans. Des hommes peuvent s’imaginer qu’ils ont trouvé une voie nouvelle, et qu’ils peuvent poser un fondement plus solide que celui qui a été posé. Mais c’est là une grande séduction. Car personne ne peut poser un autre fondement que celui qui a été posé.</w:t>
      </w:r>
    </w:p>
    <w:p>
      <w:pPr>
        <w:pStyle w:val="ArticleScripture"/>
        <w:jc w:val="left"/>
      </w:pPr>
      <w:r>
        <w:rPr>
          <w:rFonts w:ascii="Times New Roman" w:hAnsi="Times New Roman" w:eastAsia="Times New Roman" w:cs="Times New Roman"/>
        </w:rPr>
        <w:t>«Ժամանակի ընթացքում շատերն են ձեռնարկել նոր հավատ կառուցելու, նոր սկզբունքներ հաստատելու գործը։ Բայց որքան ժամանակ տևեց նրանց շինությունը։—Այն շուտով կործանվեց, որովհետև Վեմի վրա հիմնված չէր։»</w:t>
      </w:r>
    </w:p>
    <w:p>
      <w:pPr>
        <w:pStyle w:val="ArticleScripture"/>
        <w:jc w:val="left"/>
      </w:pPr>
      <w:r>
        <w:rPr>
          <w:rFonts w:ascii="Times New Roman" w:hAnsi="Times New Roman" w:eastAsia="Times New Roman" w:cs="Times New Roman"/>
        </w:rPr>
        <w:t>«Τα πρώτα μαθητικά μέλη δεν χρειάστηκε να αντιμετωπίσουν τα λεγόμενα των ανθρώπων; Δεν χρειάστηκε να ακούσουν ψευδείς θεωρίες και κατόπιν, αφού έπραξαν τα πάντα, να σταθούν στερεοί, λέγοντας: “Θεμέλιον άλλον ουδείς δύναται να θέσει παρά το τεθέν”;»</w:t>
      </w:r>
    </w:p>
    <w:p>
      <w:pPr>
        <w:pStyle w:val="ArticleScripture"/>
        <w:jc w:val="left"/>
      </w:pPr>
      <w:r>
        <w:rPr>
          <w:rFonts w:ascii="Times New Roman" w:hAnsi="Times New Roman" w:eastAsia="Times New Roman" w:cs="Times New Roman"/>
        </w:rPr>
        <w:t>“Kwa hiyo yapaswa tuushike mwanzo wa tumaini letu kwa uthabiti hata mwisho. Maneno ya nguvu yametumwa na Mungu na Kristo kwa watu hawa, yakiwatoa ulimwenguni, hatua kwa hatua, na kuwaingiza katika nuru safi ya kweli ya wakati huu. Kwa midomo iliyoguswa na moto mtakatifu, watumishi wa Mungu wametangaza ujumbe huo. Tamko la kimungu limeutia muhuri uhalisi wa kweli iliyotangazwa.” Review and Herald, March 3, 1904.</w:t>
      </w:r>
    </w:p>
    <w:p>
      <w:pPr>
        <w:pStyle w:val="ArticleBody"/>
        <w:jc w:val="left"/>
      </w:pPr>
      <w:r>
        <w:rPr>
          <w:rFonts w:ascii="Times New Roman" w:hAnsi="Times New Roman" w:eastAsia="Times New Roman" w:cs="Times New Roman"/>
        </w:rPr>
        <w:t>“Lalitẹ Jeremaya” jẹ́ “àwọn ìpìlẹ̀ tí a fi lélẹ̀ ní ìbẹ̀rẹ̀ iṣẹ́ wa.” Àwọn òtítọ́ wọ̀nyẹn ni a fi “lórí Àpáta” múlẹ̀, àti nínú ìtàn àwọn Millerite, àwọn òtítọ́ ìpìlẹ̀ wọ̀nyẹn ni ìhìnrere “òtítọ́ fún àkókò yìí” tí a kéde ní 1842, 1843 àti 1844.</w:t>
      </w:r>
    </w:p>
    <w:p>
      <w:pPr>
        <w:pStyle w:val="ArticleScripture"/>
        <w:jc w:val="left"/>
      </w:pPr>
      <w:r>
        <w:rPr>
          <w:rFonts w:ascii="Times New Roman" w:hAnsi="Times New Roman" w:eastAsia="Times New Roman" w:cs="Times New Roman"/>
        </w:rPr>
        <w:t>«Ձեզ օգնի Աստված ընդունելու այն խոսքերը, որ ես ասել եմ։ Նրանք, ովքեր կանգնած են որպես Աստծո պահակներ Սիոնի պարիսպների վրա, թող լինեն մարդիկ, որոնք կարող են տեսնել ժողովրդի առջև եղած վտանգները,—մարդիկ, որոնք կարող են տարբերակել ճշմարտությունն ու մոլորությունը, արդարությունն ու անիրավությունը։»</w:t>
      </w:r>
    </w:p>
    <w:p>
      <w:pPr>
        <w:pStyle w:val="ArticleScripture"/>
        <w:jc w:val="left"/>
      </w:pPr>
      <w:r>
        <w:rPr>
          <w:rFonts w:ascii="Times New Roman" w:hAnsi="Times New Roman" w:eastAsia="Times New Roman" w:cs="Times New Roman"/>
        </w:rPr>
        <w:t>“Ang babala ay dumating na: Walang anumang dapat pahintulutang pumasok na makagagambala sa saligan ng pananampalataya na aming pinagtatayuan magmula pa nang dumating ang mensahe noong 1842, 1843, at 1844. Ako ay kasama sa mensaheng ito, at mula noon ay tumatayo na ako sa harap ng sanlibutan, tapat sa liwanag na ibinigay sa atin ng Diyos. Hindi namin binabalak na alisin ang aming mga paa mula sa platapormang doo’y inilagay ang mga ito habang araw-araw naming hinahanap ang Panginoon sa taimtim na panalangin, na naghahanap ng liwanag. Iniisip ba ninyo na maibibigay ko ang liwanag na ibinigay sa akin ng Diyos? Ito ay magiging gaya ng Batong Walang Hanggan. Ito ang naging gabay ko mula nang ito’y ibigay. Mga kapatid, ang Diyos ay buhay at naghahari at gumagawa ngayon. Ang Kaniyang kamay ay nasa manibela, at sa Kaniyang probidensiya ay iniikot Niya ang gulong alinsunod sa Kaniyang sariling kalooban. Huwag nawang itali ng mga tao ang kanilang sarili sa mga dokumento, na sinasabi kung ano ang kanilang gagawin, at kung ano ang hindi nila gagawin. Itali nila ang kanilang sarili sa Panginoong Diyos ng langit. Kung magkagayon, ang liwanag ng langit ay sisikat sa templong kaluluwa, at makikita natin ang pagliligtas ng Diyos.” Review and Herald, Abril 14, 1903.</w:t>
      </w:r>
    </w:p>
    <w:p>
      <w:pPr>
        <w:pStyle w:val="ArticleBody"/>
        <w:jc w:val="left"/>
      </w:pPr>
      <w:r>
        <w:rPr>
          <w:rFonts w:ascii="Times New Roman" w:hAnsi="Times New Roman" w:eastAsia="Times New Roman" w:cs="Times New Roman"/>
        </w:rPr>
        <w:t>Laadarkii la baahiyey “1842, 1843, iyo 1844” waa laadarka lagu matalay shaxdii hormuudka ahayd ee 1843. Bishii Maay ee 1842, waxaa la daabacay saddex boqol oo shaxood oo 1843 ah. Ellen White iyo dhammaan hormuudayaashu waxay marag ka wada fureen in shaxdu ahayd rumoobidda amarka ku qoran Xabaquuq cutubka labaad ee ah in riyada la qoro oo si cad loogu muujiyo looxyo. Isla taariikhdaas gudaheeda waxaa jiray saddex boqol oo wacdiyayaal Milleriyiin ah, taariikhyahannada SDA-na waxay ka marag kacaan xaqiiqda ah in dhammaantood ay adeegsadeen shaxdii 1843.</w:t>
      </w:r>
    </w:p>
    <w:p>
      <w:pPr>
        <w:pStyle w:val="ArticleBody"/>
        <w:jc w:val="left"/>
      </w:pPr>
      <w:r>
        <w:rPr>
          <w:rFonts w:ascii="Times New Roman" w:hAnsi="Times New Roman" w:eastAsia="Times New Roman" w:cs="Times New Roman"/>
        </w:rPr>
        <w:t>Ni iki cyatuma umuntu avuga ko kumenyekanisha kwa ba pioneri ko Roma ari “abambuzi b’ubwoko bwawe,” nk’uko byerekanwe ku mbonerahamwe, ari ikosa? Ni iki cyatuma undi muntu yemera icyo kirego? Nyamara se, ni iki gituma bamwe muri twe bavuga ko twemera uko ba pioneri basobanukiwe ko Roma ishushanywa n’imvugo ngo “abambuzi b’ubwoko bwawe,” ariko mu by’ukuri ntitubashe ubwacu kurwanirira uko gusobanukirwa?</w:t>
      </w:r>
    </w:p>
    <w:p>
      <w:pPr>
        <w:pStyle w:val="ArticleBody"/>
        <w:jc w:val="left"/>
      </w:pPr>
      <w:r>
        <w:rPr>
          <w:rFonts w:ascii="Times New Roman" w:hAnsi="Times New Roman" w:eastAsia="Times New Roman" w:cs="Times New Roman"/>
        </w:rPr>
        <w:t>Makala ya liboso, topesaki ndakisa ya eteni oyo elandi:</w:t>
      </w:r>
    </w:p>
    <w:p>
      <w:pPr>
        <w:pStyle w:val="ArticleScripture"/>
        <w:jc w:val="left"/>
      </w:pPr>
      <w:r>
        <w:rPr>
          <w:rFonts w:ascii="Times New Roman" w:hAnsi="Times New Roman" w:eastAsia="Times New Roman" w:cs="Times New Roman"/>
        </w:rPr>
        <w:t>“Zote zite zvingava budiriro yomunhu padivi renjere, ngaarege kumbofunga kunyange kwechinguvana kuti hakuna kudikanwa kwekunzvera Magwaro zvakadzama uye nguva dzose kuti awane chiedza chikuru. Sevanhu, takadanwa umwe nomumwe kuti tive vadzidzi vechiporofita. Tinofanira kurinda nokushingaira kukuru kuti tigone kuona chero mwaranzi yechiedza iyo Mwari yaachatiratidza.” Testimonies, volume 5, 708.</w:t>
      </w:r>
    </w:p>
    <w:p>
      <w:pPr>
        <w:pStyle w:val="ArticleBody"/>
        <w:jc w:val="left"/>
      </w:pPr>
      <w:r>
        <w:rPr>
          <w:rFonts w:ascii="Times New Roman" w:hAnsi="Times New Roman" w:eastAsia="Times New Roman" w:cs="Times New Roman"/>
        </w:rPr>
        <w:t>Jeg gjør gjeldende at det «lys som Gud» nå fremholder «for oss», er at vi ikke fullt ut er blitt vekket til vårt ansvar for personlig å forstå de første femten versene i Daniel elleve, og at vi ikke har forstått at vers tretten til femten i det samme kapitlet fremstiller de sannheter som fullbyrder den endelige renselse og besegling av de hundre og førtifire tusen. Dersom ingen vranglærdommer var blitt innført i nettopp denne historien, ville det være et bevis på at vi var fullt våkne. Men denne strid viser noe annet.</w:t>
      </w:r>
    </w:p>
    <w:p>
      <w:pPr>
        <w:pStyle w:val="ArticleScripture"/>
        <w:jc w:val="left"/>
      </w:pPr>
      <w:r>
        <w:rPr>
          <w:rFonts w:ascii="Times New Roman" w:hAnsi="Times New Roman" w:eastAsia="Times New Roman" w:cs="Times New Roman"/>
        </w:rPr>
        <w:t>«Nkhani yakuti pakati pa anthu a Mulungu palibe mkangano kapena chisokonezo siyenera kuonedwa ngati umboni wokwanira wakuti akugwiritsitsa chiphunzitso cholondola. Pali chifukwa choopa kuti mwina sakusiyanitsa momveka bwino pakati pa choonadi ndi cholakwa. Pamene palibe mafunso atsopano omwe ayambitsidwa chifukwa cha kufufuza Malemba, pamene palibe kusiyana kwa maganizo komwe kungapangitse anthu kufufuza Baibulo paokha kuti atsimikize kuti ali nacho choonadi, pamenepo adzakhalapo ambiri tsopano, monga m’nthawi zakale, amene adzamamatira ku miyambo ndi kulambira chimene sadziwa kuti ndi chiyani....»</w:t>
      </w:r>
    </w:p>
    <w:p>
      <w:pPr>
        <w:pStyle w:val="ArticleScripture"/>
        <w:jc w:val="left"/>
      </w:pPr>
      <w:r>
        <w:rPr>
          <w:rFonts w:ascii="Times New Roman" w:hAnsi="Times New Roman" w:eastAsia="Times New Roman" w:cs="Times New Roman"/>
        </w:rPr>
        <w:t>“Dyos ay gigisingin ang Kaniyang bayan; kung mabigo ang ibang mga paraan, papasok sa gitna nila ang mga erehiya, na magsasala sa kanila, na maghihiwalay sa ipa mula sa trigo. Tinatawag ng Panginoon ang lahat ng naniniwala sa Kaniyang salita na gumising mula sa pagkakatulog. Dumating ang mahalagang liwanag, na angkop sa panahong ito. Ito ay katotohanan ng Biblia, na nagpapakita ng mga panganib na naririto na mismo sa ating harapan. Ang liwanag na ito ay dapat umakay sa atin sa masikap na pag-aaral ng mga Kasulatan at sa lubhang masusing pagsisiyasat ng mga paninindigang ating pinanghahawakan. Nais ng Diyos na ang lahat ng mga aspekto at mga paninindigan ng katotohanan ay lubos at buong tiyagang saliksikin, na may panalangin at pag-aayuno. Ang mga mananampalataya ay hindi dapat manahan sa mga haka-haka at malalabong kuru-kuro tungkol sa kung ano ang bumubuo sa katotohanan. Ang kanilang pananampalataya ay dapat matibay na maitatag sa salita ng Diyos upang, pagdating ng panahon ng pagsubok at sila’y iharap sa mga kapulungan upang managot para sa kanilang pananampalataya, ay makapagbigay sila ng katuwiran tungkol sa pag-asang nasa kanila, na may kaamuan at takot.</w:t>
      </w:r>
    </w:p>
    <w:p>
      <w:pPr>
        <w:pStyle w:val="ArticleScripture"/>
        <w:jc w:val="left"/>
      </w:pPr>
      <w:r>
        <w:rPr>
          <w:rFonts w:ascii="Times New Roman" w:hAnsi="Times New Roman" w:eastAsia="Times New Roman" w:cs="Times New Roman"/>
        </w:rPr>
        <w:t>« Remuez, remuez, remuez. Les sujets que nous présentons au monde doivent être pour nous une réalité vivante. Il importe que, dans la défense des doctrines que nous regardons comme des articles fondamentaux de la foi, nous ne nous permettions jamais d’employer des arguments qui ne soient pas entièrement solides. » Testimonies, volume 5, 708.</w:t>
      </w:r>
    </w:p>
    <w:p>
      <w:pPr>
        <w:pStyle w:val="ArticleBody"/>
        <w:jc w:val="left"/>
      </w:pPr>
      <w:r>
        <w:rPr>
          <w:rFonts w:ascii="Microsoft YaHei" w:hAnsi="Microsoft YaHei" w:eastAsia="Microsoft YaHei" w:cs="Microsoft YaHei"/>
        </w:rPr>
        <w:t>私</w:t>
      </w:r>
      <w:r>
        <w:rPr>
          <w:rFonts w:ascii="MS Gothic" w:hAnsi="MS Gothic" w:eastAsia="MS Gothic" w:cs="MS Gothic"/>
        </w:rPr>
        <w:t>たちが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略奪</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たちに</w:t>
      </w:r>
      <w:r>
        <w:rPr>
          <w:rFonts w:ascii="Microsoft YaHei" w:hAnsi="Microsoft YaHei" w:eastAsia="Microsoft YaHei" w:cs="Microsoft YaHei"/>
        </w:rPr>
        <w:t>関</w:t>
      </w:r>
      <w:r>
        <w:rPr>
          <w:rFonts w:ascii="MS Gothic" w:hAnsi="MS Gothic" w:eastAsia="MS Gothic" w:cs="MS Gothic"/>
        </w:rPr>
        <w:t>するこの</w:t>
      </w:r>
      <w:r>
        <w:rPr>
          <w:rFonts w:ascii="Microsoft YaHei" w:hAnsi="Microsoft YaHei" w:eastAsia="Microsoft YaHei" w:cs="Microsoft YaHei"/>
        </w:rPr>
        <w:t>考察</w:t>
      </w:r>
      <w:r>
        <w:rPr>
          <w:rFonts w:ascii="MS Gothic" w:hAnsi="MS Gothic" w:eastAsia="MS Gothic" w:cs="MS Gothic"/>
        </w:rPr>
        <w:t>をさらに</w:t>
      </w:r>
      <w:r>
        <w:rPr>
          <w:rFonts w:ascii="Microsoft YaHei" w:hAnsi="Microsoft YaHei" w:eastAsia="Microsoft YaHei" w:cs="Microsoft YaHei"/>
        </w:rPr>
        <w:t>進</w:t>
      </w:r>
      <w:r>
        <w:rPr>
          <w:rFonts w:ascii="MS Gothic" w:hAnsi="MS Gothic" w:eastAsia="MS Gothic" w:cs="MS Gothic"/>
        </w:rPr>
        <w:t>めるにあたり</w:t>
      </w:r>
      <w:r>
        <w:rPr>
          <w:rFonts w:ascii="Microsoft YaHei" w:hAnsi="Microsoft YaHei" w:eastAsia="Microsoft YaHei" w:cs="Microsoft YaHei"/>
        </w:rPr>
        <w:t>、</w:t>
      </w:r>
      <w:r>
        <w:rPr>
          <w:rFonts w:ascii="MS Gothic" w:hAnsi="MS Gothic" w:eastAsia="MS Gothic" w:cs="MS Gothic"/>
        </w:rPr>
        <w:t>ダニエル</w:t>
      </w:r>
      <w:r>
        <w:rPr>
          <w:rFonts w:ascii="Microsoft YaHei" w:hAnsi="Microsoft YaHei" w:eastAsia="Microsoft YaHei" w:cs="Microsoft YaHei"/>
        </w:rPr>
        <w:t>書十一章十四節</w:t>
      </w:r>
      <w:r>
        <w:rPr>
          <w:rFonts w:ascii="MS Gothic" w:hAnsi="MS Gothic" w:eastAsia="MS Gothic" w:cs="MS Gothic"/>
        </w:rPr>
        <w:t>をめぐるプロテスタントとミラー</w:t>
      </w:r>
      <w:r>
        <w:rPr>
          <w:rFonts w:ascii="Microsoft YaHei" w:hAnsi="Microsoft YaHei" w:eastAsia="Microsoft YaHei" w:cs="Microsoft YaHei"/>
        </w:rPr>
        <w:t>派</w:t>
      </w:r>
      <w:r>
        <w:rPr>
          <w:rFonts w:ascii="MS Gothic" w:hAnsi="MS Gothic" w:eastAsia="MS Gothic" w:cs="MS Gothic"/>
        </w:rPr>
        <w:t>との</w:t>
      </w:r>
      <w:r>
        <w:rPr>
          <w:rFonts w:ascii="Microsoft YaHei" w:hAnsi="Microsoft YaHei" w:eastAsia="Microsoft YaHei" w:cs="Microsoft YaHei"/>
        </w:rPr>
        <w:t>論争</w:t>
      </w:r>
      <w:r>
        <w:rPr>
          <w:rFonts w:ascii="MS Gothic" w:hAnsi="MS Gothic" w:eastAsia="MS Gothic" w:cs="MS Gothic"/>
        </w:rPr>
        <w:t>が</w:t>
      </w:r>
      <w:r>
        <w:rPr>
          <w:rFonts w:ascii="Microsoft YaHei" w:hAnsi="Microsoft YaHei" w:eastAsia="Microsoft YaHei" w:cs="Microsoft YaHei"/>
        </w:rPr>
        <w:t>、合衆国</w:t>
      </w:r>
      <w:r>
        <w:rPr>
          <w:rFonts w:ascii="MS Gothic" w:hAnsi="MS Gothic" w:eastAsia="MS Gothic" w:cs="MS Gothic"/>
        </w:rPr>
        <w:t>であってローマではなくそれがその</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確立</w:t>
      </w:r>
      <w:r>
        <w:rPr>
          <w:rFonts w:ascii="MS Gothic" w:hAnsi="MS Gothic" w:eastAsia="MS Gothic" w:cs="MS Gothic"/>
        </w:rPr>
        <w:t>するのだとする</w:t>
      </w:r>
      <w:r>
        <w:rPr>
          <w:rFonts w:ascii="Microsoft YaHei" w:hAnsi="Microsoft YaHei" w:eastAsia="Microsoft YaHei" w:cs="Microsoft YaHei"/>
        </w:rPr>
        <w:t>新</w:t>
      </w:r>
      <w:r>
        <w:rPr>
          <w:rFonts w:ascii="MS Gothic" w:hAnsi="MS Gothic" w:eastAsia="MS Gothic" w:cs="MS Gothic"/>
        </w:rPr>
        <w:t>たな</w:t>
      </w:r>
      <w:r>
        <w:rPr>
          <w:rFonts w:ascii="Microsoft YaHei" w:hAnsi="Microsoft YaHei" w:eastAsia="Microsoft YaHei" w:cs="Microsoft YaHei"/>
        </w:rPr>
        <w:t>私的解釈</w:t>
      </w:r>
      <w:r>
        <w:rPr>
          <w:rFonts w:ascii="MS Gothic" w:hAnsi="MS Gothic" w:eastAsia="MS Gothic" w:cs="MS Gothic"/>
        </w:rPr>
        <w:t>との</w:t>
      </w:r>
      <w:r>
        <w:rPr>
          <w:rFonts w:ascii="Microsoft YaHei" w:hAnsi="Microsoft YaHei" w:eastAsia="Microsoft YaHei" w:cs="Microsoft YaHei"/>
        </w:rPr>
        <w:t>論争</w:t>
      </w:r>
      <w:r>
        <w:rPr>
          <w:rFonts w:ascii="MS Gothic" w:hAnsi="MS Gothic" w:eastAsia="MS Gothic" w:cs="MS Gothic"/>
        </w:rPr>
        <w:t>と</w:t>
      </w:r>
      <w:r>
        <w:rPr>
          <w:rFonts w:ascii="Microsoft YaHei" w:hAnsi="Microsoft YaHei" w:eastAsia="Microsoft YaHei" w:cs="Microsoft YaHei"/>
        </w:rPr>
        <w:t>同一</w:t>
      </w:r>
      <w:r>
        <w:rPr>
          <w:rFonts w:ascii="MS Gothic" w:hAnsi="MS Gothic" w:eastAsia="MS Gothic" w:cs="MS Gothic"/>
        </w:rPr>
        <w:t>であることを</w:t>
      </w:r>
      <w:r>
        <w:rPr>
          <w:rFonts w:ascii="Microsoft YaHei" w:hAnsi="Microsoft YaHei" w:eastAsia="Microsoft YaHei" w:cs="Microsoft YaHei"/>
        </w:rPr>
        <w:t>示</w:t>
      </w:r>
      <w:r>
        <w:rPr>
          <w:rFonts w:ascii="MS Gothic" w:hAnsi="MS Gothic" w:eastAsia="MS Gothic" w:cs="MS Gothic"/>
        </w:rPr>
        <w:t>すであろう</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MS Gothic" w:hAnsi="MS Gothic" w:eastAsia="MS Gothic" w:cs="MS Gothic"/>
        </w:rPr>
        <w:t>が</w:t>
      </w:r>
      <w:r>
        <w:rPr>
          <w:rFonts w:ascii="Microsoft YaHei" w:hAnsi="Microsoft YaHei" w:eastAsia="Microsoft YaHei" w:cs="Microsoft YaHei"/>
        </w:rPr>
        <w:t>「旧世界」</w:t>
      </w:r>
      <w:r>
        <w:rPr>
          <w:rFonts w:ascii="MS Gothic" w:hAnsi="MS Gothic" w:eastAsia="MS Gothic" w:cs="MS Gothic"/>
        </w:rPr>
        <w:t>という</w:t>
      </w:r>
      <w:r>
        <w:rPr>
          <w:rFonts w:ascii="Microsoft YaHei" w:hAnsi="Microsoft YaHei" w:eastAsia="Microsoft YaHei" w:cs="Microsoft YaHei"/>
        </w:rPr>
        <w:t>表現</w:t>
      </w:r>
      <w:r>
        <w:rPr>
          <w:rFonts w:ascii="MS Gothic" w:hAnsi="MS Gothic" w:eastAsia="MS Gothic" w:cs="MS Gothic"/>
        </w:rPr>
        <w:t>を</w:t>
      </w:r>
      <w:r>
        <w:rPr>
          <w:rFonts w:ascii="Microsoft YaHei" w:hAnsi="Microsoft YaHei" w:eastAsia="Microsoft YaHei" w:cs="Microsoft YaHei"/>
        </w:rPr>
        <w:t>用</w:t>
      </w:r>
      <w:r>
        <w:rPr>
          <w:rFonts w:ascii="MS Gothic" w:hAnsi="MS Gothic" w:eastAsia="MS Gothic" w:cs="MS Gothic"/>
        </w:rPr>
        <w:t>いて</w:t>
      </w:r>
      <w:r>
        <w:rPr>
          <w:rFonts w:ascii="Microsoft YaHei" w:hAnsi="Microsoft YaHei" w:eastAsia="Microsoft YaHei" w:cs="Microsoft YaHei"/>
        </w:rPr>
        <w:t>過去</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指</w:t>
      </w:r>
      <w:r>
        <w:rPr>
          <w:rFonts w:ascii="MS Gothic" w:hAnsi="MS Gothic" w:eastAsia="MS Gothic" w:cs="MS Gothic"/>
        </w:rPr>
        <w:t>し</w:t>
      </w:r>
      <w:r>
        <w:rPr>
          <w:rFonts w:ascii="Microsoft YaHei" w:hAnsi="Microsoft YaHei" w:eastAsia="Microsoft YaHei" w:cs="Microsoft YaHei"/>
        </w:rPr>
        <w:t>示</w:t>
      </w:r>
      <w:r>
        <w:rPr>
          <w:rFonts w:ascii="MS Gothic" w:hAnsi="MS Gothic" w:eastAsia="MS Gothic" w:cs="MS Gothic"/>
        </w:rPr>
        <w:t>しているとする</w:t>
      </w:r>
      <w:r>
        <w:rPr>
          <w:rFonts w:ascii="Microsoft YaHei" w:hAnsi="Microsoft YaHei" w:eastAsia="Microsoft YaHei" w:cs="Microsoft YaHei"/>
        </w:rPr>
        <w:t>立場</w:t>
      </w:r>
      <w:r>
        <w:rPr>
          <w:rFonts w:ascii="MS Gothic" w:hAnsi="MS Gothic" w:eastAsia="MS Gothic" w:cs="MS Gothic"/>
        </w:rPr>
        <w:t>は</w:t>
      </w:r>
      <w:r>
        <w:rPr>
          <w:rFonts w:ascii="Microsoft YaHei" w:hAnsi="Microsoft YaHei" w:eastAsia="Microsoft YaHei" w:cs="Microsoft YaHei"/>
        </w:rPr>
        <w:t>、「推測的</w:t>
      </w:r>
      <w:r>
        <w:rPr>
          <w:rFonts w:ascii="MS Gothic" w:hAnsi="MS Gothic" w:eastAsia="MS Gothic" w:cs="MS Gothic"/>
        </w:rPr>
        <w:t>で</w:t>
      </w:r>
      <w:r>
        <w:rPr>
          <w:rFonts w:ascii="Microsoft YaHei" w:hAnsi="Microsoft YaHei" w:eastAsia="Microsoft YaHei" w:cs="Microsoft YaHei"/>
        </w:rPr>
        <w:t>曖昧</w:t>
      </w:r>
      <w:r>
        <w:rPr>
          <w:rFonts w:ascii="MS Gothic" w:hAnsi="MS Gothic" w:eastAsia="MS Gothic" w:cs="MS Gothic"/>
        </w:rPr>
        <w:t>な</w:t>
      </w:r>
      <w:r>
        <w:rPr>
          <w:rFonts w:ascii="Microsoft YaHei" w:hAnsi="Microsoft YaHei" w:eastAsia="Microsoft YaHei" w:cs="Microsoft YaHei"/>
        </w:rPr>
        <w:t>観念」</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またそれは</w:t>
      </w:r>
      <w:r>
        <w:rPr>
          <w:rFonts w:ascii="Microsoft YaHei" w:hAnsi="Microsoft YaHei" w:eastAsia="Microsoft YaHei" w:cs="Microsoft YaHei"/>
        </w:rPr>
        <w:t>「完全</w:t>
      </w:r>
      <w:r>
        <w:rPr>
          <w:rFonts w:ascii="MS Gothic" w:hAnsi="MS Gothic" w:eastAsia="MS Gothic" w:cs="MS Gothic"/>
        </w:rPr>
        <w:t>に</w:t>
      </w:r>
      <w:r>
        <w:rPr>
          <w:rFonts w:ascii="Microsoft YaHei" w:hAnsi="Microsoft YaHei" w:eastAsia="Microsoft YaHei" w:cs="Microsoft YaHei"/>
        </w:rPr>
        <w:t>健全</w:t>
      </w:r>
      <w:r>
        <w:rPr>
          <w:rFonts w:ascii="MS Gothic" w:hAnsi="MS Gothic" w:eastAsia="MS Gothic" w:cs="MS Gothic"/>
        </w:rPr>
        <w:t>とはいえない</w:t>
      </w:r>
      <w:r>
        <w:rPr>
          <w:rFonts w:ascii="Microsoft YaHei" w:hAnsi="Microsoft YaHei" w:eastAsia="Microsoft YaHei" w:cs="Microsoft YaHei"/>
        </w:rPr>
        <w:t>議論」</w:t>
      </w:r>
      <w:r>
        <w:rPr>
          <w:rFonts w:ascii="MS Gothic" w:hAnsi="MS Gothic" w:eastAsia="MS Gothic" w:cs="MS Gothic"/>
        </w:rPr>
        <w:t>の</w:t>
      </w:r>
      <w:r>
        <w:rPr>
          <w:rFonts w:ascii="Microsoft YaHei" w:hAnsi="Microsoft YaHei" w:eastAsia="Microsoft YaHei" w:cs="Microsoft YaHei"/>
        </w:rPr>
        <w:t>一例</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Wɔn a wɔde saa asɛm yi agyina wɔn adwene a ɛka sɛ na Millerfo no adi mfomso wɔ Roma a wɔhuu no sɛ “wo nkurɔfo mu akorɔmfo no” no so no, ɛsɛ sɛ wodi wɔn Kristofo asɛyɛde so na wɔsan yi wɔn asɛm no fi gua so wɔ baguam, efisɛ ɛrentumi ngyina hɔ wɔ kasa nhyehyɛe ne abakɔsɛm mu. Na mo a mote saa akyinnyegye yi nkyɛn no, mo wɔ asɛyɛde sɛ mobɛkyekyɛ nokware asɛm no pɛpɛɛpɛ, efisɛ wɔafrɛ mo sɛ monyɛ ankorankoro a moyɛ nkɔmhyɛ suafo, na monnyɛ obi adwene akyidifo.</w:t>
      </w:r>
    </w:p>
    <w:p>
      <w:pPr>
        <w:pStyle w:val="ArticleBody"/>
        <w:jc w:val="left"/>
      </w:pPr>
      <w:r>
        <w:rPr>
          <w:rFonts w:ascii="Times New Roman" w:hAnsi="Times New Roman" w:eastAsia="Times New Roman" w:cs="Times New Roman"/>
        </w:rPr>
        <w:t>Les hommes tordent les Écritures pour leur propre perdition.</w:t>
      </w:r>
    </w:p>
    <w:p>
      <w:pPr>
        <w:pStyle w:val="ArticleScripture"/>
        <w:jc w:val="left"/>
      </w:pPr>
      <w:r>
        <w:rPr>
          <w:rFonts w:ascii="Times New Roman" w:hAnsi="Times New Roman" w:eastAsia="Times New Roman" w:cs="Times New Roman"/>
        </w:rPr>
        <w:t>Rabbiin keenya obsi guddaan fayyina akka taʼe lakkaaʼaa; akkuma obboleessi keenya jaallatamaan Phaawulos immoo ogummaa isaaf kennameen isinitti barreesse; akkasumas ergaawwan isaa hundumaa keessatti waaʼee wantoota kanaa isaan keessatti dubbachaa jira; isaan keessattis wantoota hubachuun isaanii rakkisan tokko tokko ni jiru; warri hin barannee fi hin jabaannes akkuma Katabolee Qulqulluu kaanittis micciiru, badiisa ofii isaaniif. Egaa isin, warra jaallatamoo, waan kana duraan dursee waan beektaniif, akka dogoggora warra jalʼootiin fudhatamtanii jabaatinaa ofii keessaniirraa hin kufneef of eeggadhaa. Garuu ayyaana keessatti fi beekumsa Gooftaa keenyaa fi Fayyisaa keenya Yesuus Kiristoos keessatti guddadhaa. Ulfinni isaaf amma illee hamma bara baraatti haa taʼu. Ameen. 2 Phexiros 3:15–18.</w:t>
      </w:r>
    </w:p>
    <w:p>
      <w:pPr>
        <w:pStyle w:val="ArticleBody"/>
        <w:jc w:val="left"/>
      </w:pPr>
      <w:r>
        <w:rPr>
          <w:rFonts w:ascii="Times New Roman" w:hAnsi="Times New Roman" w:eastAsia="Times New Roman" w:cs="Times New Roman"/>
        </w:rPr>
        <w:t>Pierre déclare que ce sont les « ignorants et mal affermis » qui « tordent » les Écritures « pour leur propre ruine ». En accord avec ce fait, Sœur White nous adresse à maintes reprises l’avertissement d’étudier par nous-mêmes. Si nous n’assumons pas notre responsabilité d’être des étudiants de la prophétie, nous décidons de notre propre destruction.</w:t>
      </w:r>
    </w:p>
    <w:p>
      <w:pPr>
        <w:pStyle w:val="ArticleBody"/>
        <w:jc w:val="left"/>
      </w:pPr>
      <w:r>
        <w:rPr>
          <w:rFonts w:ascii="Times New Roman" w:hAnsi="Times New Roman" w:eastAsia="Times New Roman" w:cs="Times New Roman"/>
        </w:rPr>
        <w:t>Ce sont les brigands de ton peuple qui établissent la vision, et Salomon déclare que là où il n’y a point de vision, le peuple périt.</w:t>
      </w:r>
    </w:p>
    <w:p>
      <w:pPr>
        <w:pStyle w:val="ArticleScripture"/>
        <w:jc w:val="left"/>
      </w:pPr>
      <w:r>
        <w:rPr>
          <w:rFonts w:ascii="Times New Roman" w:hAnsi="Times New Roman" w:eastAsia="Times New Roman" w:cs="Times New Roman"/>
        </w:rPr>
        <w:t>Là où il n’y a pas de vision, le peuple périt; mais heureux est celui qui garde la loi. Proverbes 29:18.</w:t>
      </w:r>
    </w:p>
    <w:p>
      <w:pPr>
        <w:pStyle w:val="ArticleBody"/>
        <w:jc w:val="left"/>
      </w:pPr>
      <w:r>
        <w:rPr>
          <w:rFonts w:ascii="Times New Roman" w:hAnsi="Times New Roman" w:eastAsia="Times New Roman" w:cs="Times New Roman"/>
        </w:rPr>
        <w:t xml:space="preserve">“Perish”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नग्न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सुलैमान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नग्नता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लौदीकियावासी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उगल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टिप्पणियों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चित्रण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«Намо ҳар бино, ки бар таҳкурсии дигаре ҷуз Каломи Худо бино мешавад, фурӯ хоҳад рехт. Ҳар кӣ, мисли яҳудиён дар айёми Масеҳ, бар таҳкурсии афкор ва андешаҳои инсонӣ, бар расму ойинҳое, ки ихтирои одамӣ ҳастанд, ё бар ҳар аъмоле, ки ӯ метавонад ҷудо аз файзи Масеҳ ба ҷо оварад, бино мекунад, ӯ бинои хислати худро бар реги ҷунбанда бармесозад. Тӯфонҳои сахти васваса он таҳкурсии регинро рӯфта хоҳанд бурд ва хонаи ӯро чун вайронае бар соҳилҳои замон боқӣ хоҳанд гузошт.»</w:t>
      </w:r>
    </w:p>
    <w:p>
      <w:pPr>
        <w:pStyle w:val="ArticleScripture"/>
        <w:jc w:val="left"/>
      </w:pPr>
      <w:r>
        <w:rPr>
          <w:rFonts w:ascii="Times New Roman" w:hAnsi="Times New Roman" w:eastAsia="Times New Roman" w:cs="Times New Roman"/>
        </w:rPr>
        <w:t>“‘“E derfor siger den Herre Gud, … Også dom vil jeg lægge til målesnoren, og retfærdighed til lodsnoren; og haglen skal feje løgnens tilflugtssted bort, og vandene skal oversvømme skjulestedet.’ Esajas 28:16, 17.</w:t>
      </w:r>
    </w:p>
    <w:p>
      <w:pPr>
        <w:pStyle w:val="ArticleScripture"/>
        <w:jc w:val="left"/>
      </w:pPr>
      <w:r>
        <w:rPr>
          <w:rFonts w:ascii="Times New Roman" w:hAnsi="Times New Roman" w:eastAsia="Times New Roman" w:cs="Times New Roman"/>
        </w:rPr>
        <w:t>“Maar vandag pleit die barmhartigheid met die sondaar. ‘So waar as Ek leef, spreek die Here HERE, Ek het geen behae in die dood van die goddelose nie; maar daarin dat die goddelose hom bekeer van sy weg en lewe: bekeer julle, bekeer julle van julle verkeerde weë; want waarom wil julle sterwe?’ Esegiël 33:11. Die stem wat vandag tot die onboetvaardige spreek, is die stem van Hom wat in sielsangs uitgeroep het toe Hy die stad van sy liefde aanskou het: ‘Jerusalem, Jerusalem, jy wat die profete doodmaak en stenig dié wat na jou gestuur is! Hoe dikwels wou Ek jou kinders bymekaarmaak soos ’n hen haar kuikens onder haar vlerke bymekaarmaak, en julle wou nie! Kyk, julle huis word vir julle woes gelaat.’ Lukas 13:34, 35, R.V. In Jerusalem het Jesus ’n simbool gesien van die wêreld wat sy genade verwerp en verag het. Hy het geween, o halsstarrige hart, oor jou! Selfs toe Jesus se trane op die berg gestort is, kon Jerusalem nog tot bekering gekom en haar oordeel vryspring. Vir ’n kort tydjie het die Gawe van die hemel nog op haar aanvaarding gewag. So spreek Christus, o hart, nog steeds tot jou in klanke van liefde: ‘Kyk, Ek staan by die deur en klop; as iemand my stem hoor en die deur oopmaak, sal Ek ingaan na hom toe en saam met hom maaltyd hou, en hy met My.’ ‘Nou is die tyd van welbehae; kyk, nou is die dag van heil.’ Openbaring 3:20; 2 Korinthiërs 6:2.</w:t>
      </w:r>
    </w:p>
    <w:p>
      <w:pPr>
        <w:pStyle w:val="ArticleScripture"/>
        <w:jc w:val="left"/>
      </w:pPr>
      <w:r>
        <w:rPr>
          <w:rFonts w:ascii="Times New Roman" w:hAnsi="Times New Roman" w:eastAsia="Times New Roman" w:cs="Times New Roman"/>
        </w:rPr>
        <w:t>“Ntọndụn̄wọt itịn̄de ke idem, nnọ ẹkebe ke ájá. Ndi emi, isọn̄ owo ikọt idaha nsụk ọdiọkn̄kpọ emi ededi. Tupu ofum adaha, ọsọp afa ke edem isọn̄ emi omum. ‘Nte Udomo Ebiet Abasi ọdọhọde, Le, Ami anam edi ke Zion nkume k’idem isọn̄, nkume a nwale, nkume ukot ẹkpọ isọn̄, isọn̄ emi omum: enye emi enyene ntụkwasị-obi ke Enye idikemeke ọsọ ọsọ.’ ‘Lelee Ami, ẹnyụn̄ ẹduọk, mbufo nsinsi isọn̄ enyọn̄: n’ihi Ami bụ Abasi, m̄mē idịghe ọzọ.’ ‘Ufiopkeme; n’ihi Ami nọ yiet fo: ikemesịre; n’ihi Ami bụ Abasi fo: Ami nyene ukeme n̄kpọ fo; ee, Ami keme n̄kpọ fo inam enyem; ee, Ami okut fi nte idem-ubọk itie ndisana Ami.’ ‘Ẹnyụn̄ idikemeke ifre idem esie, idikemeke n̄kpọ ikpa ke nsinsi ebighebi.’ Isaiah 28:16, R.V.; 45:22; 41:10; 45:17.” Thoughts from the Mount of Blessing, 150–152.</w:t>
      </w:r>
    </w:p>
    <w:p>
      <w:pPr>
        <w:pStyle w:val="ArticleBody"/>
        <w:jc w:val="left"/>
      </w:pPr>
      <w:r>
        <w:rPr>
          <w:rFonts w:ascii="Times New Roman" w:hAnsi="Times New Roman" w:eastAsia="Times New Roman" w:cs="Times New Roman"/>
        </w:rPr>
        <w:t>Bopanzeli oyo na lisolo oyo ekolanda.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罗马确立这异象——第三篇</dc:title>
  <dc:subject>Les États-Unis et la vision prophétique : un appel à une étude biblique approfondie et à la compréhension</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