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Romo Ħazoŋ ka hoŋlɔ la - Number Four</w:t>
      </w:r>
    </w:p>
    <w:p>
      <w:pPr>
        <w:pStyle w:val="ArticleSubtitle"/>
        <w:jc w:val="left"/>
      </w:pPr>
      <w:r>
        <w:rPr>
          <w:rFonts w:ascii="Arial" w:hAnsi="Arial" w:eastAsia="Arial" w:cs="Arial"/>
        </w:rPr>
        <w:t>Réactiver d’anciennes controverses : la bataille autour de l’interprétation prophétique dans l’adventisme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A ti kilọ́ fún wa tẹ́lẹ̀ pé “àwọn àríyànjiyàn àtijọ́” yóò tún dìde ní àwọn ọjọ́ ìkẹyìn.</w:t>
      </w:r>
    </w:p>
    <w:p>
      <w:pPr>
        <w:pStyle w:val="ArticleScripture"/>
        <w:jc w:val="left"/>
      </w:pPr>
      <w:r>
        <w:rPr>
          <w:rFonts w:ascii="Times New Roman" w:hAnsi="Times New Roman" w:eastAsia="Times New Roman" w:cs="Times New Roman"/>
        </w:rPr>
        <w:t>“Dans l’histoire et la prophétie, la Parole de Dieu dépeint le conflit prolongé entre la vérité et l’erreur. Ce conflit est encore en cours. Les choses qui ont été se répéteront. D’anciennes controverses seront ravivées, et de nouvelles théories surgiront continuellement.” Selected Messages, book 2, 109.</w:t>
      </w:r>
    </w:p>
    <w:p>
      <w:pPr>
        <w:pStyle w:val="ArticleBody"/>
        <w:jc w:val="left"/>
      </w:pPr>
      <w:r>
        <w:rPr>
          <w:rFonts w:ascii="Times New Roman" w:hAnsi="Times New Roman" w:eastAsia="Times New Roman" w:cs="Times New Roman"/>
        </w:rPr>
        <w:t>Toujours, ces anciennes controverses constituaient une tentative satanique de miner le rôle de la Rome moderne, car c’est la Rome papale des derniers jours qui établit la vision. Plusieurs exemples de ce fait se trouvent dans l’histoire de l’adventisme. Le premier fut la controverse entre les protestants et les millérites, telle qu’elle est représentée sur le tableau pionnier de 1843. La seule mention figurant sur le saint tableau pionnier de 1843, lequel « fut dirigé par le Seigneur et ne devait pas être modifié », qui ne fût pas une référence directe à une vérité prophétique de la Parole de Dieu, était la représentation de la controverse des millérites avec les protestants de cette époque. Les protestants identifiaient les « brigands de ton peuple » de Daniel, chapitre onze, verset quatorze, à Antiochus Épiphane, tandis que les millérites savaient qu’il s’agissait de Rome.</w:t>
      </w:r>
    </w:p>
    <w:p>
      <w:pPr>
        <w:pStyle w:val="ArticleScripture"/>
        <w:jc w:val="left"/>
      </w:pPr>
      <w:r>
        <w:rPr>
          <w:rFonts w:ascii="Times New Roman" w:hAnsi="Times New Roman" w:eastAsia="Times New Roman" w:cs="Times New Roman"/>
        </w:rPr>
        <w:t>«164 Mort d’Antiochus Épiphane, lequel, bien entendu, ne s’éleva pas contre le Prince des princes, puisqu’il était mort depuis 164 ans avant la naissance du Prince des princes.» 1843 Pioneer Chart.</w:t>
      </w:r>
    </w:p>
    <w:p>
      <w:pPr>
        <w:pStyle w:val="ArticleBody"/>
        <w:jc w:val="left"/>
      </w:pPr>
      <w:r>
        <w:rPr>
          <w:rFonts w:ascii="Times New Roman" w:hAnsi="Times New Roman" w:eastAsia="Times New Roman" w:cs="Times New Roman"/>
        </w:rPr>
        <w:t>پس از آن، مناقشه‌ای میان جیمز وایت و اوریا اسمیت دربارهٔ شناسایی درستِ «پادشاه شمال» در فصل یازدهم دانیال پدید آمد. جیمز در این‌که «پادشاه شمال» را در آیات پایانی دانیال یازده، رومِ پاپی، یا آن‌گونه که من می‌نامم، رومِ جدید، تشخیص می‌داد، بر حق بود. اسمیت استدلال می‌کرد که «پادشاه شمال» در دانیال فصل یازده، آیهٔ سی‌وشش، فرانسهٔ بی‌خدا بود.</w:t>
      </w:r>
    </w:p>
    <w:p>
      <w:pPr>
        <w:pStyle w:val="ArticleScripture"/>
        <w:jc w:val="left"/>
      </w:pPr>
      <w:r>
        <w:rPr>
          <w:rFonts w:ascii="Times New Roman" w:hAnsi="Times New Roman" w:eastAsia="Times New Roman" w:cs="Times New Roman"/>
        </w:rPr>
        <w:t>“VESI 36. Na mfalme atatenda sawasawa na mapenzi yake; naye atajiinua, na kujitukuza juu ya kila mungu, naye atasema mambo ya ajabu dhidi ya Mungu wa miungu; naye atafanikiwa hata ghadhabu itakapokamilika; kwa maana lile lililokusudiwa litatendeka.</w:t>
      </w:r>
    </w:p>
    <w:p>
      <w:pPr>
        <w:pStyle w:val="ArticleScripture"/>
        <w:jc w:val="left"/>
      </w:pPr>
      <w:r>
        <w:rPr>
          <w:rFonts w:ascii="Times New Roman" w:hAnsi="Times New Roman" w:eastAsia="Times New Roman" w:cs="Times New Roman"/>
        </w:rPr>
        <w:t>«Աստեղ ներկայացված արքան չի կարող նշանակել այն նույն իշխանությունը, որի մասին վերջինը խոսվեց, այսինքն՝ պապական իշխանությունը, որովհետև այս բնորոշումները ճիշտ չեն լինի, եթե կիրառվեն այդ իշխանության նկատմամբ»։ Uriah Smith, Daniel and the Revelation, 292.</w:t>
      </w:r>
    </w:p>
    <w:p>
      <w:pPr>
        <w:pStyle w:val="ArticleBody"/>
        <w:jc w:val="left"/>
      </w:pPr>
      <w:r>
        <w:rPr>
          <w:rFonts w:ascii="Times New Roman" w:hAnsi="Times New Roman" w:eastAsia="Times New Roman" w:cs="Times New Roman"/>
        </w:rPr>
        <w:t>Smith lõi í eigin “einkatýðing”, tá ið hann segði: “Kongurin, sum her verður nevndur, kann ikki merkja sama veldi, sum seinast varð umrøtt; nevniliga pápaveldið; tí ásetingarnar fara ikki at halda, um tær verða nýttar um tað veldið.” Orð Guds svíkur ongantíð, og tað er málfrøðiliga skeivt at brúka eina menniskjaliga framsøgn til at nokta hina greiðu málfrøðiligu bygnaðin í tekstbrotinum. Versið sigur “og kongurin”, og tað krevur, at kongurin, sum verður eyðmerktur, er sami kongur, sum verður umboðaður í undanfarna tekstbrotinum. Einki prógv er fyri einum nýggjum kongi, og Smith staðfestir, at “sama veldi, sum seinast varð umrøtt”, var “pápaveldið”. Hann viðurkennir í bók síni, at frá versi ein og tríati til versi fimm og tríati er talan um pápaveldið, og uttan nakað málfrøðiligt prógv, sum eyðmerkir ein nýggjan kong í versi seks og tríati, heldur hann einfalt uppá, at versini eftir versi fimm og tríati ikki umboða profetisku eyðkennini hjá pápaveldinum. Tí setir hann sína hugsan um Frakland inn.</w:t>
      </w:r>
    </w:p>
    <w:p>
      <w:pPr>
        <w:pStyle w:val="ArticleBody"/>
        <w:jc w:val="left"/>
      </w:pPr>
      <w:r>
        <w:rPr>
          <w:rFonts w:ascii="Times New Roman" w:hAnsi="Times New Roman" w:eastAsia="Times New Roman" w:cs="Times New Roman"/>
        </w:rPr>
        <w:t>Lorsque Smith aborde le verset quarante, la plate-forme prophétique défectueuse qu’il a édifiée par son interprétation privée le contraint à discerner une guerre à trois voies, laquelle, selon ses conjectures, identifie le roi du midi à l’Égypte, qui, dans le verset, « heurte » la France, tandis qu’il identifie la Turquie comme le roi du nord, qui vient également contre la France. Cette interprétation humaine ajoutée édifie un modèle prophétique qui amène Smith à identifier un Armageddon littéral, où la Turquie marche sur Jérusalem, marquant la clôture du temps de grâce pour l’humanité au moment où Michel se lève. De nombreux ouvrages dans l’histoire de l’adventisme ont été écrits en identifiant à juste titre la fausseté d’une telle application.</w:t>
      </w:r>
    </w:p>
    <w:p>
      <w:pPr>
        <w:pStyle w:val="ArticleBody"/>
        <w:jc w:val="left"/>
      </w:pPr>
      <w:r>
        <w:rPr>
          <w:rFonts w:ascii="Times New Roman" w:hAnsi="Times New Roman" w:eastAsia="Times New Roman" w:cs="Times New Roman"/>
        </w:rPr>
        <w:t>Не е целта на тази статия да разглежда плодовете на частното тълкуване на Урия Смит, а просто да посочи спора, който последва, когато той започна да прокарва своето частно тълкуване; защото, тъй като Джеймс Уайт се противопостави на неговото погрешно становище, това се превърна в още една линия на спор в адвентизма, в която правилното отъждествяване на Рим беше атакувано чрез едно лъжливо приложение.</w:t>
      </w:r>
    </w:p>
    <w:p>
      <w:pPr>
        <w:pStyle w:val="ArticleBody"/>
        <w:jc w:val="left"/>
      </w:pPr>
      <w:r>
        <w:rPr>
          <w:rFonts w:ascii="Times New Roman" w:hAnsi="Times New Roman" w:eastAsia="Times New Roman" w:cs="Times New Roman"/>
        </w:rPr>
        <w:t>Нөгөөтэйгүүр, Даниелын ном дахь “өдөр тутмын” тухай удаан үргэлжилсэн маргаан ч байсан бөгөөд энэ үед Лаодикийн Адвентизм урвасан Протестант үзлийг хүлээн авч, Даниелын ном дахь “өдөр тутмын”-ыг Христийн ариун сүм дэх үйлчлэл гэж тодорхойлсон нь “өдөр тутмын” нь харь Ромын бэлгэ тэмдэг байсан гэсэн тогтсон суурь үнэнтэй зөрчилдөж байв.</w:t>
      </w:r>
    </w:p>
    <w:p>
      <w:pPr>
        <w:pStyle w:val="ArticleScripture"/>
        <w:jc w:val="left"/>
      </w:pPr>
      <w:r>
        <w:rPr>
          <w:rFonts w:ascii="Times New Roman" w:hAnsi="Times New Roman" w:eastAsia="Times New Roman" w:cs="Times New Roman"/>
        </w:rPr>
        <w:t>«Затем я увидела относительно „ежедневного“ (Даниил 8:12), что слово „жертва“ было добавлено человеческой мудростью и не принадлежит тексту, и что Господь дал правильное понимание этого тем, кто возвещал весть о часе суда. Когда существовало единство, до 1844 года, почти все были едины в правильном понимании „ежедневного“; но в смятении после 1844 года были приняты другие взгляды, и последовали тьма и замешательство. Время не было испытанием с 1844 года, и оно уже никогда вновь не будет испытанием». Early Writings, 74.</w:t>
      </w:r>
    </w:p>
    <w:p>
      <w:pPr>
        <w:pStyle w:val="ArticleBody"/>
        <w:jc w:val="left"/>
      </w:pPr>
      <w:r>
        <w:rPr>
          <w:rFonts w:ascii="Times New Roman" w:hAnsi="Times New Roman" w:eastAsia="Times New Roman" w:cs="Times New Roman"/>
        </w:rPr>
        <w:t>La fin du temps, en 1989, lorsque les six derniers versets de Daniel onze furent descellés, le roi du nord fut alors reconnu comme étant la Rome papale, ainsi que James White l’avait auparavant identifié dans sa controverse avec Uriah Smith. White avait appliqué la méthodologie de « ligne sur ligne » en répondant au sophisme de Smith. White soutenait que si la dernière puissance représentée dans Daniel deux, et la dernière puissance représentée dans Daniel sept, et la dernière puissance représentée dans Daniel huit étaient toutes Rome, alors, sur la déposition de trois lignes de témoins, la puissance qui vient à sa fin dans Daniel onze est Rome, et non, comme Smith le prétendait, la Turquie.</w:t>
      </w:r>
    </w:p>
    <w:p>
      <w:pPr>
        <w:pStyle w:val="ArticleBody"/>
        <w:jc w:val="left"/>
      </w:pPr>
      <w:r>
        <w:rPr>
          <w:rFonts w:ascii="Times New Roman" w:hAnsi="Times New Roman" w:eastAsia="Times New Roman" w:cs="Times New Roman"/>
        </w:rPr>
        <w:t>Ang ikatlong anghel na kilusang panghula na nagsimula noong 1989 ay di naglaon matapos ang Setyembre 11, 2001 ay hinarap ng isang pagtatalo hinggil sa Joel kabanata uno. Sa loob ng unang limang talata, dalawang saksi—una, ng mga salinlahi, at pagkatapos, ng mga kulisap—ang tumutukoy sa isang paunlad na pagkawasak na ipinataw ng Roma sa Adventismo. Ang mga “manginginom” sa hula, ayon kay Isaias, ay ang mga “mapanlibak na lalaking namamahala sa Jerusalem.” Sila ay nagigising sa ikaapat at huling salinlahi. Ang paunlad na pagkawasak ay isang espirituwal na pagkawasak, sapagkat tinutukoy nito ang Jerusalem ng mga huling araw, at mula sa paghihimagsik ng 1863 pasulong, ang mga Laodiceang Seventh-day Adventists ay unti-unting nakibahagi sa mga doktrina ng Roma.</w:t>
      </w:r>
    </w:p>
    <w:p>
      <w:pPr>
        <w:pStyle w:val="ArticleScripture"/>
        <w:jc w:val="left"/>
      </w:pPr>
      <w:r>
        <w:rPr>
          <w:rFonts w:ascii="Times New Roman" w:hAnsi="Times New Roman" w:eastAsia="Times New Roman" w:cs="Times New Roman"/>
        </w:rPr>
        <w:t>Parole du Seigneur qui fut adressée à Joël, fils de Pethuel. Écoutez ceci, vieillards, et prêtez l’oreille, vous tous, habitants du pays. Cela est-il arrivé de vos jours, ou même aux jours de vos pères? Racontez-le à vos enfants, et que vos enfants le racontent à leurs enfants, et leurs enfants à une autre génération. Ce qu’a laissé le gazam, la sauterelle l’a dévoré; ce qu’a laissé la sauterelle, le yélek l’a dévoré; ce qu’a laissé le yélek, le hasil l’a dévoré. Réveillez-vous, ivrognes, et pleurez; gémissez, vous tous qui buvez du vin, à cause du moût, car il vous est ôté de la bouche. Joël 1:1–5.</w:t>
      </w:r>
    </w:p>
    <w:p>
      <w:pPr>
        <w:pStyle w:val="ArticleBody"/>
        <w:jc w:val="left"/>
      </w:pPr>
      <w:r>
        <w:rPr>
          <w:rFonts w:ascii="Times New Roman" w:hAnsi="Times New Roman" w:eastAsia="Times New Roman" w:cs="Times New Roman"/>
        </w:rPr>
        <w:t>Bayan bumagsak ang malalaking gusali ng New York City, naunawaan na noon nagsimulang “magwisik” ang huling ulan, at na ang pagtatalo sa Habakkuk kabanata dalawa, na natupad sa kasaysayang Millerita, ay muli nang nagsimula. Ang pagtatalo ay tungkol sa wastong pamamaraang panghula.</w:t>
      </w:r>
    </w:p>
    <w:p>
      <w:pPr>
        <w:pStyle w:val="ArticleScripture"/>
        <w:jc w:val="left"/>
      </w:pPr>
      <w:r>
        <w:rPr>
          <w:rFonts w:ascii="Times New Roman" w:hAnsi="Times New Roman" w:eastAsia="Times New Roman" w:cs="Times New Roman"/>
        </w:rPr>
        <w:t>Je me tiendrai à mon poste, et je me placerai sur la tour, et je veillerai pour voir ce qu’il me dira, et ce que je répondrai quand je serai repris. Et l’Éternel me répondit, et dit : Écris la vision, et grave-la clairement sur des tables, afin qu’on la lise couramment. Car la vision est encore pour un temps déterminé ; mais à la fin elle parlera, et ne mentira point : si elle tarde, attends-la ; car elle s’accomplira certainement, elle ne tardera point. Voici, son âme qui s’élève n’est pas droite en lui ; mais le juste vivra par sa foi. Et même, parce qu’il pèche par le vin, c’est un homme orgueilleux, qui ne demeure pas en repos ; il élargit son désir comme le séjour des morts, et il est comme la mort, et ne peut être rassasié ; mais il rassemble auprès de lui toutes les nations, et amasse auprès de lui tous les peuples. Habakkuk 2:1–5.</w:t>
      </w:r>
    </w:p>
    <w:p>
      <w:pPr>
        <w:pStyle w:val="ArticleBody"/>
        <w:jc w:val="left"/>
      </w:pP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1843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मद्यपी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Times New Roman" w:hAnsi="Times New Roman" w:eastAsia="Times New Roman" w:cs="Times New Roman"/>
        </w:rPr>
        <w:t xml:space="preserve">“Reproved” </w:t>
      </w:r>
      <w:r>
        <w:rPr>
          <w:rFonts w:ascii="Microsoft YaHei" w:hAnsi="Microsoft YaHei" w:eastAsia="Microsoft YaHei" w:cs="Microsoft YaHei"/>
        </w:rPr>
        <w:t>不一节中的希伯来词意为</w:t>
      </w:r>
      <w:r>
        <w:rPr>
          <w:rFonts w:ascii="Times New Roman" w:hAnsi="Times New Roman" w:eastAsia="Times New Roman" w:cs="Times New Roman"/>
        </w:rPr>
        <w:t>“</w:t>
      </w:r>
      <w:r>
        <w:rPr>
          <w:rFonts w:ascii="Microsoft YaHei" w:hAnsi="Microsoft YaHei" w:eastAsia="Microsoft YaHei" w:cs="Microsoft YaHei"/>
        </w:rPr>
        <w:t>与</w:t>
      </w:r>
      <w:r>
        <w:rPr>
          <w:rFonts w:ascii="Times New Roman" w:hAnsi="Times New Roman" w:eastAsia="Times New Roman" w:cs="Times New Roman"/>
        </w:rPr>
        <w:t>……</w:t>
      </w:r>
      <w:r>
        <w:rPr>
          <w:rFonts w:ascii="Microsoft YaHei" w:hAnsi="Microsoft YaHei" w:eastAsia="Microsoft YaHei" w:cs="Microsoft YaHei"/>
        </w:rPr>
        <w:t>争辩</w:t>
      </w:r>
      <w:r>
        <w:rPr>
          <w:rFonts w:ascii="Times New Roman" w:hAnsi="Times New Roman" w:eastAsia="Times New Roman" w:cs="Times New Roman"/>
        </w:rPr>
        <w:t>”.</w:t>
      </w:r>
      <w:r>
        <w:rPr>
          <w:rFonts w:ascii="Microsoft YaHei" w:hAnsi="Microsoft YaHei" w:eastAsia="Microsoft YaHei" w:cs="Microsoft YaHei"/>
        </w:rPr>
        <w:t>赐给米勒派守望者的论据</w:t>
      </w:r>
      <w:r>
        <w:rPr>
          <w:rFonts w:ascii="Times New Roman" w:hAnsi="Times New Roman" w:eastAsia="Times New Roman" w:cs="Times New Roman"/>
        </w:rPr>
        <w:t>,</w:t>
      </w:r>
      <w:r>
        <w:rPr>
          <w:rFonts w:ascii="Microsoft YaHei" w:hAnsi="Microsoft YaHei" w:eastAsia="Microsoft YaHei" w:cs="Microsoft YaHei"/>
        </w:rPr>
        <w:t>表现在</w:t>
      </w:r>
      <w:r>
        <w:rPr>
          <w:rFonts w:ascii="Times New Roman" w:hAnsi="Times New Roman" w:eastAsia="Times New Roman" w:cs="Times New Roman"/>
        </w:rPr>
        <w:t xml:space="preserve"> 1843 </w:t>
      </w:r>
      <w:r>
        <w:rPr>
          <w:rFonts w:ascii="Microsoft YaHei" w:hAnsi="Microsoft YaHei" w:eastAsia="Microsoft YaHei" w:cs="Microsoft YaHei"/>
        </w:rPr>
        <w:t>年先驱图表之上</w:t>
      </w:r>
      <w:r>
        <w:rPr>
          <w:rFonts w:ascii="Times New Roman" w:hAnsi="Times New Roman" w:eastAsia="Times New Roman" w:cs="Times New Roman"/>
        </w:rPr>
        <w:t>;</w:t>
      </w:r>
      <w:r>
        <w:rPr>
          <w:rFonts w:ascii="Microsoft YaHei" w:hAnsi="Microsoft YaHei" w:eastAsia="Microsoft YaHei" w:cs="Microsoft YaHei"/>
        </w:rPr>
        <w:t>该图表于</w:t>
      </w:r>
      <w:r>
        <w:rPr>
          <w:rFonts w:ascii="Times New Roman" w:hAnsi="Times New Roman" w:eastAsia="Times New Roman" w:cs="Times New Roman"/>
        </w:rPr>
        <w:t xml:space="preserve"> 1842 </w:t>
      </w:r>
      <w:r>
        <w:rPr>
          <w:rFonts w:ascii="Microsoft YaHei" w:hAnsi="Microsoft YaHei" w:eastAsia="Microsoft YaHei" w:cs="Microsoft YaHei"/>
        </w:rPr>
        <w:t>年</w:t>
      </w:r>
      <w:r>
        <w:rPr>
          <w:rFonts w:ascii="Times New Roman" w:hAnsi="Times New Roman" w:eastAsia="Times New Roman" w:cs="Times New Roman"/>
        </w:rPr>
        <w:t xml:space="preserve"> 5 </w:t>
      </w:r>
      <w:r>
        <w:rPr>
          <w:rFonts w:ascii="Microsoft YaHei" w:hAnsi="Microsoft YaHei" w:eastAsia="Microsoft YaHei" w:cs="Microsoft YaHei"/>
        </w:rPr>
        <w:t>月制成</w:t>
      </w:r>
      <w:r>
        <w:rPr>
          <w:rFonts w:ascii="Times New Roman" w:hAnsi="Times New Roman" w:eastAsia="Times New Roman" w:cs="Times New Roman"/>
        </w:rPr>
        <w:t>,</w:t>
      </w:r>
      <w:r>
        <w:rPr>
          <w:rFonts w:ascii="Microsoft YaHei" w:hAnsi="Microsoft YaHei" w:eastAsia="Microsoft YaHei" w:cs="Microsoft YaHei"/>
        </w:rPr>
        <w:t>乃是为应验这些经文</w:t>
      </w:r>
      <w:r>
        <w:rPr>
          <w:rFonts w:ascii="Times New Roman" w:hAnsi="Times New Roman" w:eastAsia="Times New Roman" w:cs="Times New Roman"/>
        </w:rPr>
        <w:t>.</w:t>
      </w:r>
      <w:r>
        <w:rPr>
          <w:rFonts w:ascii="Microsoft YaHei" w:hAnsi="Microsoft YaHei" w:eastAsia="Microsoft YaHei" w:cs="Microsoft YaHei"/>
        </w:rPr>
        <w:t>在那一时期</w:t>
      </w:r>
      <w:r>
        <w:rPr>
          <w:rFonts w:ascii="Times New Roman" w:hAnsi="Times New Roman" w:eastAsia="Times New Roman" w:cs="Times New Roman"/>
        </w:rPr>
        <w:t>,</w:t>
      </w:r>
      <w:r>
        <w:rPr>
          <w:rFonts w:ascii="Microsoft YaHei" w:hAnsi="Microsoft YaHei" w:eastAsia="Microsoft YaHei" w:cs="Microsoft YaHei"/>
        </w:rPr>
        <w:t>有一等人凭着信心而活</w:t>
      </w:r>
      <w:r>
        <w:rPr>
          <w:rFonts w:ascii="Times New Roman" w:hAnsi="Times New Roman" w:eastAsia="Times New Roman" w:cs="Times New Roman"/>
        </w:rPr>
        <w:t>,</w:t>
      </w:r>
      <w:r>
        <w:rPr>
          <w:rFonts w:ascii="Microsoft YaHei" w:hAnsi="Microsoft YaHei" w:eastAsia="Microsoft YaHei" w:cs="Microsoft YaHei"/>
        </w:rPr>
        <w:t>就当时先知性的现代真理信息</w:t>
      </w:r>
      <w:r>
        <w:rPr>
          <w:rFonts w:ascii="Times New Roman" w:hAnsi="Times New Roman" w:eastAsia="Times New Roman" w:cs="Times New Roman"/>
        </w:rPr>
        <w:t>,</w:t>
      </w:r>
      <w:r>
        <w:rPr>
          <w:rFonts w:ascii="Microsoft YaHei" w:hAnsi="Microsoft YaHei" w:eastAsia="Microsoft YaHei" w:cs="Microsoft YaHei"/>
        </w:rPr>
        <w:t>与另一等因酒而犯罪的人发生争论</w:t>
      </w:r>
      <w:r>
        <w:rPr>
          <w:rFonts w:ascii="Times New Roman" w:hAnsi="Times New Roman" w:eastAsia="Times New Roman" w:cs="Times New Roman"/>
        </w:rPr>
        <w:t>.</w:t>
      </w:r>
      <w:r>
        <w:rPr>
          <w:rFonts w:ascii="Microsoft YaHei" w:hAnsi="Microsoft YaHei" w:eastAsia="Microsoft YaHei" w:cs="Microsoft YaHei"/>
        </w:rPr>
        <w:t>后者就是约珥书中的醉酒的人</w:t>
      </w:r>
      <w:r>
        <w:rPr>
          <w:rFonts w:ascii="Times New Roman" w:hAnsi="Times New Roman" w:eastAsia="Times New Roman" w:cs="Times New Roman"/>
        </w:rPr>
        <w:t>;</w:t>
      </w:r>
      <w:r>
        <w:rPr>
          <w:rFonts w:ascii="Microsoft YaHei" w:hAnsi="Microsoft YaHei" w:eastAsia="Microsoft YaHei" w:cs="Microsoft YaHei"/>
        </w:rPr>
        <w:t>他们醒来时</w:t>
      </w:r>
      <w:r>
        <w:rPr>
          <w:rFonts w:ascii="Times New Roman" w:hAnsi="Times New Roman" w:eastAsia="Times New Roman" w:cs="Times New Roman"/>
        </w:rPr>
        <w:t>,</w:t>
      </w:r>
      <w:r>
        <w:rPr>
          <w:rFonts w:ascii="Microsoft YaHei" w:hAnsi="Microsoft YaHei" w:eastAsia="Microsoft YaHei" w:cs="Microsoft YaHei"/>
        </w:rPr>
        <w:t>发现酒</w:t>
      </w:r>
      <w:r>
        <w:rPr>
          <w:rFonts w:ascii="Times New Roman" w:hAnsi="Times New Roman" w:eastAsia="Times New Roman" w:cs="Times New Roman"/>
        </w:rPr>
        <w:t>——</w:t>
      </w:r>
      <w:r>
        <w:rPr>
          <w:rFonts w:ascii="Microsoft YaHei" w:hAnsi="Microsoft YaHei" w:eastAsia="Microsoft YaHei" w:cs="Microsoft YaHei"/>
        </w:rPr>
        <w:t>作为教义的象征</w:t>
      </w:r>
      <w:r>
        <w:rPr>
          <w:rFonts w:ascii="Times New Roman" w:hAnsi="Times New Roman" w:eastAsia="Times New Roman" w:cs="Times New Roman"/>
        </w:rPr>
        <w:t>——</w:t>
      </w:r>
      <w:r>
        <w:rPr>
          <w:rFonts w:ascii="Microsoft YaHei" w:hAnsi="Microsoft YaHei" w:eastAsia="Microsoft YaHei" w:cs="Microsoft YaHei"/>
        </w:rPr>
        <w:t>已从他们口中断绝</w:t>
      </w:r>
      <w:r>
        <w:rPr>
          <w:rFonts w:ascii="Times New Roman" w:hAnsi="Times New Roman" w:eastAsia="Times New Roman" w:cs="Times New Roman"/>
        </w:rPr>
        <w:t>.</w:t>
      </w:r>
      <w:r>
        <w:rPr>
          <w:rFonts w:ascii="Microsoft YaHei" w:hAnsi="Microsoft YaHei" w:eastAsia="Microsoft YaHei" w:cs="Microsoft YaHei"/>
        </w:rPr>
        <w:t>他们也是以赛亚书中以法莲的醉酒之人</w:t>
      </w:r>
      <w:r>
        <w:rPr>
          <w:rFonts w:ascii="Times New Roman" w:hAnsi="Times New Roman" w:eastAsia="Times New Roman" w:cs="Times New Roman"/>
        </w:rPr>
        <w:t>,</w:t>
      </w:r>
      <w:r>
        <w:rPr>
          <w:rFonts w:ascii="Microsoft YaHei" w:hAnsi="Microsoft YaHei" w:eastAsia="Microsoft YaHei" w:cs="Microsoft YaHei"/>
        </w:rPr>
        <w:t>辖管耶路撒冷</w:t>
      </w:r>
      <w:r>
        <w:rPr>
          <w:rFonts w:ascii="Times New Roman" w:hAnsi="Times New Roman" w:eastAsia="Times New Roman" w:cs="Times New Roman"/>
        </w:rPr>
        <w:t>,</w:t>
      </w:r>
      <w:r>
        <w:rPr>
          <w:rFonts w:ascii="Microsoft YaHei" w:hAnsi="Microsoft YaHei" w:eastAsia="Microsoft YaHei" w:cs="Microsoft YaHei"/>
        </w:rPr>
        <w:t>却不能明白那封住的书卷</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Malheur à la couronne d’orgueil, aux ivrognes d’Éphraïm, dont la glorieuse beauté est une fleur qui se fane, placée sur le sommet des grasses vallées de ceux qui sont vaincus par le vin ! Voici, le Seigneur a un homme puissant et fort, qui, tel une tempête de grêle et un ouragan destructeur, tel un déluge d’eaux puissantes débordantes, la jettera par terre avec force. La couronne d’orgueil, les ivrognes d’Éphraïm, sera foulée aux pieds…. Arrêtez-vous, et soyez dans l’étonnement ; poussez des cris, et criez : ils sont ivres, mais non de vin ; ils chancellent, mais non sous l’effet des boissons fortes…. C’est pourquoi écoutez la parole du Seigneur, hommes moqueurs, qui gouvernez ce peuple qui est à Jérusalem. Car le Seigneur a répandu sur vous un esprit de profond sommeil, et il a fermé vos yeux : les prophètes et vos chefs, les voyants, il les a couverts. Et toute vision est devenue pour vous comme les paroles d’un livre scellé, qu’on remet à un homme instruit, en disant : Lis ceci, je te prie ; et il dit : Je ne le puis, car il est scellé. Et l’on remet le livre à celui qui n’est pas instruit, en disant : Lis ceci, je te prie ; et il dit : Je ne suis pas instruit. Ésaïe 28:1–3, 14 ; 29:9–12.</w:t>
      </w:r>
    </w:p>
    <w:p>
      <w:pPr>
        <w:pStyle w:val="ArticleBody"/>
        <w:jc w:val="left"/>
      </w:pPr>
      <w:r>
        <w:rPr>
          <w:rFonts w:ascii="Times New Roman" w:hAnsi="Times New Roman" w:eastAsia="Times New Roman" w:cs="Times New Roman"/>
        </w:rPr>
        <w:t>L’argument d’Habacuc entre les ivrognes d’Éphraïm et ceux qui marchent par la foi en la parole prophétique de Dieu est expressément identifié comme le débat portant sur la méthodologie correcte par opposition à la méthodologie erronée dans le témoignage d’Ésaïe, car Ésaïe précise que c’est la méthodologie du « précepte sur précepte » qui fait trébucher les ivrognes et les fait entrer dans une alliance avec la mort.</w:t>
      </w:r>
    </w:p>
    <w:p>
      <w:pPr>
        <w:pStyle w:val="ArticleScripture"/>
        <w:jc w:val="left"/>
      </w:pP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दाखरसक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भटकि</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मदिरासँ</w:t>
      </w:r>
      <w:r>
        <w:rPr>
          <w:rFonts w:ascii="Times New Roman" w:hAnsi="Times New Roman" w:eastAsia="Times New Roman" w:cs="Times New Roman"/>
        </w:rPr>
        <w:t xml:space="preserve"> </w:t>
      </w:r>
      <w:r>
        <w:rPr>
          <w:rFonts w:ascii="Nirmala UI" w:hAnsi="Nirmala UI" w:eastAsia="Nirmala UI" w:cs="Nirmala UI"/>
        </w:rPr>
        <w:t>बाटसँ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मदिरासँ</w:t>
      </w:r>
      <w:r>
        <w:rPr>
          <w:rFonts w:ascii="Times New Roman" w:hAnsi="Times New Roman" w:eastAsia="Times New Roman" w:cs="Times New Roman"/>
        </w:rPr>
        <w:t xml:space="preserve"> </w:t>
      </w:r>
      <w:r>
        <w:rPr>
          <w:rFonts w:ascii="Nirmala UI" w:hAnsi="Nirmala UI" w:eastAsia="Nirmala UI" w:cs="Nirmala UI"/>
        </w:rPr>
        <w:t>भटकि</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दाखरससँ</w:t>
      </w:r>
      <w:r>
        <w:rPr>
          <w:rFonts w:ascii="Times New Roman" w:hAnsi="Times New Roman" w:eastAsia="Times New Roman" w:cs="Times New Roman"/>
        </w:rPr>
        <w:t xml:space="preserve"> </w:t>
      </w:r>
      <w:r>
        <w:rPr>
          <w:rFonts w:ascii="Nirmala UI" w:hAnsi="Nirmala UI" w:eastAsia="Nirmala UI" w:cs="Nirmala UI"/>
        </w:rPr>
        <w:t>निगलि</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मदिराक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बाटसँ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दर्शनमे</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निर्णयमे</w:t>
      </w:r>
      <w:r>
        <w:rPr>
          <w:rFonts w:ascii="Times New Roman" w:hAnsi="Times New Roman" w:eastAsia="Times New Roman" w:cs="Times New Roman"/>
        </w:rPr>
        <w:t xml:space="preserve"> </w:t>
      </w:r>
      <w:r>
        <w:rPr>
          <w:rFonts w:ascii="Nirmala UI" w:hAnsi="Nirmala UI" w:eastAsia="Nirmala UI" w:cs="Nirmala UI"/>
        </w:rPr>
        <w:t>ठोकर</w:t>
      </w:r>
      <w:r>
        <w:rPr>
          <w:rFonts w:ascii="Times New Roman" w:hAnsi="Times New Roman" w:eastAsia="Times New Roman" w:cs="Times New Roman"/>
        </w:rPr>
        <w:t xml:space="preserve"> </w:t>
      </w:r>
      <w:r>
        <w:rPr>
          <w:rFonts w:ascii="Nirmala UI" w:hAnsi="Nirmala UI" w:eastAsia="Nirmala UI" w:cs="Nirmala UI"/>
        </w:rPr>
        <w:t>खाइत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सभटा</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वमन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मलिनतासँ</w:t>
      </w:r>
      <w:r>
        <w:rPr>
          <w:rFonts w:ascii="Times New Roman" w:hAnsi="Times New Roman" w:eastAsia="Times New Roman" w:cs="Times New Roman"/>
        </w:rPr>
        <w:t xml:space="preserve"> </w:t>
      </w:r>
      <w:r>
        <w:rPr>
          <w:rFonts w:ascii="Nirmala UI" w:hAnsi="Nirmala UI" w:eastAsia="Nirmala UI" w:cs="Nirmala UI"/>
        </w:rPr>
        <w:t>भरल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स्वच्छ</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बचल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ककरा</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सिखाओत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ककरा</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बुझाओत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तिनकाहि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दूधसँ</w:t>
      </w:r>
      <w:r>
        <w:rPr>
          <w:rFonts w:ascii="Times New Roman" w:hAnsi="Times New Roman" w:eastAsia="Times New Roman" w:cs="Times New Roman"/>
        </w:rPr>
        <w:t xml:space="preserve"> </w:t>
      </w:r>
      <w:r>
        <w:rPr>
          <w:rFonts w:ascii="Nirmala UI" w:hAnsi="Nirmala UI" w:eastAsia="Nirmala UI" w:cs="Nirmala UI"/>
        </w:rPr>
        <w:t>छुड़ाओल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स्तनसँ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एतय</w:t>
      </w:r>
      <w:r>
        <w:rPr>
          <w:rFonts w:ascii="Times New Roman" w:hAnsi="Times New Roman" w:eastAsia="Times New Roman" w:cs="Times New Roman"/>
        </w:rPr>
        <w:t xml:space="preserve"> </w:t>
      </w:r>
      <w:r>
        <w:rPr>
          <w:rFonts w:ascii="Nirmala UI" w:hAnsi="Nirmala UI" w:eastAsia="Nirmala UI" w:cs="Nirmala UI"/>
        </w:rPr>
        <w:t>अल्प</w:t>
      </w:r>
      <w:r>
        <w:rPr>
          <w:rFonts w:ascii="Times New Roman" w:hAnsi="Times New Roman" w:eastAsia="Times New Roman" w:cs="Times New Roman"/>
        </w:rPr>
        <w:t xml:space="preserve">, </w:t>
      </w:r>
      <w:r>
        <w:rPr>
          <w:rFonts w:ascii="Nirmala UI" w:hAnsi="Nirmala UI" w:eastAsia="Nirmala UI" w:cs="Nirmala UI"/>
        </w:rPr>
        <w:t>ओतय</w:t>
      </w:r>
      <w:r>
        <w:rPr>
          <w:rFonts w:ascii="Times New Roman" w:hAnsi="Times New Roman" w:eastAsia="Times New Roman" w:cs="Times New Roman"/>
        </w:rPr>
        <w:t xml:space="preserve"> </w:t>
      </w:r>
      <w:r>
        <w:rPr>
          <w:rFonts w:ascii="Nirmala UI" w:hAnsi="Nirmala UI" w:eastAsia="Nirmala UI" w:cs="Nirmala UI"/>
        </w:rPr>
        <w:t>अल्प</w:t>
      </w:r>
      <w:r>
        <w:rPr>
          <w:rFonts w:ascii="Times New Roman" w:hAnsi="Times New Roman" w:eastAsia="Times New Roman" w:cs="Times New Roman"/>
        </w:rPr>
        <w:t xml:space="preserve"> </w:t>
      </w:r>
      <w:r>
        <w:rPr>
          <w:rFonts w:ascii="Nirmala UI" w:hAnsi="Nirmala UI" w:eastAsia="Nirmala UI" w:cs="Nirmala UI"/>
        </w:rPr>
        <w:t>होयब</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हकलायल</w:t>
      </w:r>
      <w:r>
        <w:rPr>
          <w:rFonts w:ascii="Times New Roman" w:hAnsi="Times New Roman" w:eastAsia="Times New Roman" w:cs="Times New Roman"/>
        </w:rPr>
        <w:t xml:space="preserve"> </w:t>
      </w:r>
      <w:r>
        <w:rPr>
          <w:rFonts w:ascii="Nirmala UI" w:hAnsi="Nirmala UI" w:eastAsia="Nirmala UI" w:cs="Nirmala UI"/>
        </w:rPr>
        <w:t>ओंठसँ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भाषामे</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लोकसभसँ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करताह।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सभसँ</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कहलनि</w:t>
      </w:r>
      <w:r>
        <w:rPr>
          <w:rFonts w:ascii="Times New Roman" w:hAnsi="Times New Roman" w:eastAsia="Times New Roman" w:cs="Times New Roman"/>
        </w:rPr>
        <w:t>,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क्लान्तकेँ</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तौओ</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सुनए</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चाहलनि।</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एतय</w:t>
      </w:r>
      <w:r>
        <w:rPr>
          <w:rFonts w:ascii="Times New Roman" w:hAnsi="Times New Roman" w:eastAsia="Times New Roman" w:cs="Times New Roman"/>
        </w:rPr>
        <w:t xml:space="preserve"> </w:t>
      </w:r>
      <w:r>
        <w:rPr>
          <w:rFonts w:ascii="Nirmala UI" w:hAnsi="Nirmala UI" w:eastAsia="Nirmala UI" w:cs="Nirmala UI"/>
        </w:rPr>
        <w:t>अल्प</w:t>
      </w:r>
      <w:r>
        <w:rPr>
          <w:rFonts w:ascii="Times New Roman" w:hAnsi="Times New Roman" w:eastAsia="Times New Roman" w:cs="Times New Roman"/>
        </w:rPr>
        <w:t xml:space="preserve">, </w:t>
      </w:r>
      <w:r>
        <w:rPr>
          <w:rFonts w:ascii="Nirmala UI" w:hAnsi="Nirmala UI" w:eastAsia="Nirmala UI" w:cs="Nirmala UI"/>
        </w:rPr>
        <w:t>ओतय</w:t>
      </w:r>
      <w:r>
        <w:rPr>
          <w:rFonts w:ascii="Times New Roman" w:hAnsi="Times New Roman" w:eastAsia="Times New Roman" w:cs="Times New Roman"/>
        </w:rPr>
        <w:t xml:space="preserve"> </w:t>
      </w:r>
      <w:r>
        <w:rPr>
          <w:rFonts w:ascii="Nirmala UI" w:hAnsi="Nirmala UI" w:eastAsia="Nirmala UI" w:cs="Nirmala UI"/>
        </w:rPr>
        <w:t>अल्प</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खसि</w:t>
      </w:r>
      <w:r>
        <w:rPr>
          <w:rFonts w:ascii="Times New Roman" w:hAnsi="Times New Roman" w:eastAsia="Times New Roman" w:cs="Times New Roman"/>
        </w:rPr>
        <w:t xml:space="preserve"> </w:t>
      </w:r>
      <w:r>
        <w:rPr>
          <w:rFonts w:ascii="Nirmala UI" w:hAnsi="Nirmala UI" w:eastAsia="Nirmala UI" w:cs="Nirmala UI"/>
        </w:rPr>
        <w:t>पड़ए</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फँसि</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पकड़ल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उपहास</w:t>
      </w:r>
      <w:r>
        <w:rPr>
          <w:rFonts w:ascii="Times New Roman" w:hAnsi="Times New Roman" w:eastAsia="Times New Roman" w:cs="Times New Roman"/>
        </w:rPr>
        <w:t xml:space="preserve"> </w:t>
      </w:r>
      <w:r>
        <w:rPr>
          <w:rFonts w:ascii="Nirmala UI" w:hAnsi="Nirmala UI" w:eastAsia="Nirmala UI" w:cs="Nirmala UI"/>
        </w:rPr>
        <w:t>करनिहार</w:t>
      </w:r>
      <w:r>
        <w:rPr>
          <w:rFonts w:ascii="Times New Roman" w:hAnsi="Times New Roman" w:eastAsia="Times New Roman" w:cs="Times New Roman"/>
        </w:rPr>
        <w:t xml:space="preserve"> </w:t>
      </w:r>
      <w:r>
        <w:rPr>
          <w:rFonts w:ascii="Nirmala UI" w:hAnsi="Nirmala UI" w:eastAsia="Nirmala UI" w:cs="Nirmala UI"/>
        </w:rPr>
        <w:t>पुरुषसभ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यरूशलेममे</w:t>
      </w:r>
      <w:r>
        <w:rPr>
          <w:rFonts w:ascii="Times New Roman" w:hAnsi="Times New Roman" w:eastAsia="Times New Roman" w:cs="Times New Roman"/>
        </w:rPr>
        <w:t xml:space="preserve"> </w:t>
      </w:r>
      <w:r>
        <w:rPr>
          <w:rFonts w:ascii="Nirmala UI" w:hAnsi="Nirmala UI" w:eastAsia="Nirmala UI" w:cs="Nirmala UI"/>
        </w:rPr>
        <w:t>रहनिहार</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लोकपर</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कहलहुँ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मृत्युसँ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कयने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अधोलोकसँ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कयने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होयत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झूठकेँ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आश्रय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मिथ्याकेँ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अपनेँकेँ</w:t>
      </w:r>
      <w:r>
        <w:rPr>
          <w:rFonts w:ascii="Times New Roman" w:hAnsi="Times New Roman" w:eastAsia="Times New Roman" w:cs="Times New Roman"/>
        </w:rPr>
        <w:t xml:space="preserve"> </w:t>
      </w:r>
      <w:r>
        <w:rPr>
          <w:rFonts w:ascii="Nirmala UI" w:hAnsi="Nirmala UI" w:eastAsia="Nirmala UI" w:cs="Nirmala UI"/>
        </w:rPr>
        <w:t>नुकौने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28:7–15</w:t>
      </w:r>
      <w:r>
        <w:rPr>
          <w:rFonts w:ascii="Nirmala UI" w:hAnsi="Nirmala UI" w:eastAsia="Nirmala UI" w:cs="Nirmala UI"/>
        </w:rPr>
        <w:t>।</w:t>
      </w:r>
    </w:p>
    <w:p>
      <w:pPr>
        <w:pStyle w:val="ArticleBody"/>
        <w:jc w:val="left"/>
      </w:pPr>
      <w:r>
        <w:rPr>
          <w:rFonts w:ascii="Times New Roman" w:hAnsi="Times New Roman" w:eastAsia="Times New Roman" w:cs="Times New Roman"/>
        </w:rPr>
        <w:t>Хораз ҳааким Ҳабаққуқтың айтысына қойған нәрсенің не екенін, маскүнемдерге үкім алып келетінін көрсетеді: ол — іргетас тасы, Леуіліктердің жиырма алтыншы тарауындағы «жеті уақыт» еді; бұл Жәбірейіл мен періштелер Уильям Миллерді түсінуге жетелеген алғашқы уақыт туралы пайғамбарлық болатын.</w:t>
      </w:r>
    </w:p>
    <w:p>
      <w:pPr>
        <w:pStyle w:val="ArticleScripture"/>
        <w:jc w:val="left"/>
      </w:pPr>
      <w:r>
        <w:rPr>
          <w:rFonts w:ascii="Times New Roman" w:hAnsi="Times New Roman" w:eastAsia="Times New Roman" w:cs="Times New Roman"/>
        </w:rPr>
        <w:t>C’est pourquoi ainsi parle le Seigneur, l’Éternel : Voici, je mets pour fondement en Sion une pierre, une pierre éprouvée, une pierre angulaire précieuse, un solide fondement ; celui qui croit ne se hâtera point. Je ferai du jugement le cordeau, et de la justice le niveau ; la grêle emportera le refuge du mensonge, et les eaux inonderont la retraite cachée. Votre alliance avec la mort sera annulée, et votre pacte avec le séjour des morts ne subsistera pas ; quand le fléau débordant passera, vous serez foulés par lui. Ésaïe 28:16–18.</w:t>
      </w:r>
    </w:p>
    <w:p>
      <w:pPr>
        <w:pStyle w:val="ArticleBody"/>
        <w:jc w:val="left"/>
      </w:pPr>
      <w:r>
        <w:rPr>
          <w:rFonts w:ascii="Times New Roman" w:hAnsi="Times New Roman" w:eastAsia="Times New Roman" w:cs="Times New Roman"/>
        </w:rPr>
        <w:t>Poco después de que el Señor condujera a Su pueblo de regreso a las sendas antiguas, a partir del 11 de septiembre de 2001 hubo un grupo que había estado participando en el movimiento y que determinó que los cuatro insectos de Joel representaban al islam del tercer ay. Cuando la metodología de «línea sobre línea» fue abierta al pueblo de Dios en esa generación final, se reconoció una regla profética clave. Esa regla es la triple aplicación de la profecía, y el grupo que determinó que las cuatro generaciones de Joel representaban al islam del tercer ay aplicó incorrectamente la regla de la triple aplicación de la profecía para sostener su aplicación errónea.</w:t>
      </w:r>
    </w:p>
    <w:p>
      <w:pPr>
        <w:pStyle w:val="ArticleBody"/>
        <w:jc w:val="left"/>
      </w:pPr>
      <w:r>
        <w:rPr>
          <w:rFonts w:ascii="Times New Roman" w:hAnsi="Times New Roman" w:eastAsia="Times New Roman" w:cs="Times New Roman"/>
        </w:rPr>
        <w:t>Takavela hi nkarhi wa 2014, Sathana u pfumeleriwe ku nghena eka nhlangano lowu hi ajenda ya vumunhu bya rimbewu rin’we ya “woke” leyi humaka eBritain Lonkulu na le Australia, leyi sekeriseke ku hlasela ka yona ehenhla ka nhlamuselo ya mavunwa ya matimu lama yimeleriweke eka Daniele ndzimana ya khume na rin’we tindzimana ta sungula ku ya eka ta khume na ntlhanu. Varhangeri lava a va seketela vumunhu bya rimbewu rin’we, lava ngheneke hi vuxisi kutani va hlasela nhlangano lowu, eku heteleleni va vule leswaku Vuvadventista a byi fanele ku kombela ku rivaleriwa eka mupapa wa Rhoma, hikuva, hilaha swi vuriwaka hakona, byi endle swihehlo swa mavunwa eka nala wa Kriste, mupapa wa Rhoma. Xikongomelo xa ku hlasela loku a ku ri ku dlaya nhlangano lowu, naswona ngopfu-ngopfu ku tisa mpfilumpfilu eka ndzimana hinkwayo yoleyo (Daniele 11:1–15) laha “vaphangi va vanhu va wena” va tivisiwaka kona.</w:t>
      </w:r>
    </w:p>
    <w:p>
      <w:pPr>
        <w:pStyle w:val="ArticleBody"/>
        <w:jc w:val="left"/>
      </w:pPr>
      <w:r>
        <w:rPr>
          <w:rFonts w:ascii="Times New Roman" w:hAnsi="Times New Roman" w:eastAsia="Times New Roman" w:cs="Times New Roman"/>
        </w:rPr>
        <w:t>Todas estas controvérsias foram uma tentativa de Satanás de confundir o símbolo da Roma papal. Não há nada de novo debaixo do sol, segundo o homem mais sábio que já viveu. Hoje, a controvérsia volta a basear-se na identificação de Roma, simbolizada como “os roubadores do teu povo”. A nova e particular interpretação afirma que “os roubadores do teu povo” são os Estados Unidos, e, ao fazê-lo, evidentemente desconhecem que esta é exatamente a mesma controvérsia da primeiríssima controvérsia entre os mileritas e os protestantes, bem como o antigo dito atribuído ao autor do século dezesseis, John Heywood, que declara: “Não há nenhum tão cego como aquele que não quer ver.” Outra variação de sua frase é: “Ninguém é tão surdo como aquele que não quer ouvir.” Muito provavelmente, a maioria não sabe que esta frase é atribuída a Heywood, nem compreende que a frase de Heywood foi derivada de passagens bíblicas como as encontradas em Jeremias, em Isaías, e citadas por Jesus no Novo Testamento.</w:t>
      </w:r>
    </w:p>
    <w:p>
      <w:pPr>
        <w:pStyle w:val="ArticleScripture"/>
        <w:jc w:val="left"/>
      </w:pPr>
      <w:r>
        <w:rPr>
          <w:rFonts w:ascii="Times New Roman" w:hAnsi="Times New Roman" w:eastAsia="Times New Roman" w:cs="Times New Roman"/>
        </w:rPr>
        <w:t>Écoutez maintenant ceci, peuple insensé et dépourvu d’intelligence, qui avez des yeux et ne voyez point, qui avez des oreilles et n’entendez point. Jérémie 5:21.</w:t>
      </w:r>
    </w:p>
    <w:p>
      <w:pPr>
        <w:pStyle w:val="ArticleBody"/>
        <w:jc w:val="left"/>
      </w:pPr>
      <w:r>
        <w:rPr>
          <w:rFonts w:ascii="Times New Roman" w:hAnsi="Times New Roman" w:eastAsia="Times New Roman" w:cs="Times New Roman"/>
        </w:rPr>
        <w:t>Det var Daniels «ugudelige» og Matteus’ «u-kloke jomfruer» som ikke forstår «kunnskapens vekst». Kunnskapens vekst i 1989 var først og fremst erkjennelsen av at de siste seks versene i Daniel kapittel elleve identifiserer den endelige oppgangen og fallet til det pavelige, eller slik jeg betegnet det, det moderne Roma. Versene identifiserer De forente stater, men bare De forente staters forhold til den pavelige makt. De «ugudelige» og de «u-kloke» settes i kontrast til de «vise», og de vise i de siste dager har forståelse av kunnskapens vekst i 1989. De u-kloke er dem som har øyne, men ikke ser, og ører, men ikke hører.</w:t>
      </w:r>
    </w:p>
    <w:p>
      <w:pPr>
        <w:pStyle w:val="ArticleScripture"/>
        <w:jc w:val="left"/>
      </w:pPr>
      <w:r>
        <w:rPr>
          <w:rFonts w:ascii="Times New Roman" w:hAnsi="Times New Roman" w:eastAsia="Times New Roman" w:cs="Times New Roman"/>
        </w:rPr>
        <w:t>Aku juga mendengar suara Tuhan, firman-Nya: Siapakah yang akan Kuutus, dan siapakah yang mau pergi untuk Kami? Lalu aku menjawab: Ini aku, utuslah aku. Maka firman-Nya: Pergilah, dan katakanlah kepada bangsa ini: Memang kamu mendengar, tetapi tidak memahami; memang kamu melihat, tetapi tidak menangkap maknanya. Buatlah hati bangsa ini menjadi tebal, buatlah telinganya berat mendengar, dan pejamkanlah matanya; supaya jangan mereka melihat dengan matanya, dan mendengar dengan telinganya, dan memahami dengan hatinya, lalu berbalik dan menjadi sembuh. Yesaya 6:8–10.</w:t>
      </w:r>
    </w:p>
    <w:p>
      <w:pPr>
        <w:pStyle w:val="ArticleBody"/>
        <w:jc w:val="left"/>
      </w:pPr>
      <w:r>
        <w:rPr>
          <w:rFonts w:ascii="Times New Roman" w:hAnsi="Times New Roman" w:eastAsia="Times New Roman" w:cs="Times New Roman"/>
        </w:rPr>
        <w:t>Die in Jesaja Kapitel sechs Angesprochenen sind jene, die bekennen, sich in der Botschaft der „gegenwärtigen Wahrheit“ zu befinden, die am 11. September 2001 eintraf; denn Jesaja 6 kennzeichnet die Stelle als zu der Zeit geschehend, da „die Erde voll ist von der Herrlichkeit des Herrn“. Die Erde wurde mit der Herrlichkeit Gottes erleuchtet, als der Engel aus Offenbarung achtzehn herabkam, als die großen Gebäude von New York City durch eine Berührung Gottes niedergeworfen wurden.</w:t>
      </w:r>
    </w:p>
    <w:p>
      <w:pPr>
        <w:pStyle w:val="ArticleScripture"/>
        <w:jc w:val="left"/>
      </w:pPr>
      <w:r>
        <w:rPr>
          <w:rFonts w:ascii="Malgun Gothic" w:hAnsi="Malgun Gothic" w:eastAsia="Malgun Gothic" w:cs="Malgun Gothic"/>
        </w:rPr>
        <w:t>어왕</w:t>
      </w:r>
      <w:r>
        <w:rPr>
          <w:rFonts w:ascii="Times New Roman" w:hAnsi="Times New Roman" w:eastAsia="Times New Roman" w:cs="Times New Roman"/>
        </w:rPr>
        <w:t xml:space="preserve"> </w:t>
      </w:r>
      <w:r>
        <w:rPr>
          <w:rFonts w:ascii="Malgun Gothic" w:hAnsi="Malgun Gothic" w:eastAsia="Malgun Gothic" w:cs="Malgun Gothic"/>
        </w:rPr>
        <w:t>웃시야가</w:t>
      </w:r>
      <w:r>
        <w:rPr>
          <w:rFonts w:ascii="Times New Roman" w:hAnsi="Times New Roman" w:eastAsia="Times New Roman" w:cs="Times New Roman"/>
        </w:rPr>
        <w:t xml:space="preserve"> </w:t>
      </w:r>
      <w:r>
        <w:rPr>
          <w:rFonts w:ascii="Malgun Gothic" w:hAnsi="Malgun Gothic" w:eastAsia="Malgun Gothic" w:cs="Malgun Gothic"/>
        </w:rPr>
        <w:t>죽던</w:t>
      </w:r>
      <w:r>
        <w:rPr>
          <w:rFonts w:ascii="Times New Roman" w:hAnsi="Times New Roman" w:eastAsia="Times New Roman" w:cs="Times New Roman"/>
        </w:rPr>
        <w:t xml:space="preserve"> </w:t>
      </w:r>
      <w:r>
        <w:rPr>
          <w:rFonts w:ascii="Malgun Gothic" w:hAnsi="Malgun Gothic" w:eastAsia="Malgun Gothic" w:cs="Malgun Gothic"/>
        </w:rPr>
        <w:t>해에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보니</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높이</w:t>
      </w:r>
      <w:r>
        <w:rPr>
          <w:rFonts w:ascii="Times New Roman" w:hAnsi="Times New Roman" w:eastAsia="Times New Roman" w:cs="Times New Roman"/>
        </w:rPr>
        <w:t xml:space="preserve"> </w:t>
      </w:r>
      <w:r>
        <w:rPr>
          <w:rFonts w:ascii="Malgun Gothic" w:hAnsi="Malgun Gothic" w:eastAsia="Malgun Gothic" w:cs="Malgun Gothic"/>
        </w:rPr>
        <w:t>들린</w:t>
      </w:r>
      <w:r>
        <w:rPr>
          <w:rFonts w:ascii="Times New Roman" w:hAnsi="Times New Roman" w:eastAsia="Times New Roman" w:cs="Times New Roman"/>
        </w:rPr>
        <w:t xml:space="preserve"> </w:t>
      </w:r>
      <w:r>
        <w:rPr>
          <w:rFonts w:ascii="Malgun Gothic" w:hAnsi="Malgun Gothic" w:eastAsia="Malgun Gothic" w:cs="Malgun Gothic"/>
        </w:rPr>
        <w:t>보좌에</w:t>
      </w:r>
      <w:r>
        <w:rPr>
          <w:rFonts w:ascii="Times New Roman" w:hAnsi="Times New Roman" w:eastAsia="Times New Roman" w:cs="Times New Roman"/>
        </w:rPr>
        <w:t xml:space="preserve"> </w:t>
      </w:r>
      <w:r>
        <w:rPr>
          <w:rFonts w:ascii="Malgun Gothic" w:hAnsi="Malgun Gothic" w:eastAsia="Malgun Gothic" w:cs="Malgun Gothic"/>
        </w:rPr>
        <w:t>앉으셨는데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옷자락이</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가득하였더라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스랍들이</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있었는데</w:t>
      </w:r>
      <w:r>
        <w:rPr>
          <w:rFonts w:ascii="Times New Roman" w:hAnsi="Times New Roman" w:eastAsia="Times New Roman" w:cs="Times New Roman"/>
        </w:rPr>
        <w:t xml:space="preserve">, </w:t>
      </w:r>
      <w:r>
        <w:rPr>
          <w:rFonts w:ascii="Malgun Gothic" w:hAnsi="Malgun Gothic" w:eastAsia="Malgun Gothic" w:cs="Malgun Gothic"/>
        </w:rPr>
        <w:t>각기</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날개가</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둘로는</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얼굴을</w:t>
      </w:r>
      <w:r>
        <w:rPr>
          <w:rFonts w:ascii="Times New Roman" w:hAnsi="Times New Roman" w:eastAsia="Times New Roman" w:cs="Times New Roman"/>
        </w:rPr>
        <w:t xml:space="preserve"> </w:t>
      </w:r>
      <w:r>
        <w:rPr>
          <w:rFonts w:ascii="Malgun Gothic" w:hAnsi="Malgun Gothic" w:eastAsia="Malgun Gothic" w:cs="Malgun Gothic"/>
        </w:rPr>
        <w:t>가리고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둘로는</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발을</w:t>
      </w:r>
      <w:r>
        <w:rPr>
          <w:rFonts w:ascii="Times New Roman" w:hAnsi="Times New Roman" w:eastAsia="Times New Roman" w:cs="Times New Roman"/>
        </w:rPr>
        <w:t xml:space="preserve"> </w:t>
      </w:r>
      <w:r>
        <w:rPr>
          <w:rFonts w:ascii="Malgun Gothic" w:hAnsi="Malgun Gothic" w:eastAsia="Malgun Gothic" w:cs="Malgun Gothic"/>
        </w:rPr>
        <w:t>가리고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둘로는</w:t>
      </w:r>
      <w:r>
        <w:rPr>
          <w:rFonts w:ascii="Times New Roman" w:hAnsi="Times New Roman" w:eastAsia="Times New Roman" w:cs="Times New Roman"/>
        </w:rPr>
        <w:t xml:space="preserve"> </w:t>
      </w:r>
      <w:r>
        <w:rPr>
          <w:rFonts w:ascii="Malgun Gothic" w:hAnsi="Malgun Gothic" w:eastAsia="Malgun Gothic" w:cs="Malgun Gothic"/>
        </w:rPr>
        <w:t>날더라</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불러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거룩하다</w:t>
      </w:r>
      <w:r>
        <w:rPr>
          <w:rFonts w:ascii="Times New Roman" w:hAnsi="Times New Roman" w:eastAsia="Times New Roman" w:cs="Times New Roman"/>
        </w:rPr>
        <w:t xml:space="preserve">, </w:t>
      </w:r>
      <w:r>
        <w:rPr>
          <w:rFonts w:ascii="Malgun Gothic" w:hAnsi="Malgun Gothic" w:eastAsia="Malgun Gothic" w:cs="Malgun Gothic"/>
        </w:rPr>
        <w:t>거룩하다</w:t>
      </w:r>
      <w:r>
        <w:rPr>
          <w:rFonts w:ascii="Times New Roman" w:hAnsi="Times New Roman" w:eastAsia="Times New Roman" w:cs="Times New Roman"/>
        </w:rPr>
        <w:t xml:space="preserve">, </w:t>
      </w:r>
      <w:r>
        <w:rPr>
          <w:rFonts w:ascii="Malgun Gothic" w:hAnsi="Malgun Gothic" w:eastAsia="Malgun Gothic" w:cs="Malgun Gothic"/>
        </w:rPr>
        <w:t>거룩하다</w:t>
      </w:r>
      <w:r>
        <w:rPr>
          <w:rFonts w:ascii="Times New Roman" w:hAnsi="Times New Roman" w:eastAsia="Times New Roman" w:cs="Times New Roman"/>
        </w:rPr>
        <w:t xml:space="preserve">, </w:t>
      </w:r>
      <w:r>
        <w:rPr>
          <w:rFonts w:ascii="Malgun Gothic" w:hAnsi="Malgun Gothic" w:eastAsia="Malgun Gothic" w:cs="Malgun Gothic"/>
        </w:rPr>
        <w:t>만군의</w:t>
      </w:r>
      <w:r>
        <w:rPr>
          <w:rFonts w:ascii="Times New Roman" w:hAnsi="Times New Roman" w:eastAsia="Times New Roman" w:cs="Times New Roman"/>
        </w:rPr>
        <w:t xml:space="preserve"> </w:t>
      </w:r>
      <w:r>
        <w:rPr>
          <w:rFonts w:ascii="Malgun Gothic" w:hAnsi="Malgun Gothic" w:eastAsia="Malgun Gothic" w:cs="Malgun Gothic"/>
        </w:rPr>
        <w:t>여호와여</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영광이</w:t>
      </w:r>
      <w:r>
        <w:rPr>
          <w:rFonts w:ascii="Times New Roman" w:hAnsi="Times New Roman" w:eastAsia="Times New Roman" w:cs="Times New Roman"/>
        </w:rPr>
        <w:t xml:space="preserve"> </w:t>
      </w:r>
      <w:r>
        <w:rPr>
          <w:rFonts w:ascii="Malgun Gothic" w:hAnsi="Malgun Gothic" w:eastAsia="Malgun Gothic" w:cs="Malgun Gothic"/>
        </w:rPr>
        <w:t>충만하도다</w:t>
      </w:r>
      <w:r>
        <w:rPr>
          <w:rFonts w:ascii="Times New Roman" w:hAnsi="Times New Roman" w:eastAsia="Times New Roman" w:cs="Times New Roman"/>
        </w:rPr>
        <w:t xml:space="preserve">, </w:t>
      </w:r>
      <w:r>
        <w:rPr>
          <w:rFonts w:ascii="Malgun Gothic" w:hAnsi="Malgun Gothic" w:eastAsia="Malgun Gothic" w:cs="Malgun Gothic"/>
        </w:rPr>
        <w:t>하니라</w:t>
      </w:r>
      <w:r>
        <w:rPr>
          <w:rFonts w:ascii="Times New Roman" w:hAnsi="Times New Roman" w:eastAsia="Times New Roman" w:cs="Times New Roman"/>
        </w:rPr>
        <w:t xml:space="preserve">. </w:t>
      </w:r>
      <w:r>
        <w:rPr>
          <w:rFonts w:ascii="Malgun Gothic" w:hAnsi="Malgun Gothic" w:eastAsia="Malgun Gothic" w:cs="Malgun Gothic"/>
        </w:rPr>
        <w:t>외치는</w:t>
      </w:r>
      <w:r>
        <w:rPr>
          <w:rFonts w:ascii="Times New Roman" w:hAnsi="Times New Roman" w:eastAsia="Times New Roman" w:cs="Times New Roman"/>
        </w:rPr>
        <w:t xml:space="preserve"> </w:t>
      </w:r>
      <w:r>
        <w:rPr>
          <w:rFonts w:ascii="Malgun Gothic" w:hAnsi="Malgun Gothic" w:eastAsia="Malgun Gothic" w:cs="Malgun Gothic"/>
        </w:rPr>
        <w:t>자의</w:t>
      </w:r>
      <w:r>
        <w:rPr>
          <w:rFonts w:ascii="Times New Roman" w:hAnsi="Times New Roman" w:eastAsia="Times New Roman" w:cs="Times New Roman"/>
        </w:rPr>
        <w:t xml:space="preserve"> </w:t>
      </w:r>
      <w:r>
        <w:rPr>
          <w:rFonts w:ascii="Malgun Gothic" w:hAnsi="Malgun Gothic" w:eastAsia="Malgun Gothic" w:cs="Malgun Gothic"/>
        </w:rPr>
        <w:t>소리로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문지방의</w:t>
      </w:r>
      <w:r>
        <w:rPr>
          <w:rFonts w:ascii="Times New Roman" w:hAnsi="Times New Roman" w:eastAsia="Times New Roman" w:cs="Times New Roman"/>
        </w:rPr>
        <w:t xml:space="preserve"> </w:t>
      </w:r>
      <w:r>
        <w:rPr>
          <w:rFonts w:ascii="Malgun Gothic" w:hAnsi="Malgun Gothic" w:eastAsia="Malgun Gothic" w:cs="Malgun Gothic"/>
        </w:rPr>
        <w:t>터가</w:t>
      </w:r>
      <w:r>
        <w:rPr>
          <w:rFonts w:ascii="Times New Roman" w:hAnsi="Times New Roman" w:eastAsia="Times New Roman" w:cs="Times New Roman"/>
        </w:rPr>
        <w:t xml:space="preserve"> </w:t>
      </w:r>
      <w:r>
        <w:rPr>
          <w:rFonts w:ascii="Malgun Gothic" w:hAnsi="Malgun Gothic" w:eastAsia="Malgun Gothic" w:cs="Malgun Gothic"/>
        </w:rPr>
        <w:t>움직였고</w:t>
      </w:r>
      <w:r>
        <w:rPr>
          <w:rFonts w:ascii="Times New Roman" w:hAnsi="Times New Roman" w:eastAsia="Times New Roman" w:cs="Times New Roman"/>
        </w:rPr>
        <w:t xml:space="preserve">, </w:t>
      </w:r>
      <w:r>
        <w:rPr>
          <w:rFonts w:ascii="Malgun Gothic" w:hAnsi="Malgun Gothic" w:eastAsia="Malgun Gothic" w:cs="Malgun Gothic"/>
        </w:rPr>
        <w:t>성전에는</w:t>
      </w:r>
      <w:r>
        <w:rPr>
          <w:rFonts w:ascii="Times New Roman" w:hAnsi="Times New Roman" w:eastAsia="Times New Roman" w:cs="Times New Roman"/>
        </w:rPr>
        <w:t xml:space="preserve"> </w:t>
      </w:r>
      <w:r>
        <w:rPr>
          <w:rFonts w:ascii="Malgun Gothic" w:hAnsi="Malgun Gothic" w:eastAsia="Malgun Gothic" w:cs="Malgun Gothic"/>
        </w:rPr>
        <w:t>연기가</w:t>
      </w:r>
      <w:r>
        <w:rPr>
          <w:rFonts w:ascii="Times New Roman" w:hAnsi="Times New Roman" w:eastAsia="Times New Roman" w:cs="Times New Roman"/>
        </w:rPr>
        <w:t xml:space="preserve"> </w:t>
      </w:r>
      <w:r>
        <w:rPr>
          <w:rFonts w:ascii="Malgun Gothic" w:hAnsi="Malgun Gothic" w:eastAsia="Malgun Gothic" w:cs="Malgun Gothic"/>
        </w:rPr>
        <w:t>가득하였더라</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6:1–4.</w:t>
      </w:r>
    </w:p>
    <w:p>
      <w:pPr>
        <w:pStyle w:val="ArticleBody"/>
        <w:jc w:val="left"/>
      </w:pPr>
      <w:r>
        <w:rPr>
          <w:rFonts w:ascii="Times New Roman" w:hAnsi="Times New Roman" w:eastAsia="Times New Roman" w:cs="Times New Roman"/>
        </w:rPr>
        <w:t>Ua opæa e Sister White le folafolaga a le agelu i le mea na tupu lea e faailogaina ai le taimi e faatumu ai e le agelu o le Faaaliga mataupu e sefulu ma le valu le lalolagi i lona mamalu.</w:t>
      </w:r>
    </w:p>
    <w:p>
      <w:pPr>
        <w:pStyle w:val="ArticleScripture"/>
        <w:jc w:val="left"/>
      </w:pPr>
      <w:r>
        <w:rPr>
          <w:rFonts w:ascii="Times New Roman" w:hAnsi="Times New Roman" w:eastAsia="Times New Roman" w:cs="Times New Roman"/>
        </w:rPr>
        <w:t>«اَللہ تعالیٰ جب یسعیاہ کو اپنی قوم کے پاس ایک پیغام دے کر بھیجنے والا تھا، تو اُس نے پہلے نبی کو رویا میں مقدِس کے اندر اقدس الاقداس کی طرف دیکھنے کی اجازت دی۔ اچانک ہیکل کا پھاٹک اور اندرونی پردہ گویا اوپر اٹھا لیا گیا یا ہٹا دیا گیا، اور اُسے اندر، اقدس الاقداس پر نگاہ کرنے کی اجازت ملی، جہاں خود نبی کے قدم بھی داخل نہیں ہو سکتے تھے۔ اُس کے سامنے یہوواہ کا ایک رویا نمودار ہوا کہ وہ ایک بلند اور برتر تخت پر متمکن ہے، اور اُس کے جلال کا دامن ہیکل کو بھرے ہوئے ہے۔ تخت کے گرد سرافیم تھے، جیسے اُس عظیم بادشاہ کے گرد محافظ ہوتے ہیں، اور وہ اُس جلال کو منعکس کر رہے تھے جو اُنہیں گھیرے ہوئے تھا۔ جب اُن کے حمد کے نغمے تعظیم کے گہرے سُروں میں گونجے، تو پھاٹک کے ستون لرز اٹھے، گویا زلزلہ سے ہلا دیے گئے ہوں۔ یہ فرشتے، جن کے ہونٹ گناہ کی آلودگی سے پاک تھے، خدا کی ستائش انڈیلی جا رہے تھے۔ ’’قدوس، قدوس، قدوس، ربُّ الافواج ہے،‘‘ وہ پکارے؛ ’’تمام زمین اُس کے جلال سے معمور ہے۔‘‘ [دیکھیے یسعیاہ 6:1–8.]»</w:t>
      </w:r>
    </w:p>
    <w:p>
      <w:pPr>
        <w:pStyle w:val="ArticleScripture"/>
        <w:jc w:val="left"/>
      </w:pPr>
      <w:r>
        <w:rPr>
          <w:rFonts w:ascii="Times New Roman" w:hAnsi="Times New Roman" w:eastAsia="Times New Roman" w:cs="Times New Roman"/>
        </w:rPr>
        <w:t>Les séraphins qui entourent le trône sont à ce point pénétrés d’une crainte révérencielle tandis qu’ils contemplent la gloire de Dieu, qu’ils ne se considèrent pas un seul instant avec admiration. Leur louange s’adresse au Seigneur des armées. Lorsqu’ils portent leurs regards vers l’avenir, où la terre entière sera remplie de Sa gloire, le chant triomphal se répercute de l’un à l’autre en une mélodieuse cantilène : « Saint, saint, saint est le Seigneur des armées. » Gospel Workers, 21.</w:t>
      </w:r>
    </w:p>
    <w:p>
      <w:pPr>
        <w:pStyle w:val="ArticleBody"/>
        <w:jc w:val="left"/>
      </w:pPr>
      <w:r>
        <w:rPr>
          <w:rFonts w:ascii="Nirmala UI" w:hAnsi="Nirmala UI" w:eastAsia="Nirmala UI" w:cs="Nirmala UI"/>
        </w:rPr>
        <w:t>యెషయా</w:t>
      </w:r>
      <w:r>
        <w:rPr>
          <w:rFonts w:ascii="Times New Roman" w:hAnsi="Times New Roman" w:eastAsia="Times New Roman" w:cs="Times New Roman"/>
        </w:rPr>
        <w:t xml:space="preserve">, 2001 </w:t>
      </w:r>
      <w:r>
        <w:rPr>
          <w:rFonts w:ascii="Nirmala UI" w:hAnsi="Nirmala UI" w:eastAsia="Nirmala UI" w:cs="Nirmala UI"/>
        </w:rPr>
        <w:t>సెప్టెంబర్</w:t>
      </w:r>
      <w:r>
        <w:rPr>
          <w:rFonts w:ascii="Times New Roman" w:hAnsi="Times New Roman" w:eastAsia="Times New Roman" w:cs="Times New Roman"/>
        </w:rPr>
        <w:t xml:space="preserve"> 11</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ప్రారంభమైన</w:t>
      </w:r>
      <w:r>
        <w:rPr>
          <w:rFonts w:ascii="Times New Roman" w:hAnsi="Times New Roman" w:eastAsia="Times New Roman" w:cs="Times New Roman"/>
        </w:rPr>
        <w:t xml:space="preserve"> </w:t>
      </w:r>
      <w:r>
        <w:rPr>
          <w:rFonts w:ascii="Nirmala UI" w:hAnsi="Nirmala UI" w:eastAsia="Nirmala UI" w:cs="Nirmala UI"/>
        </w:rPr>
        <w:t>ముద్రణకాలములో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ప్రాతినిధ్యం</w:t>
      </w:r>
      <w:r>
        <w:rPr>
          <w:rFonts w:ascii="Times New Roman" w:hAnsi="Times New Roman" w:eastAsia="Times New Roman" w:cs="Times New Roman"/>
        </w:rPr>
        <w:t xml:space="preserve"> </w:t>
      </w:r>
      <w:r>
        <w:rPr>
          <w:rFonts w:ascii="Nirmala UI" w:hAnsi="Nirmala UI" w:eastAsia="Nirmala UI" w:cs="Nirmala UI"/>
        </w:rPr>
        <w:t>వహించుచు</w:t>
      </w:r>
      <w:r>
        <w:rPr>
          <w:rFonts w:ascii="Times New Roman" w:hAnsi="Times New Roman" w:eastAsia="Times New Roman" w:cs="Times New Roman"/>
        </w:rPr>
        <w:t xml:space="preserve">, </w:t>
      </w:r>
      <w:r>
        <w:rPr>
          <w:rFonts w:ascii="Nirmala UI" w:hAnsi="Nirmala UI" w:eastAsia="Nirmala UI" w:cs="Nirmala UI"/>
        </w:rPr>
        <w:t>కన్నులు</w:t>
      </w:r>
      <w:r>
        <w:rPr>
          <w:rFonts w:ascii="Times New Roman" w:hAnsi="Times New Roman" w:eastAsia="Times New Roman" w:cs="Times New Roman"/>
        </w:rPr>
        <w:t xml:space="preserve"> </w:t>
      </w:r>
      <w:r>
        <w:rPr>
          <w:rFonts w:ascii="Nirmala UI" w:hAnsi="Nirmala UI" w:eastAsia="Nirmala UI" w:cs="Nirmala UI"/>
        </w:rPr>
        <w:t>కలిగియుండి</w:t>
      </w:r>
      <w:r>
        <w:rPr>
          <w:rFonts w:ascii="Times New Roman" w:hAnsi="Times New Roman" w:eastAsia="Times New Roman" w:cs="Times New Roman"/>
        </w:rPr>
        <w:t xml:space="preserve"> </w:t>
      </w:r>
      <w:r>
        <w:rPr>
          <w:rFonts w:ascii="Nirmala UI" w:hAnsi="Nirmala UI" w:eastAsia="Nirmala UI" w:cs="Nirmala UI"/>
        </w:rPr>
        <w:t>చూడుటకు</w:t>
      </w:r>
      <w:r>
        <w:rPr>
          <w:rFonts w:ascii="Times New Roman" w:hAnsi="Times New Roman" w:eastAsia="Times New Roman" w:cs="Times New Roman"/>
        </w:rPr>
        <w:t xml:space="preserve"> </w:t>
      </w:r>
      <w:r>
        <w:rPr>
          <w:rFonts w:ascii="Nirmala UI" w:hAnsi="Nirmala UI" w:eastAsia="Nirmala UI" w:cs="Nirmala UI"/>
        </w:rPr>
        <w:t>ఎంచుకోని</w:t>
      </w:r>
      <w:r>
        <w:rPr>
          <w:rFonts w:ascii="Times New Roman" w:hAnsi="Times New Roman" w:eastAsia="Times New Roman" w:cs="Times New Roman"/>
        </w:rPr>
        <w:t xml:space="preserve">, </w:t>
      </w:r>
      <w:r>
        <w:rPr>
          <w:rFonts w:ascii="Nirmala UI" w:hAnsi="Nirmala UI" w:eastAsia="Nirmala UI" w:cs="Nirmala UI"/>
        </w:rPr>
        <w:t>చెవులు</w:t>
      </w:r>
      <w:r>
        <w:rPr>
          <w:rFonts w:ascii="Times New Roman" w:hAnsi="Times New Roman" w:eastAsia="Times New Roman" w:cs="Times New Roman"/>
        </w:rPr>
        <w:t xml:space="preserve"> </w:t>
      </w:r>
      <w:r>
        <w:rPr>
          <w:rFonts w:ascii="Nirmala UI" w:hAnsi="Nirmala UI" w:eastAsia="Nirmala UI" w:cs="Nirmala UI"/>
        </w:rPr>
        <w:t>కలిగియుండి</w:t>
      </w:r>
      <w:r>
        <w:rPr>
          <w:rFonts w:ascii="Times New Roman" w:hAnsi="Times New Roman" w:eastAsia="Times New Roman" w:cs="Times New Roman"/>
        </w:rPr>
        <w:t xml:space="preserve"> </w:t>
      </w:r>
      <w:r>
        <w:rPr>
          <w:rFonts w:ascii="Nirmala UI" w:hAnsi="Nirmala UI" w:eastAsia="Nirmala UI" w:cs="Nirmala UI"/>
        </w:rPr>
        <w:t>వినుటకు</w:t>
      </w:r>
      <w:r>
        <w:rPr>
          <w:rFonts w:ascii="Times New Roman" w:hAnsi="Times New Roman" w:eastAsia="Times New Roman" w:cs="Times New Roman"/>
        </w:rPr>
        <w:t xml:space="preserve"> </w:t>
      </w:r>
      <w:r>
        <w:rPr>
          <w:rFonts w:ascii="Nirmala UI" w:hAnsi="Nirmala UI" w:eastAsia="Nirmala UI" w:cs="Nirmala UI"/>
        </w:rPr>
        <w:t>ఎంచుకోని</w:t>
      </w:r>
      <w:r>
        <w:rPr>
          <w:rFonts w:ascii="Times New Roman" w:hAnsi="Times New Roman" w:eastAsia="Times New Roman" w:cs="Times New Roman"/>
        </w:rPr>
        <w:t xml:space="preserve"> </w:t>
      </w:r>
      <w:r>
        <w:rPr>
          <w:rFonts w:ascii="Nirmala UI" w:hAnsi="Nirmala UI" w:eastAsia="Nirmala UI" w:cs="Nirmala UI"/>
        </w:rPr>
        <w:t>ప్రజలయొద్దకు</w:t>
      </w:r>
      <w:r>
        <w:rPr>
          <w:rFonts w:ascii="Times New Roman" w:hAnsi="Times New Roman" w:eastAsia="Times New Roman" w:cs="Times New Roman"/>
        </w:rPr>
        <w:t xml:space="preserve"> </w:t>
      </w:r>
      <w:r>
        <w:rPr>
          <w:rFonts w:ascii="Nirmala UI" w:hAnsi="Nirmala UI" w:eastAsia="Nirmala UI" w:cs="Nirmala UI"/>
        </w:rPr>
        <w:t>తీసికొనివెళ్లుటకై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ఆల్ఫా</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ఓమెగా</w:t>
      </w:r>
      <w:r>
        <w:rPr>
          <w:rFonts w:ascii="Times New Roman" w:hAnsi="Times New Roman" w:eastAsia="Times New Roman" w:cs="Times New Roman"/>
        </w:rPr>
        <w:t xml:space="preserve"> </w:t>
      </w:r>
      <w:r>
        <w:rPr>
          <w:rFonts w:ascii="Nirmala UI" w:hAnsi="Nirmala UI" w:eastAsia="Nirmala UI" w:cs="Nirmala UI"/>
        </w:rPr>
        <w:t>అయిన</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ముద్రణకాలమునకు</w:t>
      </w:r>
      <w:r>
        <w:rPr>
          <w:rFonts w:ascii="Times New Roman" w:hAnsi="Times New Roman" w:eastAsia="Times New Roman" w:cs="Times New Roman"/>
        </w:rPr>
        <w:t xml:space="preserve"> </w:t>
      </w:r>
      <w:r>
        <w:rPr>
          <w:rFonts w:ascii="Nirmala UI" w:hAnsi="Nirmala UI" w:eastAsia="Nirmala UI" w:cs="Nirmala UI"/>
        </w:rPr>
        <w:t>ఆరంభముతో</w:t>
      </w:r>
      <w:r>
        <w:rPr>
          <w:rFonts w:ascii="Times New Roman" w:hAnsi="Times New Roman" w:eastAsia="Times New Roman" w:cs="Times New Roman"/>
        </w:rPr>
        <w:t xml:space="preserve"> </w:t>
      </w:r>
      <w:r>
        <w:rPr>
          <w:rFonts w:ascii="Nirmala UI" w:hAnsi="Nirmala UI" w:eastAsia="Nirmala UI" w:cs="Nirmala UI"/>
        </w:rPr>
        <w:t>ముగింపును</w:t>
      </w:r>
      <w:r>
        <w:rPr>
          <w:rFonts w:ascii="Times New Roman" w:hAnsi="Times New Roman" w:eastAsia="Times New Roman" w:cs="Times New Roman"/>
        </w:rPr>
        <w:t xml:space="preserve"> </w:t>
      </w:r>
      <w:r>
        <w:rPr>
          <w:rFonts w:ascii="Nirmala UI" w:hAnsi="Nirmala UI" w:eastAsia="Nirmala UI" w:cs="Nirmala UI"/>
        </w:rPr>
        <w:t>చిత్రింపుచున్నాడు</w:t>
      </w:r>
      <w:r>
        <w:rPr>
          <w:rFonts w:ascii="Times New Roman" w:hAnsi="Times New Roman" w:eastAsia="Times New Roman" w:cs="Times New Roman"/>
        </w:rPr>
        <w:t xml:space="preserve">. </w:t>
      </w:r>
      <w:r>
        <w:rPr>
          <w:rFonts w:ascii="Nirmala UI" w:hAnsi="Nirmala UI" w:eastAsia="Nirmala UI" w:cs="Nirmala UI"/>
        </w:rPr>
        <w:t>ముగింపులోను</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సూచింపబడిన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చూడకను</w:t>
      </w:r>
      <w:r>
        <w:rPr>
          <w:rFonts w:ascii="Times New Roman" w:hAnsi="Times New Roman" w:eastAsia="Times New Roman" w:cs="Times New Roman"/>
        </w:rPr>
        <w:t xml:space="preserve"> </w:t>
      </w:r>
      <w:r>
        <w:rPr>
          <w:rFonts w:ascii="Nirmala UI" w:hAnsi="Nirmala UI" w:eastAsia="Nirmala UI" w:cs="Nirmala UI"/>
        </w:rPr>
        <w:t>వినకను</w:t>
      </w:r>
      <w:r>
        <w:rPr>
          <w:rFonts w:ascii="Times New Roman" w:hAnsi="Times New Roman" w:eastAsia="Times New Roman" w:cs="Times New Roman"/>
        </w:rPr>
        <w:t xml:space="preserve"> </w:t>
      </w:r>
      <w:r>
        <w:rPr>
          <w:rFonts w:ascii="Nirmala UI" w:hAnsi="Nirmala UI" w:eastAsia="Nirmala UI" w:cs="Nirmala UI"/>
        </w:rPr>
        <w:t>ఉండుటకే</w:t>
      </w:r>
      <w:r>
        <w:rPr>
          <w:rFonts w:ascii="Times New Roman" w:hAnsi="Times New Roman" w:eastAsia="Times New Roman" w:cs="Times New Roman"/>
        </w:rPr>
        <w:t xml:space="preserve"> </w:t>
      </w:r>
      <w:r>
        <w:rPr>
          <w:rFonts w:ascii="Nirmala UI" w:hAnsi="Nirmala UI" w:eastAsia="Nirmala UI" w:cs="Nirmala UI"/>
        </w:rPr>
        <w:t>ఎంచుకొనిన</w:t>
      </w:r>
      <w:r>
        <w:rPr>
          <w:rFonts w:ascii="Times New Roman" w:hAnsi="Times New Roman" w:eastAsia="Times New Roman" w:cs="Times New Roman"/>
        </w:rPr>
        <w:t xml:space="preserve"> </w:t>
      </w:r>
      <w:r>
        <w:rPr>
          <w:rFonts w:ascii="Nirmala UI" w:hAnsi="Nirmala UI" w:eastAsia="Nirmala UI" w:cs="Nirmala UI"/>
        </w:rPr>
        <w:t>ప్రజలయొద్దకు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తీసికొనివెళును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వేలమందికి</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శుద్ధీకరణను</w:t>
      </w:r>
      <w:r>
        <w:rPr>
          <w:rFonts w:ascii="Times New Roman" w:hAnsi="Times New Roman" w:eastAsia="Times New Roman" w:cs="Times New Roman"/>
        </w:rPr>
        <w:t xml:space="preserve"> </w:t>
      </w:r>
      <w:r>
        <w:rPr>
          <w:rFonts w:ascii="Nirmala UI" w:hAnsi="Nirmala UI" w:eastAsia="Nirmala UI" w:cs="Nirmala UI"/>
        </w:rPr>
        <w:t>కలుగజేయును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సత్యవాక్యములు</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ప్రవచనసాక్ష్యములోనుండి</w:t>
      </w:r>
      <w:r>
        <w:rPr>
          <w:rFonts w:ascii="Times New Roman" w:hAnsi="Times New Roman" w:eastAsia="Times New Roman" w:cs="Times New Roman"/>
        </w:rPr>
        <w:t xml:space="preserve"> </w:t>
      </w:r>
      <w:r>
        <w:rPr>
          <w:rFonts w:ascii="Nirmala UI" w:hAnsi="Nirmala UI" w:eastAsia="Nirmala UI" w:cs="Nirmala UI"/>
        </w:rPr>
        <w:t>తీసికొనివరబడినవి</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ప్రవచనసాక్ష్యమే</w:t>
      </w:r>
      <w:r>
        <w:rPr>
          <w:rFonts w:ascii="Times New Roman" w:hAnsi="Times New Roman" w:eastAsia="Times New Roman" w:cs="Times New Roman"/>
        </w:rPr>
        <w:t xml:space="preserve"> “</w:t>
      </w:r>
      <w:r>
        <w:rPr>
          <w:rFonts w:ascii="Nirmala UI" w:hAnsi="Nirmala UI" w:eastAsia="Nirmala UI" w:cs="Nirmala UI"/>
        </w:rPr>
        <w:t>దర్శనం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దొంగలు</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సూచింపబడిన</w:t>
      </w:r>
      <w:r>
        <w:rPr>
          <w:rFonts w:ascii="Times New Roman" w:hAnsi="Times New Roman" w:eastAsia="Times New Roman" w:cs="Times New Roman"/>
        </w:rPr>
        <w:t xml:space="preserve"> </w:t>
      </w:r>
      <w:r>
        <w:rPr>
          <w:rFonts w:ascii="Nirmala UI" w:hAnsi="Nirmala UI" w:eastAsia="Nirmala UI" w:cs="Nirmala UI"/>
        </w:rPr>
        <w:t>శక్తిచేత</w:t>
      </w:r>
      <w:r>
        <w:rPr>
          <w:rFonts w:ascii="Times New Roman" w:hAnsi="Times New Roman" w:eastAsia="Times New Roman" w:cs="Times New Roman"/>
        </w:rPr>
        <w:t xml:space="preserve"> </w:t>
      </w:r>
      <w:r>
        <w:rPr>
          <w:rFonts w:ascii="Nirmala UI" w:hAnsi="Nirmala UI" w:eastAsia="Nirmala UI" w:cs="Nirmala UI"/>
        </w:rPr>
        <w:t>స్థాపింపబడుచున్నది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maqala e landzelaka hi ta teka yin’wana ni yin’wana ya timholovo leti hi yi veka ehenhla ka yin’wana hi ndlela ya muti wa muti. Muti wa vaMillerite, muti wa Smith na White, muti wa “siku na siku”, muti wa “hosi ya le n’walungwini” hi 1989, muti wa switsotswana swa Yuwele, ni mholovo wa sweswi. Timholovo ta tsevu ta khale, leti loko ti langutiwa hi muti wa muti ti seketelaka hi ku vonakala ntiyiso wa mholovo wo sungula lowu kombisiweke eka chati ya vapfula-ndlela ya 1843. Ntiyiso wolowo hi leswaku Rhoma i “vaphangi va vanhu va wena”, lava titlakusaka, naswona lava waka, va tlhela va simeka xivono.</w:t>
      </w:r>
    </w:p>
    <w:p>
      <w:pPr>
        <w:pStyle w:val="ArticleScripture"/>
        <w:jc w:val="left"/>
      </w:pPr>
      <w:r>
        <w:rPr>
          <w:rFonts w:ascii="Times New Roman" w:hAnsi="Times New Roman" w:eastAsia="Times New Roman" w:cs="Times New Roman"/>
        </w:rPr>
        <w:t>«Nimeona ya kwamba chati ya mwaka 1843 iliongozwa na mkono wa Bwana, na kwamba haikupaswa kubadilishwa; kwamba tarakimu zile zilikuwa kama alivyotaka Yeye; kwamba mkono Wake ulikuwa juu yake na ulificha kosa katika baadhi ya tarakimu, ili hakuna mtu aweze kuliona, hata mkono Wake ulipoondolewa.» Early Writings, 74.</w:t>
      </w:r>
    </w:p>
    <w:p>
      <w:pPr>
        <w:pStyle w:val="ArticleBody"/>
        <w:jc w:val="left"/>
      </w:pPr>
      <w:r>
        <w:rPr>
          <w:rFonts w:ascii="Times New Roman" w:hAnsi="Times New Roman" w:eastAsia="Times New Roman" w:cs="Times New Roman"/>
        </w:rPr>
        <w:t>Jeter les vérités qui se trouvent sur cette carte, c’est rejeter en même temps l’autorité de l’Esprit de prophétie; et cette carte établit que c’est Rome, et non les États-Unis, qui fixe « la vision », cette vision au sujet de laquelle Salomon nous avertit que, sans elle, le peuple de Dieu périra.</w:t>
      </w:r>
    </w:p>
    <w:p>
      <w:pPr>
        <w:pStyle w:val="ArticleScripture"/>
        <w:jc w:val="left"/>
      </w:pPr>
      <w:r>
        <w:rPr>
          <w:rFonts w:ascii="Times New Roman" w:hAnsi="Times New Roman" w:eastAsia="Times New Roman" w:cs="Times New Roman"/>
        </w:rPr>
        <w:t>«Սատանան … շարունակաբար ներմուծում է կեղծը՝ ճշմարտությունից հեռացնելու համար։ Սատանայի ամենավերջին խաբեությունը լինելու է Աստծո Հոգու վկայությունը անվավեր դարձնելը։ «Որտեղ տեսիլք չկա, ժողովուրդը կորչում է» (Առակաց 29:18)։ Սատանան հմտորեն պիտի գործի՝ տարբեր կերպերով և տարբեր միջոցներով, որպեսզի սասանի Աստծո մնացորդ ժողովրդի վստահությունը ճշմարիտ վկայության հանդեպ։»</w:t>
      </w:r>
    </w:p>
    <w:p>
      <w:pPr>
        <w:pStyle w:val="ArticleScripture"/>
        <w:jc w:val="left"/>
      </w:pPr>
      <w:r>
        <w:rPr>
          <w:rFonts w:ascii="Times New Roman" w:hAnsi="Times New Roman" w:eastAsia="Times New Roman" w:cs="Times New Roman"/>
        </w:rPr>
        <w:t>“Ɗuumde mawnde ndee ndee e Testimonies ɗum waɗataama, ndee hayre Satana. Kuugal Satana maa waɗi nde hollita e jamirooje ɗeen e maaji, ngam ɗum: Satana waawaa heɓa laawol ɓurɗol laaɓde ngam naatnude e majjineeji maako e haɓɓude yonkiiji e majjine maako si reentondiral e tiindinol e sawrondiralaji Ruuhu Allah ɗiin ɗownaama.” Selected Messages, book 1, 48.</w:t>
      </w:r>
    </w:p>
    <w:p>
      <w:pPr>
        <w:pStyle w:val="ArticleScripture"/>
        <w:jc w:val="left"/>
      </w:pPr>
      <w:r>
        <w:rPr>
          <w:rFonts w:ascii="Times New Roman" w:hAnsi="Times New Roman" w:eastAsia="Times New Roman" w:cs="Times New Roman"/>
        </w:rPr>
        <w:t>« Cel Celui qui voit au-dessous de la surface, qui lit le cœur de tous les hommes, dit de ceux qui ont reçu une grande lumière : “Ils ne sont ni affligés ni consternés à cause de leur état moral et spirituel.” Oui, ils ont choisi leurs propres voies, et leur âme se complaît dans leurs abominations. Moi aussi, je choisirai leurs égarements, et je ferai venir sur eux ce qu’ils redoutent ; parce que, quand j’ai appelé, nul n’a répondu ; quand j’ai parlé, ils n’ont pas écouté ; mais ils ont fait ce qui est mal à mes yeux, et ils ont choisi ce qui ne me plaît pas.” “Dieu leur enverra une puissance d’égarement, pour qu’ils croient au mensonge”, parce qu’ils “n’ont pas reçu l’amour de la vérité, pour être sauvés”, “mais ont pris plaisir à l’injustice.” Ésaïe 66:3, 4 ; 2 Thessaloniciens 2:11, 10, 12.</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천상의</w:t>
      </w:r>
      <w:r>
        <w:rPr>
          <w:rFonts w:ascii="Times New Roman" w:hAnsi="Times New Roman" w:eastAsia="Times New Roman" w:cs="Times New Roman"/>
        </w:rPr>
        <w:t xml:space="preserve"> </w:t>
      </w:r>
      <w:r>
        <w:rPr>
          <w:rFonts w:ascii="Malgun Gothic" w:hAnsi="Malgun Gothic" w:eastAsia="Malgun Gothic" w:cs="Malgun Gothic"/>
        </w:rPr>
        <w:t>교사께서</w:t>
      </w:r>
      <w:r>
        <w:rPr>
          <w:rFonts w:ascii="Times New Roman" w:hAnsi="Times New Roman" w:eastAsia="Times New Roman" w:cs="Times New Roman"/>
        </w:rPr>
        <w:t xml:space="preserve"> </w:t>
      </w:r>
      <w:r>
        <w:rPr>
          <w:rFonts w:ascii="Malgun Gothic" w:hAnsi="Malgun Gothic" w:eastAsia="Malgun Gothic" w:cs="Malgun Gothic"/>
        </w:rPr>
        <w:t>물으셨다</w:t>
      </w:r>
      <w:r>
        <w:rPr>
          <w:rFonts w:ascii="Times New Roman" w:hAnsi="Times New Roman" w:eastAsia="Times New Roman" w:cs="Times New Roman"/>
        </w:rPr>
        <w:t>.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올바른</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세우고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너희의</w:t>
      </w:r>
      <w:r>
        <w:rPr>
          <w:rFonts w:ascii="Times New Roman" w:hAnsi="Times New Roman" w:eastAsia="Times New Roman" w:cs="Times New Roman"/>
        </w:rPr>
        <w:t xml:space="preserve"> </w:t>
      </w:r>
      <w:r>
        <w:rPr>
          <w:rFonts w:ascii="Malgun Gothic" w:hAnsi="Malgun Gothic" w:eastAsia="Malgun Gothic" w:cs="Malgun Gothic"/>
        </w:rPr>
        <w:t>행위를</w:t>
      </w:r>
      <w:r>
        <w:rPr>
          <w:rFonts w:ascii="Times New Roman" w:hAnsi="Times New Roman" w:eastAsia="Times New Roman" w:cs="Times New Roman"/>
        </w:rPr>
        <w:t xml:space="preserve"> </w:t>
      </w:r>
      <w:r>
        <w:rPr>
          <w:rFonts w:ascii="Malgun Gothic" w:hAnsi="Malgun Gothic" w:eastAsia="Malgun Gothic" w:cs="Malgun Gothic"/>
        </w:rPr>
        <w:t>받으신다고</w:t>
      </w:r>
      <w:r>
        <w:rPr>
          <w:rFonts w:ascii="Times New Roman" w:hAnsi="Times New Roman" w:eastAsia="Times New Roman" w:cs="Times New Roman"/>
        </w:rPr>
        <w:t xml:space="preserve"> </w:t>
      </w:r>
      <w:r>
        <w:rPr>
          <w:rFonts w:ascii="Malgun Gothic" w:hAnsi="Malgun Gothic" w:eastAsia="Malgun Gothic" w:cs="Malgun Gothic"/>
        </w:rPr>
        <w:t>가장하면서</w:t>
      </w:r>
      <w:r>
        <w:rPr>
          <w:rFonts w:ascii="Times New Roman" w:hAnsi="Times New Roman" w:eastAsia="Times New Roman" w:cs="Times New Roman"/>
        </w:rPr>
        <w:t xml:space="preserve">, </w:t>
      </w:r>
      <w:r>
        <w:rPr>
          <w:rFonts w:ascii="Malgun Gothic" w:hAnsi="Malgun Gothic" w:eastAsia="Malgun Gothic" w:cs="Malgun Gothic"/>
        </w:rPr>
        <w:t>실제로는</w:t>
      </w:r>
      <w:r>
        <w:rPr>
          <w:rFonts w:ascii="Times New Roman" w:hAnsi="Times New Roman" w:eastAsia="Times New Roman" w:cs="Times New Roman"/>
        </w:rPr>
        <w:t xml:space="preserve"> </w:t>
      </w:r>
      <w:r>
        <w:rPr>
          <w:rFonts w:ascii="Malgun Gothic" w:hAnsi="Malgun Gothic" w:eastAsia="Malgun Gothic" w:cs="Malgun Gothic"/>
        </w:rPr>
        <w:t>세속적</w:t>
      </w:r>
      <w:r>
        <w:rPr>
          <w:rFonts w:ascii="Times New Roman" w:hAnsi="Times New Roman" w:eastAsia="Times New Roman" w:cs="Times New Roman"/>
        </w:rPr>
        <w:t xml:space="preserve"> </w:t>
      </w:r>
      <w:r>
        <w:rPr>
          <w:rFonts w:ascii="Malgun Gothic" w:hAnsi="Malgun Gothic" w:eastAsia="Malgun Gothic" w:cs="Malgun Gothic"/>
        </w:rPr>
        <w:t>방침에</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행하며</w:t>
      </w:r>
      <w:r>
        <w:rPr>
          <w:rFonts w:ascii="Times New Roman" w:hAnsi="Times New Roman" w:eastAsia="Times New Roman" w:cs="Times New Roman"/>
        </w:rPr>
        <w:t xml:space="preserve"> </w:t>
      </w:r>
      <w:r>
        <w:rPr>
          <w:rFonts w:ascii="Malgun Gothic" w:hAnsi="Malgun Gothic" w:eastAsia="Malgun Gothic" w:cs="Malgun Gothic"/>
        </w:rPr>
        <w:t>여호와께</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짓고</w:t>
      </w:r>
      <w:r>
        <w:rPr>
          <w:rFonts w:ascii="Times New Roman" w:hAnsi="Times New Roman" w:eastAsia="Times New Roman" w:cs="Times New Roman"/>
        </w:rPr>
        <w:t xml:space="preserve"> </w:t>
      </w:r>
      <w:r>
        <w:rPr>
          <w:rFonts w:ascii="Malgun Gothic" w:hAnsi="Malgun Gothic" w:eastAsia="Malgun Gothic" w:cs="Malgun Gothic"/>
        </w:rPr>
        <w:t>있는데도</w:t>
      </w:r>
      <w:r>
        <w:rPr>
          <w:rFonts w:ascii="Times New Roman" w:hAnsi="Times New Roman" w:eastAsia="Times New Roman" w:cs="Times New Roman"/>
        </w:rPr>
        <w:t xml:space="preserve">, </w:t>
      </w:r>
      <w:r>
        <w:rPr>
          <w:rFonts w:ascii="Malgun Gothic" w:hAnsi="Malgun Gothic" w:eastAsia="Malgun Gothic" w:cs="Malgun Gothic"/>
        </w:rPr>
        <w:t>이보다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미혹하게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기만이</w:t>
      </w:r>
      <w:r>
        <w:rPr>
          <w:rFonts w:ascii="Times New Roman" w:hAnsi="Times New Roman" w:eastAsia="Times New Roman" w:cs="Times New Roman"/>
        </w:rPr>
        <w:t xml:space="preserve"> </w:t>
      </w:r>
      <w:r>
        <w:rPr>
          <w:rFonts w:ascii="Malgun Gothic" w:hAnsi="Malgun Gothic" w:eastAsia="Malgun Gothic" w:cs="Malgun Gothic"/>
        </w:rPr>
        <w:t>어디</w:t>
      </w:r>
      <w:r>
        <w:rPr>
          <w:rFonts w:ascii="Times New Roman" w:hAnsi="Times New Roman" w:eastAsia="Times New Roman" w:cs="Times New Roman"/>
        </w:rPr>
        <w:t xml:space="preserve"> </w:t>
      </w:r>
      <w:r>
        <w:rPr>
          <w:rFonts w:ascii="Malgun Gothic" w:hAnsi="Malgun Gothic" w:eastAsia="Malgun Gothic" w:cs="Malgun Gothic"/>
        </w:rPr>
        <w:t>있겠는가</w:t>
      </w:r>
      <w:r>
        <w:rPr>
          <w:rFonts w:ascii="Times New Roman" w:hAnsi="Times New Roman" w:eastAsia="Times New Roman" w:cs="Times New Roman"/>
        </w:rPr>
        <w:t xml:space="preserve">? </w:t>
      </w:r>
      <w:r>
        <w:rPr>
          <w:rFonts w:ascii="Malgun Gothic" w:hAnsi="Malgun Gothic" w:eastAsia="Malgun Gothic" w:cs="Malgun Gothic"/>
        </w:rPr>
        <w:t>오</w:t>
      </w:r>
      <w:r>
        <w:rPr>
          <w:rFonts w:ascii="Times New Roman" w:hAnsi="Times New Roman" w:eastAsia="Times New Roman" w:cs="Times New Roman"/>
        </w:rPr>
        <w:t xml:space="preserve">, </w:t>
      </w:r>
      <w:r>
        <w:rPr>
          <w:rFonts w:ascii="Malgun Gothic" w:hAnsi="Malgun Gothic" w:eastAsia="Malgun Gothic" w:cs="Malgun Gothic"/>
        </w:rPr>
        <w:t>한때</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알았던</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경건의</w:t>
      </w:r>
      <w:r>
        <w:rPr>
          <w:rFonts w:ascii="Times New Roman" w:hAnsi="Times New Roman" w:eastAsia="Times New Roman" w:cs="Times New Roman"/>
        </w:rPr>
        <w:t xml:space="preserve"> </w:t>
      </w:r>
      <w:r>
        <w:rPr>
          <w:rFonts w:ascii="Malgun Gothic" w:hAnsi="Malgun Gothic" w:eastAsia="Malgun Gothic" w:cs="Malgun Gothic"/>
        </w:rPr>
        <w:t>모양을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정신과</w:t>
      </w:r>
      <w:r>
        <w:rPr>
          <w:rFonts w:ascii="Times New Roman" w:hAnsi="Times New Roman" w:eastAsia="Times New Roman" w:cs="Times New Roman"/>
        </w:rPr>
        <w:t xml:space="preserve"> </w:t>
      </w:r>
      <w:r>
        <w:rPr>
          <w:rFonts w:ascii="Malgun Gothic" w:hAnsi="Malgun Gothic" w:eastAsia="Malgun Gothic" w:cs="Malgun Gothic"/>
        </w:rPr>
        <w:t>능력으로</w:t>
      </w:r>
      <w:r>
        <w:rPr>
          <w:rFonts w:ascii="Times New Roman" w:hAnsi="Times New Roman" w:eastAsia="Times New Roman" w:cs="Times New Roman"/>
        </w:rPr>
        <w:t xml:space="preserve"> </w:t>
      </w:r>
      <w:r>
        <w:rPr>
          <w:rFonts w:ascii="Malgun Gothic" w:hAnsi="Malgun Gothic" w:eastAsia="Malgun Gothic" w:cs="Malgun Gothic"/>
        </w:rPr>
        <w:t>오인할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부요하여</w:t>
      </w:r>
      <w:r>
        <w:rPr>
          <w:rFonts w:ascii="Times New Roman" w:hAnsi="Times New Roman" w:eastAsia="Times New Roman" w:cs="Times New Roman"/>
        </w:rPr>
        <w:t xml:space="preserve"> </w:t>
      </w:r>
      <w:r>
        <w:rPr>
          <w:rFonts w:ascii="Malgun Gothic" w:hAnsi="Malgun Gothic" w:eastAsia="Malgun Gothic" w:cs="Malgun Gothic"/>
        </w:rPr>
        <w:t>재물이</w:t>
      </w:r>
      <w:r>
        <w:rPr>
          <w:rFonts w:ascii="Times New Roman" w:hAnsi="Times New Roman" w:eastAsia="Times New Roman" w:cs="Times New Roman"/>
        </w:rPr>
        <w:t xml:space="preserve"> </w:t>
      </w:r>
      <w:r>
        <w:rPr>
          <w:rFonts w:ascii="Malgun Gothic" w:hAnsi="Malgun Gothic" w:eastAsia="Malgun Gothic" w:cs="Malgun Gothic"/>
        </w:rPr>
        <w:t>풍부하고</w:t>
      </w:r>
      <w:r>
        <w:rPr>
          <w:rFonts w:ascii="Times New Roman" w:hAnsi="Times New Roman" w:eastAsia="Times New Roman" w:cs="Times New Roman"/>
        </w:rPr>
        <w:t xml:space="preserve"> </w:t>
      </w:r>
      <w:r>
        <w:rPr>
          <w:rFonts w:ascii="Malgun Gothic" w:hAnsi="Malgun Gothic" w:eastAsia="Malgun Gothic" w:cs="Malgun Gothic"/>
        </w:rPr>
        <w:t>아무것도</w:t>
      </w:r>
      <w:r>
        <w:rPr>
          <w:rFonts w:ascii="Times New Roman" w:hAnsi="Times New Roman" w:eastAsia="Times New Roman" w:cs="Times New Roman"/>
        </w:rPr>
        <w:t xml:space="preserve"> </w:t>
      </w:r>
      <w:r>
        <w:rPr>
          <w:rFonts w:ascii="Malgun Gothic" w:hAnsi="Malgun Gothic" w:eastAsia="Malgun Gothic" w:cs="Malgun Gothic"/>
        </w:rPr>
        <w:t>부족한</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없다고</w:t>
      </w:r>
      <w:r>
        <w:rPr>
          <w:rFonts w:ascii="Times New Roman" w:hAnsi="Times New Roman" w:eastAsia="Times New Roman" w:cs="Times New Roman"/>
        </w:rPr>
        <w:t xml:space="preserve"> </w:t>
      </w:r>
      <w:r>
        <w:rPr>
          <w:rFonts w:ascii="Malgun Gothic" w:hAnsi="Malgun Gothic" w:eastAsia="Malgun Gothic" w:cs="Malgun Gothic"/>
        </w:rPr>
        <w:t>여기나</w:t>
      </w:r>
      <w:r>
        <w:rPr>
          <w:rFonts w:ascii="Times New Roman" w:hAnsi="Times New Roman" w:eastAsia="Times New Roman" w:cs="Times New Roman"/>
        </w:rPr>
        <w:t xml:space="preserve">, </w:t>
      </w:r>
      <w:r>
        <w:rPr>
          <w:rFonts w:ascii="Malgun Gothic" w:hAnsi="Malgun Gothic" w:eastAsia="Malgun Gothic" w:cs="Malgun Gothic"/>
        </w:rPr>
        <w:t>실제로는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부족한</w:t>
      </w:r>
      <w:r>
        <w:rPr>
          <w:rFonts w:ascii="Times New Roman" w:hAnsi="Times New Roman" w:eastAsia="Times New Roman" w:cs="Times New Roman"/>
        </w:rPr>
        <w:t xml:space="preserve"> </w:t>
      </w:r>
      <w:r>
        <w:rPr>
          <w:rFonts w:ascii="Malgun Gothic" w:hAnsi="Malgun Gothic" w:eastAsia="Malgun Gothic" w:cs="Malgun Gothic"/>
        </w:rPr>
        <w:t>상태에</w:t>
      </w:r>
      <w:r>
        <w:rPr>
          <w:rFonts w:ascii="Times New Roman" w:hAnsi="Times New Roman" w:eastAsia="Times New Roman" w:cs="Times New Roman"/>
        </w:rPr>
        <w:t xml:space="preserve"> </w:t>
      </w:r>
      <w:r>
        <w:rPr>
          <w:rFonts w:ascii="Malgun Gothic" w:hAnsi="Malgun Gothic" w:eastAsia="Malgun Gothic" w:cs="Malgun Gothic"/>
        </w:rPr>
        <w:t>있으면서도</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생각할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사로잡는</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기만이요</w:t>
      </w:r>
      <w:r>
        <w:rPr>
          <w:rFonts w:ascii="Times New Roman" w:hAnsi="Times New Roman" w:eastAsia="Times New Roman" w:cs="Times New Roman"/>
        </w:rPr>
        <w:t xml:space="preserve"> </w:t>
      </w:r>
      <w:r>
        <w:rPr>
          <w:rFonts w:ascii="Malgun Gothic" w:hAnsi="Malgun Gothic" w:eastAsia="Malgun Gothic" w:cs="Malgun Gothic"/>
        </w:rPr>
        <w:t>매혹적인</w:t>
      </w:r>
      <w:r>
        <w:rPr>
          <w:rFonts w:ascii="Times New Roman" w:hAnsi="Times New Roman" w:eastAsia="Times New Roman" w:cs="Times New Roman"/>
        </w:rPr>
        <w:t xml:space="preserve"> </w:t>
      </w:r>
      <w:r>
        <w:rPr>
          <w:rFonts w:ascii="Malgun Gothic" w:hAnsi="Malgun Gothic" w:eastAsia="Malgun Gothic" w:cs="Malgun Gothic"/>
        </w:rPr>
        <w:t>미혹이다</w:t>
      </w:r>
      <w:r>
        <w:rPr>
          <w:rFonts w:ascii="Times New Roman" w:hAnsi="Times New Roman" w:eastAsia="Times New Roman" w:cs="Times New Roman"/>
        </w:rPr>
        <w:t>.’”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Romo Ħazoŋ ka hoŋlɔ la - Number Four</dc:title>
  <dc:subject>Réactiver d’anciennes controverses : la bataille autour de l’interprétation prophétique dans l’adventisme</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