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Rum Qaqqabsiisa Mul’ata — Lakkoofsa Jaha</w:t>
      </w:r>
    </w:p>
    <w:p>
      <w:pPr>
        <w:pStyle w:val="ArticleSubtitle"/>
        <w:jc w:val="left"/>
      </w:pPr>
      <w:r>
        <w:rPr>
          <w:rFonts w:ascii="Arial" w:hAnsi="Arial" w:eastAsia="Arial" w:cs="Arial"/>
        </w:rPr>
        <w:t>Miwaworanlọ Tọdido Lẹdo-nukundiọsọ Dilo Mẹdevo lẹ Jẹhẹnu Adifẹntisti Tọn Mẹ: Mọgbẹnọ Nuyọnẹn jiji he ko yin lẹdo Uriah Smith po James White po lori Danieli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오늘날에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재림교회의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발생해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논쟁의</w:t>
      </w:r>
      <w:r>
        <w:rPr>
          <w:rFonts w:ascii="Times New Roman" w:hAnsi="Times New Roman" w:eastAsia="Times New Roman" w:cs="Times New Roman"/>
        </w:rPr>
        <w:t xml:space="preserve"> </w:t>
      </w:r>
      <w:r>
        <w:rPr>
          <w:rFonts w:ascii="Malgun Gothic" w:hAnsi="Malgun Gothic" w:eastAsia="Malgun Gothic" w:cs="Malgun Gothic"/>
        </w:rPr>
        <w:t>흐름을</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다루고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«Dans l’histoire et la prophétie, la Parole de Dieu dépeint le long conflit qui se prolonge entre la vérité et l’erreur. Ce conflit est encore en cours. Les choses qui ont été se répéteront. D’anciennes controverses renaîtront, et de nouvelles théories surgiront continuellement. Mais le peuple de Dieu, qui, dans sa croyance et dans l’accomplissement de la prophétie, a pris part à la proclamation des messages du premier, du deuxième et du troisième ange, sait où il se tient. Il possède une expérience plus précieuse que l’or fin. Il doit demeurer ferme comme un roc, retenant fermement jusqu’à la fin le commencement de sa confiance.» Messages choisis, livre 2, 109.</w:t>
      </w:r>
    </w:p>
    <w:p>
      <w:pPr>
        <w:pStyle w:val="ArticleBody"/>
        <w:jc w:val="left"/>
      </w:pPr>
      <w:r>
        <w:rPr>
          <w:rFonts w:ascii="Times New Roman" w:hAnsi="Times New Roman" w:eastAsia="Times New Roman" w:cs="Times New Roman"/>
        </w:rPr>
        <w:t>L’article précédent a traité de la première et de la dernière controverse concernant la puissance romaine, et nous allons maintenant aborder la controverse qui eut lieu entre Uriah Smith et James White. Uriah Smith a introduit sa propre « interprétation particulière » dans le verset trente-six.</w:t>
      </w:r>
    </w:p>
    <w:p>
      <w:pPr>
        <w:pStyle w:val="ArticleScripture"/>
        <w:jc w:val="left"/>
      </w:pPr>
      <w:r>
        <w:rPr>
          <w:rFonts w:ascii="Times New Roman" w:hAnsi="Times New Roman" w:eastAsia="Times New Roman" w:cs="Times New Roman"/>
        </w:rPr>
        <w:t>“VERSE 36. Og kongen skal gjøre etter sin vilje; og han skal opphøye seg selv og gjøre seg større enn hver gud, og skal tale forunderlige ting mot gudenes Gud, og han skal ha fremgang inntil vreden er fullbyrdet; for det som er fastsatt, skal bli gjort.</w:t>
      </w:r>
    </w:p>
    <w:p>
      <w:pPr>
        <w:pStyle w:val="ArticleScripture"/>
        <w:jc w:val="left"/>
      </w:pPr>
      <w:r>
        <w:rPr>
          <w:rFonts w:ascii="Times New Roman" w:hAnsi="Times New Roman" w:eastAsia="Times New Roman" w:cs="Times New Roman"/>
        </w:rPr>
        <w:t>“Ang hari na ipinakikilala rito ay hindi maaaring tumukoy sa kaparehong kapangyarihang huling nabanggit; samakatuwid nga, sa kapangyarihang papal; sapagkat ang mga tiyak na paglalarawan ay hindi aangkop kung iaangkop sa kapangyarihang yaon.” Uriah Smith, Daniel and the Revelation, 292.</w:t>
      </w:r>
    </w:p>
    <w:p>
      <w:pPr>
        <w:pStyle w:val="ArticleBody"/>
        <w:jc w:val="left"/>
      </w:pPr>
      <w:r>
        <w:rPr>
          <w:rFonts w:ascii="Times New Roman" w:hAnsi="Times New Roman" w:eastAsia="Times New Roman" w:cs="Times New Roman"/>
        </w:rPr>
        <w:t>Smith reconnait que la puissance mentionnée dans le verset précédent était « Rome papale », mais il prétend que les caractéristiques du verset trente-six ne sont pas des caractéristiques prophétiques qui identifient Rome papale. Cette affirmation est fausse. Il faut se rappeler que, dans la rébellion de 1863, les sept temps de Lévitique chapitre vingt-six furent mis de côté, et que, par conséquent, la représentation des sept temps dans les deux tables d’Habacuc fut rejetée. Les tableaux de 1843 et de 1850 illustrent tous deux les sept temps au centre même des tableaux, et ces deux illustrations placent la croix au centre de la ligne des sept temps. Lorsque la lumière nouvelle concernant les sept temps arriva en 1856 et fut ensuite rejetée, cela marqua un rejet des deux tables d’Habacuc, ainsi que de l’autorité de l’Esprit de Prophétie, qui identifie si clairement que les deux tableaux furent dirigés par Dieu.</w:t>
      </w:r>
    </w:p>
    <w:p>
      <w:pPr>
        <w:pStyle w:val="ArticleBody"/>
        <w:jc w:val="left"/>
      </w:pPr>
      <w:r>
        <w:rPr>
          <w:rFonts w:ascii="Times New Roman" w:hAnsi="Times New Roman" w:eastAsia="Times New Roman" w:cs="Times New Roman"/>
        </w:rPr>
        <w:t>Selon Sœur White, la dernière séduction de Satan consiste à rendre sans effet le témoignage de l’Esprit de Dieu; ici, la première séduction consistait à rendre sans effet le témoignage de l’Esprit de Dieu, et elle représentait aussi un rejet simultané des vérités fondamentales figurant sur les deux cartes, et plus particulièrement des sept temps.</w:t>
      </w:r>
    </w:p>
    <w:p>
      <w:pPr>
        <w:pStyle w:val="ArticleBody"/>
        <w:jc w:val="left"/>
      </w:pPr>
      <w:r>
        <w:rPr>
          <w:rFonts w:ascii="Nirmala UI" w:hAnsi="Nirmala UI" w:eastAsia="Nirmala UI" w:cs="Nirmala UI"/>
        </w:rPr>
        <w:t>ਇਸ</w:t>
      </w:r>
      <w:r>
        <w:rPr>
          <w:rFonts w:ascii="Times New Roman" w:hAnsi="Times New Roman" w:eastAsia="Times New Roman" w:cs="Times New Roman"/>
        </w:rPr>
        <w:t xml:space="preserve"> 1863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1863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ਉਰਿਆਹ</w:t>
      </w:r>
      <w:r>
        <w:rPr>
          <w:rFonts w:ascii="Times New Roman" w:hAnsi="Times New Roman" w:eastAsia="Times New Roman" w:cs="Times New Roman"/>
        </w:rPr>
        <w:t xml:space="preserve"> </w:t>
      </w:r>
      <w:r>
        <w:rPr>
          <w:rFonts w:ascii="Nirmala UI" w:hAnsi="Nirmala UI" w:eastAsia="Nirmala UI" w:cs="Nirmala UI"/>
        </w:rPr>
        <w:t>ਸਮਿਥ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1863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ਉਰਿਆਹ</w:t>
      </w:r>
      <w:r>
        <w:rPr>
          <w:rFonts w:ascii="Times New Roman" w:hAnsi="Times New Roman" w:eastAsia="Times New Roman" w:cs="Times New Roman"/>
        </w:rPr>
        <w:t xml:space="preserve"> </w:t>
      </w:r>
      <w:r>
        <w:rPr>
          <w:rFonts w:ascii="Nirmala UI" w:hAnsi="Nirmala UI" w:eastAsia="Nirmala UI" w:cs="Nirmala UI"/>
        </w:rPr>
        <w:t>ਸਮਿਥ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ਮੂੰਦ</w:t>
      </w:r>
      <w:r>
        <w:rPr>
          <w:rFonts w:ascii="Times New Roman" w:hAnsi="Times New Roman" w:eastAsia="Times New Roman" w:cs="Times New Roman"/>
        </w:rPr>
        <w:t xml:space="preserve"> </w:t>
      </w:r>
      <w:r>
        <w:rPr>
          <w:rFonts w:ascii="Nirmala UI" w:hAnsi="Nirmala UI" w:eastAsia="Nirmala UI" w:cs="Nirmala UI"/>
        </w:rPr>
        <w:t>ਲਈਆਂ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ਕਬੀਲਿਆਂ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723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677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ਹੋਇਆ।</w:t>
      </w:r>
    </w:p>
    <w:p>
      <w:pPr>
        <w:pStyle w:val="ArticleBody"/>
        <w:jc w:val="left"/>
      </w:pPr>
      <w:r>
        <w:rPr>
          <w:rFonts w:ascii="Times New Roman" w:hAnsi="Times New Roman" w:eastAsia="Times New Roman" w:cs="Times New Roman"/>
        </w:rPr>
        <w:t>Gabriel vint à Daniel, au chapitre huit, pour expliquer la vision de la marah, et, dans le cadre de cette œuvre, il fournit un second témoignage en faveur de 1844. Les deux mille trois cents années de Daniel chapitre huit prirent fin en 1844, mais il en alla de même pour la dernière des deux indignations dirigées contre les royaumes du nord et du sud.</w:t>
      </w:r>
    </w:p>
    <w:p>
      <w:pPr>
        <w:pStyle w:val="ArticleScripture"/>
        <w:jc w:val="left"/>
      </w:pPr>
      <w:r>
        <w:rPr>
          <w:rFonts w:ascii="Times New Roman" w:hAnsi="Times New Roman" w:eastAsia="Times New Roman" w:cs="Times New Roman"/>
        </w:rPr>
        <w:t>Na ka sɛe, Hwɛ, mɛma woahu nea ɛbɛba abufuw no awiei mu; efisɛ bere a wɔahyɛ no, awiei no bɛba. Daniel 8:19.</w:t>
      </w:r>
    </w:p>
    <w:p>
      <w:pPr>
        <w:pStyle w:val="ArticleBody"/>
        <w:jc w:val="left"/>
      </w:pP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पूर्वधारित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विनिर्देश</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Et le roi agira selon sa volonté; il s’élèvera, il se magnifiera au-dessus de tout dieu, et il proférera des choses extraordinaires contre le Dieu des dieux; et il prospérera jusqu’à ce que l’indignation soit accomplie; car ce qui est arrêté s’accomplira. Daniel 11:36.</w:t>
      </w:r>
    </w:p>
    <w:p>
      <w:pPr>
        <w:pStyle w:val="ArticleBody"/>
        <w:jc w:val="left"/>
      </w:pPr>
      <w:r>
        <w:rPr>
          <w:rFonts w:ascii="Times New Roman" w:hAnsi="Times New Roman" w:eastAsia="Times New Roman" w:cs="Times New Roman"/>
        </w:rPr>
        <w:t>„Die Königsmacht“ in Vers sechsunddreißig würde „gedeihen, bis der Zorn vollendet ist“. Beachten Sie, was Smith über Daniel Kapitel acht, Verse dreiundzwanzig und vierundzwanzig in demselben Buch schreibt, in dem er behauptet, die päpstliche Macht besitze nicht die rechten Merkmale, um Vers sechsunddreißig zu erfüllen.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គម្ពីរខ</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ហើយនៅក្នុងគ្រាចុងក្រោយនៃនគររបស់ពួកគេ</w:t>
      </w:r>
      <w:r>
        <w:rPr>
          <w:rFonts w:ascii="Times New Roman" w:hAnsi="Times New Roman" w:eastAsia="Times New Roman" w:cs="Times New Roman"/>
        </w:rPr>
        <w:t xml:space="preserve"> </w:t>
      </w:r>
      <w:r>
        <w:rPr>
          <w:rFonts w:ascii="Leelawadee UI" w:hAnsi="Leelawadee UI" w:eastAsia="Leelawadee UI" w:cs="Leelawadee UI"/>
        </w:rPr>
        <w:t>កាលណាពួកអ្នករំលងបាបបានពេញកម្រិតហើយ</w:t>
      </w:r>
      <w:r>
        <w:rPr>
          <w:rFonts w:ascii="Times New Roman" w:hAnsi="Times New Roman" w:eastAsia="Times New Roman" w:cs="Times New Roman"/>
        </w:rPr>
        <w:t xml:space="preserve"> </w:t>
      </w:r>
      <w:r>
        <w:rPr>
          <w:rFonts w:ascii="Leelawadee UI" w:hAnsi="Leelawadee UI" w:eastAsia="Leelawadee UI" w:cs="Leelawadee UI"/>
        </w:rPr>
        <w:t>នឹងមានស្តេចមួយអង្គ</w:t>
      </w:r>
      <w:r>
        <w:rPr>
          <w:rFonts w:ascii="Times New Roman" w:hAnsi="Times New Roman" w:eastAsia="Times New Roman" w:cs="Times New Roman"/>
        </w:rPr>
        <w:t xml:space="preserve"> </w:t>
      </w:r>
      <w:r>
        <w:rPr>
          <w:rFonts w:ascii="Leelawadee UI" w:hAnsi="Leelawadee UI" w:eastAsia="Leelawadee UI" w:cs="Leelawadee UI"/>
        </w:rPr>
        <w:t>ដែលមានទឹកមុខកាចសាហាវ</w:t>
      </w:r>
      <w:r>
        <w:rPr>
          <w:rFonts w:ascii="Times New Roman" w:hAnsi="Times New Roman" w:eastAsia="Times New Roman" w:cs="Times New Roman"/>
        </w:rPr>
        <w:t xml:space="preserve"> </w:t>
      </w:r>
      <w:r>
        <w:rPr>
          <w:rFonts w:ascii="Leelawadee UI" w:hAnsi="Leelawadee UI" w:eastAsia="Leelawadee UI" w:cs="Leelawadee UI"/>
        </w:rPr>
        <w:t>និងយល់អំពីពាក្យអាថ៌កំបាំង</w:t>
      </w:r>
      <w:r>
        <w:rPr>
          <w:rFonts w:ascii="Times New Roman" w:hAnsi="Times New Roman" w:eastAsia="Times New Roman" w:cs="Times New Roman"/>
        </w:rPr>
        <w:t xml:space="preserve"> </w:t>
      </w:r>
      <w:r>
        <w:rPr>
          <w:rFonts w:ascii="Leelawadee UI" w:hAnsi="Leelawadee UI" w:eastAsia="Leelawadee UI" w:cs="Leelawadee UI"/>
        </w:rPr>
        <w:t>ក្រោកឡើង។</w:t>
      </w:r>
      <w:r>
        <w:rPr>
          <w:rFonts w:ascii="Times New Roman" w:hAnsi="Times New Roman" w:eastAsia="Times New Roman" w:cs="Times New Roman"/>
        </w:rPr>
        <w:t xml:space="preserve"> </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ហើយអំណាចរបស់គាត់នឹងខ្លាំងក្លា</w:t>
      </w:r>
      <w:r>
        <w:rPr>
          <w:rFonts w:ascii="Times New Roman" w:hAnsi="Times New Roman" w:eastAsia="Times New Roman" w:cs="Times New Roman"/>
        </w:rPr>
        <w:t xml:space="preserve"> </w:t>
      </w:r>
      <w:r>
        <w:rPr>
          <w:rFonts w:ascii="Leelawadee UI" w:hAnsi="Leelawadee UI" w:eastAsia="Leelawadee UI" w:cs="Leelawadee UI"/>
        </w:rPr>
        <w:t>ប៉ុន្តែមិនមែនដោយអំណាចរបស់ខ្លួនទេ</w:t>
      </w:r>
      <w:r>
        <w:rPr>
          <w:rFonts w:ascii="Times New Roman" w:hAnsi="Times New Roman" w:eastAsia="Times New Roman" w:cs="Times New Roman"/>
        </w:rPr>
        <w:t xml:space="preserve"> </w:t>
      </w:r>
      <w:r>
        <w:rPr>
          <w:rFonts w:ascii="Leelawadee UI" w:hAnsi="Leelawadee UI" w:eastAsia="Leelawadee UI" w:cs="Leelawadee UI"/>
        </w:rPr>
        <w:t>ហើយគាត់នឹងបំផ្លាញយ៉ាងគួរឱ្យអស្ចារ្យ</w:t>
      </w:r>
      <w:r>
        <w:rPr>
          <w:rFonts w:ascii="Times New Roman" w:hAnsi="Times New Roman" w:eastAsia="Times New Roman" w:cs="Times New Roman"/>
        </w:rPr>
        <w:t xml:space="preserve"> </w:t>
      </w:r>
      <w:r>
        <w:rPr>
          <w:rFonts w:ascii="Leelawadee UI" w:hAnsi="Leelawadee UI" w:eastAsia="Leelawadee UI" w:cs="Leelawadee UI"/>
        </w:rPr>
        <w:t>ហើយនឹងចម្រើនឡើង</w:t>
      </w:r>
      <w:r>
        <w:rPr>
          <w:rFonts w:ascii="Times New Roman" w:hAnsi="Times New Roman" w:eastAsia="Times New Roman" w:cs="Times New Roman"/>
        </w:rPr>
        <w:t xml:space="preserve"> </w:t>
      </w:r>
      <w:r>
        <w:rPr>
          <w:rFonts w:ascii="Leelawadee UI" w:hAnsi="Leelawadee UI" w:eastAsia="Leelawadee UI" w:cs="Leelawadee UI"/>
        </w:rPr>
        <w:t>ហើយអនុវត្តកិច្ចការរបស់ខ្លួន</w:t>
      </w:r>
      <w:r>
        <w:rPr>
          <w:rFonts w:ascii="Times New Roman" w:hAnsi="Times New Roman" w:eastAsia="Times New Roman" w:cs="Times New Roman"/>
        </w:rPr>
        <w:t xml:space="preserve"> </w:t>
      </w:r>
      <w:r>
        <w:rPr>
          <w:rFonts w:ascii="Leelawadee UI" w:hAnsi="Leelawadee UI" w:eastAsia="Leelawadee UI" w:cs="Leelawadee UI"/>
        </w:rPr>
        <w:t>ហើយនឹងបំផ្លាញទាំងមនុស្សខ្លាំងពូកែ</w:t>
      </w:r>
      <w:r>
        <w:rPr>
          <w:rFonts w:ascii="Times New Roman" w:hAnsi="Times New Roman" w:eastAsia="Times New Roman" w:cs="Times New Roman"/>
        </w:rPr>
        <w:t xml:space="preserve"> </w:t>
      </w:r>
      <w:r>
        <w:rPr>
          <w:rFonts w:ascii="Leelawadee UI" w:hAnsi="Leelawadee UI" w:eastAsia="Leelawadee UI" w:cs="Leelawadee UI"/>
        </w:rPr>
        <w:t>និងប្រជាជនបរិសុទ្ធ។</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ហើយតាមរយៈគោលនយោបាយរបស់គាត់ផង</w:t>
      </w:r>
      <w:r>
        <w:rPr>
          <w:rFonts w:ascii="Times New Roman" w:hAnsi="Times New Roman" w:eastAsia="Times New Roman" w:cs="Times New Roman"/>
        </w:rPr>
        <w:t xml:space="preserve"> </w:t>
      </w:r>
      <w:r>
        <w:rPr>
          <w:rFonts w:ascii="Leelawadee UI" w:hAnsi="Leelawadee UI" w:eastAsia="Leelawadee UI" w:cs="Leelawadee UI"/>
        </w:rPr>
        <w:t>គាត់នឹងធ្វើឱ្យការក្លែងបន្លំរីកចម្រើននៅក្នុងដៃរបស់គាត់</w:t>
      </w:r>
      <w:r>
        <w:rPr>
          <w:rFonts w:ascii="Times New Roman" w:hAnsi="Times New Roman" w:eastAsia="Times New Roman" w:cs="Times New Roman"/>
        </w:rPr>
        <w:t xml:space="preserve"> </w:t>
      </w:r>
      <w:r>
        <w:rPr>
          <w:rFonts w:ascii="Leelawadee UI" w:hAnsi="Leelawadee UI" w:eastAsia="Leelawadee UI" w:cs="Leelawadee UI"/>
        </w:rPr>
        <w:t>ហើយគាត់នឹងលើកតម្កើងខ្លួនឯងនៅក្នុងចិត្តរបស់គាត់</w:t>
      </w:r>
      <w:r>
        <w:rPr>
          <w:rFonts w:ascii="Times New Roman" w:hAnsi="Times New Roman" w:eastAsia="Times New Roman" w:cs="Times New Roman"/>
        </w:rPr>
        <w:t xml:space="preserve"> </w:t>
      </w:r>
      <w:r>
        <w:rPr>
          <w:rFonts w:ascii="Leelawadee UI" w:hAnsi="Leelawadee UI" w:eastAsia="Leelawadee UI" w:cs="Leelawadee UI"/>
        </w:rPr>
        <w:t>ហើយដោយសេចក្ដីសុខសាន្ត</w:t>
      </w:r>
      <w:r>
        <w:rPr>
          <w:rFonts w:ascii="Times New Roman" w:hAnsi="Times New Roman" w:eastAsia="Times New Roman" w:cs="Times New Roman"/>
        </w:rPr>
        <w:t xml:space="preserve"> </w:t>
      </w:r>
      <w:r>
        <w:rPr>
          <w:rFonts w:ascii="Leelawadee UI" w:hAnsi="Leelawadee UI" w:eastAsia="Leelawadee UI" w:cs="Leelawadee UI"/>
        </w:rPr>
        <w:t>គាត់នឹងបំផ្លាញមនុស្សជាច្រើន</w:t>
      </w:r>
      <w:r>
        <w:rPr>
          <w:rFonts w:ascii="Times New Roman" w:hAnsi="Times New Roman" w:eastAsia="Times New Roman" w:cs="Times New Roman"/>
        </w:rPr>
        <w:t xml:space="preserve"> </w:t>
      </w:r>
      <w:r>
        <w:rPr>
          <w:rFonts w:ascii="Leelawadee UI" w:hAnsi="Leelawadee UI" w:eastAsia="Leelawadee UI" w:cs="Leelawadee UI"/>
        </w:rPr>
        <w:t>គាត់ក៏នឹងក្រោកឡើងទាស់នឹងព្រះអម្ចាស់នៃអម្ចាស់ទាំងឡាយដែរ</w:t>
      </w:r>
      <w:r>
        <w:rPr>
          <w:rFonts w:ascii="Times New Roman" w:hAnsi="Times New Roman" w:eastAsia="Times New Roman" w:cs="Times New Roman"/>
        </w:rPr>
        <w:t xml:space="preserve"> </w:t>
      </w:r>
      <w:r>
        <w:rPr>
          <w:rFonts w:ascii="Leelawadee UI" w:hAnsi="Leelawadee UI" w:eastAsia="Leelawadee UI" w:cs="Leelawadee UI"/>
        </w:rPr>
        <w:t>ប៉ុន្តែគាត់នឹងត្រូវបំបាក់ដោយឥតមានដៃ។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Cette puissance succède aux quatre divisions du royaume du bouc dans le dernier temps de leur royaume, c’est-à-dire vers l’achèvement de leur course. Elle est, bien entendu, identique à la petite corne mentionnée à partir du verset 9. Qu’on l’applique à Rome, comme il est exposé dans les remarques sur le verset 9, et tout devient harmonieux et clair. »</w:t>
      </w:r>
    </w:p>
    <w:p>
      <w:pPr>
        <w:pStyle w:val="ArticleScripture"/>
        <w:jc w:val="left"/>
      </w:pPr>
      <w:r>
        <w:rPr>
          <w:rFonts w:ascii="Times New Roman" w:hAnsi="Times New Roman" w:eastAsia="Times New Roman" w:cs="Times New Roman"/>
        </w:rPr>
        <w:t>«Պատկառազդու դեմքով մի թագավոր»։ Մովսեսը, կանխասելով այն պատիժը, որ այս նույն իշխանությունից պիտի գար հրեաների վրա, այն կոչում է «պատկառազդու դեմքով մի ազգ»։ Բ Օր. 28:49, 50։ Ոչ մի ժողովուրդ պատերազմական շարքով ավելի ահեղ տեսք չէր ներկայացնում, քան հռոմեացիները։ «Մռայլ խոսքեր հասկացող»։ Մովսեսը, հենց նոր հիշատակված սուրբգրային հատվածում, ասում է. «որի լեզուն դու չես հասկանա»։ Սա չէր կարող ասվել բաբելոնացիների, պարսիկների կամ հույների մասին՝ հրեաների նկատմամբ. որովհետև քաղդեական և հունարեն լեզուները քիչ թե շատ գործածվում էին Պաղեստինում։ Սակայն լատիներենի դեպքում այդպես չէր։</w:t>
      </w:r>
    </w:p>
    <w:p>
      <w:pPr>
        <w:pStyle w:val="ArticleScripture"/>
        <w:jc w:val="left"/>
      </w:pPr>
      <w:r>
        <w:rPr>
          <w:rFonts w:ascii="Microsoft YaHei" w:hAnsi="Microsoft YaHei" w:eastAsia="Microsoft YaHei" w:cs="Microsoft YaHei"/>
        </w:rPr>
        <w:t>「背</w:t>
      </w:r>
      <w:r>
        <w:rPr>
          <w:rFonts w:ascii="MS Gothic" w:hAnsi="MS Gothic" w:eastAsia="MS Gothic" w:cs="MS Gothic"/>
        </w:rPr>
        <w:t>く</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罪</w:t>
      </w:r>
      <w:r>
        <w:rPr>
          <w:rFonts w:ascii="MS Gothic" w:hAnsi="MS Gothic" w:eastAsia="MS Gothic" w:cs="MS Gothic"/>
        </w:rPr>
        <w:t>が</w:t>
      </w:r>
      <w:r>
        <w:rPr>
          <w:rFonts w:ascii="Microsoft YaHei" w:hAnsi="Microsoft YaHei" w:eastAsia="Microsoft YaHei" w:cs="Microsoft YaHei"/>
        </w:rPr>
        <w:t>満</w:t>
      </w:r>
      <w:r>
        <w:rPr>
          <w:rFonts w:ascii="MS Gothic" w:hAnsi="MS Gothic" w:eastAsia="MS Gothic" w:cs="MS Gothic"/>
        </w:rPr>
        <w:t>ちる</w:t>
      </w:r>
      <w:r>
        <w:rPr>
          <w:rFonts w:ascii="Microsoft YaHei" w:hAnsi="Microsoft YaHei" w:eastAsia="Microsoft YaHei" w:cs="Microsoft YaHei"/>
        </w:rPr>
        <w:t>時</w:t>
      </w:r>
      <w:r>
        <w:rPr>
          <w:rFonts w:ascii="Times New Roman" w:hAnsi="Times New Roman" w:eastAsia="Times New Roman" w:cs="Times New Roman"/>
        </w:rPr>
        <w:t>.</w:t>
      </w:r>
      <w:r>
        <w:rPr>
          <w:rFonts w:ascii="Microsoft YaHei" w:hAnsi="Microsoft YaHei" w:eastAsia="Microsoft YaHei" w:cs="Microsoft YaHei"/>
        </w:rPr>
        <w:t>」終始一貫</w:t>
      </w:r>
      <w:r>
        <w:rPr>
          <w:rFonts w:ascii="MS Gothic" w:hAnsi="MS Gothic" w:eastAsia="MS Gothic" w:cs="MS Gothic"/>
        </w:rPr>
        <w:t>して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と</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虐</w:t>
      </w:r>
      <w:r>
        <w:rPr>
          <w:rFonts w:ascii="MS Gothic" w:hAnsi="MS Gothic" w:eastAsia="MS Gothic" w:cs="MS Gothic"/>
        </w:rPr>
        <w:t>げる</w:t>
      </w:r>
      <w:r>
        <w:rPr>
          <w:rFonts w:ascii="Microsoft YaHei" w:hAnsi="Microsoft YaHei" w:eastAsia="Microsoft YaHei" w:cs="Microsoft YaHei"/>
        </w:rPr>
        <w:t>者</w:t>
      </w:r>
      <w:r>
        <w:rPr>
          <w:rFonts w:ascii="MS Gothic" w:hAnsi="MS Gothic" w:eastAsia="MS Gothic" w:cs="MS Gothic"/>
        </w:rPr>
        <w:t>たちとの</w:t>
      </w:r>
      <w:r>
        <w:rPr>
          <w:rFonts w:ascii="Microsoft YaHei" w:hAnsi="Microsoft YaHei" w:eastAsia="Microsoft YaHei" w:cs="Microsoft YaHei"/>
        </w:rPr>
        <w:t>関連</w:t>
      </w:r>
      <w:r>
        <w:rPr>
          <w:rFonts w:ascii="MS Gothic" w:hAnsi="MS Gothic" w:eastAsia="MS Gothic" w:cs="MS Gothic"/>
        </w:rPr>
        <w:t>が</w:t>
      </w:r>
      <w:r>
        <w:rPr>
          <w:rFonts w:ascii="Microsoft YaHei" w:hAnsi="Microsoft YaHei" w:eastAsia="Microsoft YaHei" w:cs="Microsoft YaHei"/>
        </w:rPr>
        <w:t>視野</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かれている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が</w:t>
      </w:r>
      <w:r>
        <w:rPr>
          <w:rFonts w:ascii="Microsoft YaHei" w:hAnsi="Microsoft YaHei" w:eastAsia="Microsoft YaHei" w:cs="Microsoft YaHei"/>
        </w:rPr>
        <w:t>捕囚</w:t>
      </w:r>
      <w:r>
        <w:rPr>
          <w:rFonts w:ascii="MS Gothic" w:hAnsi="MS Gothic" w:eastAsia="MS Gothic" w:cs="MS Gothic"/>
        </w:rPr>
        <w:t>に</w:t>
      </w:r>
      <w:r>
        <w:rPr>
          <w:rFonts w:ascii="Microsoft YaHei" w:hAnsi="Microsoft YaHei" w:eastAsia="Microsoft YaHei" w:cs="Microsoft YaHei"/>
        </w:rPr>
        <w:t>売</w:t>
      </w:r>
      <w:r>
        <w:rPr>
          <w:rFonts w:ascii="MS Gothic" w:hAnsi="MS Gothic" w:eastAsia="MS Gothic" w:cs="MS Gothic"/>
        </w:rPr>
        <w:t>り</w:t>
      </w:r>
      <w:r>
        <w:rPr>
          <w:rFonts w:ascii="Microsoft YaHei" w:hAnsi="Microsoft YaHei" w:eastAsia="Microsoft YaHei" w:cs="Microsoft YaHei"/>
        </w:rPr>
        <w:t>渡</w:t>
      </w:r>
      <w:r>
        <w:rPr>
          <w:rFonts w:ascii="MS Gothic" w:hAnsi="MS Gothic" w:eastAsia="MS Gothic" w:cs="MS Gothic"/>
        </w:rPr>
        <w:t>されたのは</w:t>
      </w:r>
      <w:r>
        <w:rPr>
          <w:rFonts w:ascii="Microsoft YaHei" w:hAnsi="Microsoft YaHei" w:eastAsia="Microsoft YaHei" w:cs="Microsoft YaHei"/>
        </w:rPr>
        <w:t>、彼</w:t>
      </w:r>
      <w:r>
        <w:rPr>
          <w:rFonts w:ascii="MS Gothic" w:hAnsi="MS Gothic" w:eastAsia="MS Gothic" w:cs="MS Gothic"/>
        </w:rPr>
        <w:t>ら</w:t>
      </w:r>
      <w:r>
        <w:rPr>
          <w:rFonts w:ascii="Microsoft YaHei" w:hAnsi="Microsoft YaHei" w:eastAsia="Microsoft YaHei" w:cs="Microsoft YaHei"/>
        </w:rPr>
        <w:t>自身</w:t>
      </w:r>
      <w:r>
        <w:rPr>
          <w:rFonts w:ascii="MS Gothic" w:hAnsi="MS Gothic" w:eastAsia="MS Gothic" w:cs="MS Gothic"/>
        </w:rPr>
        <w:t>の</w:t>
      </w:r>
      <w:r>
        <w:rPr>
          <w:rFonts w:ascii="Microsoft YaHei" w:hAnsi="Microsoft YaHei" w:eastAsia="Microsoft YaHei" w:cs="Microsoft YaHei"/>
        </w:rPr>
        <w:t>背</w:t>
      </w:r>
      <w:r>
        <w:rPr>
          <w:rFonts w:ascii="MS Gothic" w:hAnsi="MS Gothic" w:eastAsia="MS Gothic" w:cs="MS Gothic"/>
        </w:rPr>
        <w:t>きのゆえであった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罪</w:t>
      </w:r>
      <w:r>
        <w:rPr>
          <w:rFonts w:ascii="MS Gothic" w:hAnsi="MS Gothic" w:eastAsia="MS Gothic" w:cs="MS Gothic"/>
        </w:rPr>
        <w:t>のうちにとどまり</w:t>
      </w:r>
      <w:r>
        <w:rPr>
          <w:rFonts w:ascii="Microsoft YaHei" w:hAnsi="Microsoft YaHei" w:eastAsia="Microsoft YaHei" w:cs="Microsoft YaHei"/>
        </w:rPr>
        <w:t>続</w:t>
      </w:r>
      <w:r>
        <w:rPr>
          <w:rFonts w:ascii="MS Gothic" w:hAnsi="MS Gothic" w:eastAsia="MS Gothic" w:cs="MS Gothic"/>
        </w:rPr>
        <w:t>けたことが</w:t>
      </w:r>
      <w:r>
        <w:rPr>
          <w:rFonts w:ascii="Microsoft YaHei" w:hAnsi="Microsoft YaHei" w:eastAsia="Microsoft YaHei" w:cs="Microsoft YaHei"/>
        </w:rPr>
        <w:t>、</w:t>
      </w:r>
      <w:r>
        <w:rPr>
          <w:rFonts w:ascii="MS Gothic" w:hAnsi="MS Gothic" w:eastAsia="MS Gothic" w:cs="MS Gothic"/>
        </w:rPr>
        <w:t>いっそう</w:t>
      </w:r>
      <w:r>
        <w:rPr>
          <w:rFonts w:ascii="Microsoft YaHei" w:hAnsi="Microsoft YaHei" w:eastAsia="Microsoft YaHei" w:cs="Microsoft YaHei"/>
        </w:rPr>
        <w:t>厳</w:t>
      </w:r>
      <w:r>
        <w:rPr>
          <w:rFonts w:ascii="MS Gothic" w:hAnsi="MS Gothic" w:eastAsia="MS Gothic" w:cs="MS Gothic"/>
        </w:rPr>
        <w:t>しい</w:t>
      </w:r>
      <w:r>
        <w:rPr>
          <w:rFonts w:ascii="Microsoft YaHei" w:hAnsi="Microsoft YaHei" w:eastAsia="Microsoft YaHei" w:cs="Microsoft YaHei"/>
        </w:rPr>
        <w:t>刑罰</w:t>
      </w:r>
      <w:r>
        <w:rPr>
          <w:rFonts w:ascii="MS Gothic" w:hAnsi="MS Gothic" w:eastAsia="MS Gothic" w:cs="MS Gothic"/>
        </w:rPr>
        <w:t>を</w:t>
      </w:r>
      <w:r>
        <w:rPr>
          <w:rFonts w:ascii="Microsoft YaHei" w:hAnsi="Microsoft YaHei" w:eastAsia="Microsoft YaHei" w:cs="Microsoft YaHei"/>
        </w:rPr>
        <w:t>招</w:t>
      </w:r>
      <w:r>
        <w:rPr>
          <w:rFonts w:ascii="MS Gothic" w:hAnsi="MS Gothic" w:eastAsia="MS Gothic" w:cs="MS Gothic"/>
        </w:rPr>
        <w:t>いた</w:t>
      </w:r>
      <w:r>
        <w:rPr>
          <w:rFonts w:ascii="Times New Roman" w:hAnsi="Times New Roman" w:eastAsia="Times New Roman" w:cs="Times New Roman"/>
        </w:rPr>
        <w:t>.</w:t>
      </w:r>
      <w:r>
        <w:rPr>
          <w:rFonts w:ascii="MS Gothic" w:hAnsi="MS Gothic" w:eastAsia="MS Gothic" w:cs="MS Gothic"/>
        </w:rPr>
        <w:t>ユダヤ</w:t>
      </w:r>
      <w:r>
        <w:rPr>
          <w:rFonts w:ascii="Microsoft YaHei" w:hAnsi="Microsoft YaHei" w:eastAsia="Microsoft YaHei" w:cs="Microsoft YaHei"/>
        </w:rPr>
        <w:t>人</w:t>
      </w:r>
      <w:r>
        <w:rPr>
          <w:rFonts w:ascii="MS Gothic" w:hAnsi="MS Gothic" w:eastAsia="MS Gothic" w:cs="MS Gothic"/>
        </w:rPr>
        <w:t>が</w:t>
      </w:r>
      <w:r>
        <w:rPr>
          <w:rFonts w:ascii="Microsoft YaHei" w:hAnsi="Microsoft YaHei" w:eastAsia="Microsoft YaHei" w:cs="Microsoft YaHei"/>
        </w:rPr>
        <w:t>国民</w:t>
      </w:r>
      <w:r>
        <w:rPr>
          <w:rFonts w:ascii="MS Gothic" w:hAnsi="MS Gothic" w:eastAsia="MS Gothic" w:cs="MS Gothic"/>
        </w:rPr>
        <w:t>としてローマ</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支配下</w:t>
      </w:r>
      <w:r>
        <w:rPr>
          <w:rFonts w:ascii="MS Gothic" w:hAnsi="MS Gothic" w:eastAsia="MS Gothic" w:cs="MS Gothic"/>
        </w:rPr>
        <w:t>に</w:t>
      </w:r>
      <w:r>
        <w:rPr>
          <w:rFonts w:ascii="Microsoft YaHei" w:hAnsi="Microsoft YaHei" w:eastAsia="Microsoft YaHei" w:cs="Microsoft YaHei"/>
        </w:rPr>
        <w:t>入</w:t>
      </w:r>
      <w:r>
        <w:rPr>
          <w:rFonts w:ascii="MS Gothic" w:hAnsi="MS Gothic" w:eastAsia="MS Gothic" w:cs="MS Gothic"/>
        </w:rPr>
        <w:t>った</w:t>
      </w:r>
      <w:r>
        <w:rPr>
          <w:rFonts w:ascii="Microsoft YaHei" w:hAnsi="Microsoft YaHei" w:eastAsia="Microsoft YaHei" w:cs="Microsoft YaHei"/>
        </w:rPr>
        <w:t>時代</w:t>
      </w:r>
      <w:r>
        <w:rPr>
          <w:rFonts w:ascii="MS Gothic" w:hAnsi="MS Gothic" w:eastAsia="MS Gothic" w:cs="MS Gothic"/>
        </w:rPr>
        <w:t>ほど</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道徳的</w:t>
      </w:r>
      <w:r>
        <w:rPr>
          <w:rFonts w:ascii="MS Gothic" w:hAnsi="MS Gothic" w:eastAsia="MS Gothic" w:cs="MS Gothic"/>
        </w:rPr>
        <w:t>に</w:t>
      </w:r>
      <w:r>
        <w:rPr>
          <w:rFonts w:ascii="Microsoft YaHei" w:hAnsi="Microsoft YaHei" w:eastAsia="Microsoft YaHei" w:cs="Microsoft YaHei"/>
        </w:rPr>
        <w:t>腐敗</w:t>
      </w:r>
      <w:r>
        <w:rPr>
          <w:rFonts w:ascii="MS Gothic" w:hAnsi="MS Gothic" w:eastAsia="MS Gothic" w:cs="MS Gothic"/>
        </w:rPr>
        <w:t>していた</w:t>
      </w:r>
      <w:r>
        <w:rPr>
          <w:rFonts w:ascii="Microsoft YaHei" w:hAnsi="Microsoft YaHei" w:eastAsia="Microsoft YaHei" w:cs="Microsoft YaHei"/>
        </w:rPr>
        <w:t>時</w:t>
      </w:r>
      <w:r>
        <w:rPr>
          <w:rFonts w:ascii="MS Gothic" w:hAnsi="MS Gothic" w:eastAsia="MS Gothic" w:cs="MS Gothic"/>
        </w:rPr>
        <w:t>はなかった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“‘Ngati, kambe ku nga ri hi matimba ya yena n’wini.’ Ku humelela ka Varhoma a ku bangiwa ngopfu-ngopfu hi mpfuno wa vatirhisani va vona, ni hi ku avana exikarhi ka valala va vona, leswi a va tshama va lunghekile ku tirhisa ku vuyerisa ka vona. Rhoma ya Vupapa na yona a yi ri na matimba hi ku tirhisa matimba ya vulawuri bya misava lama a yi ma lawula hi ku tirhisa vulawuri bya moya.</w:t>
      </w:r>
    </w:p>
    <w:p>
      <w:pPr>
        <w:pStyle w:val="ArticleScripture"/>
        <w:jc w:val="left"/>
      </w:pPr>
      <w:r>
        <w:rPr>
          <w:rFonts w:ascii="Times New Roman" w:hAnsi="Times New Roman" w:eastAsia="Times New Roman" w:cs="Times New Roman"/>
        </w:rPr>
        <w:t>“‘Il détruira d’une manière prodigieuse.’ Le Seigneur dit aux Juifs par le prophète Ézéchiel qu’il les livrerait à des hommes ‘habiles à détruire ;’ et le massacre de onze cent mille Juifs lors de la destruction de Jérusalem par l’armée romaine fut une terrible confirmation des paroles du prophète. Et Rome, dans sa seconde phase, ou phase papale, fut responsable de la mort de cinquante millions de martyrs.</w:t>
      </w:r>
    </w:p>
    <w:p>
      <w:pPr>
        <w:pStyle w:val="ArticleScripture"/>
        <w:jc w:val="left"/>
      </w:pPr>
      <w:r>
        <w:rPr>
          <w:rFonts w:ascii="Times New Roman" w:hAnsi="Times New Roman" w:eastAsia="Times New Roman" w:cs="Times New Roman"/>
        </w:rPr>
        <w:t>«‘Et, par sa politique, il fera aussi prospérer la ruse dans sa main.’ Rome s’est distinguée au-dessus de toutes les autres puissances par une politique de ruse, au moyen de laquelle elle a amené les nations sous son contrôle. Cela est vrai tant de la Rome païenne que de la Rome papale. Et ainsi, par la paix, elle en détruisit beaucoup. »</w:t>
      </w:r>
    </w:p>
    <w:p>
      <w:pPr>
        <w:pStyle w:val="ArticleScripture"/>
        <w:jc w:val="left"/>
      </w:pPr>
      <w:r>
        <w:rPr>
          <w:rFonts w:ascii="Times New Roman" w:hAnsi="Times New Roman" w:eastAsia="Times New Roman" w:cs="Times New Roman"/>
        </w:rPr>
        <w:t>«Et Rome, enfin, dans la personne de l’un de ses gouverneurs, s’éleva contre le Prince des princes, en prononçant la sentence de mort contre Jésus-Christ. “Mais il sera brisé sans l’intervention d’aucune main”, expression qui identifie la destruction de cette puissance avec la frappe de la statue du chapitre 2.» Uriah Smith, Daniel and the Revelation, 202–204.</w:t>
      </w:r>
    </w:p>
    <w:p>
      <w:pPr>
        <w:pStyle w:val="ArticleBody"/>
        <w:jc w:val="left"/>
      </w:pPr>
      <w:r>
        <w:rPr>
          <w:rFonts w:ascii="Times New Roman" w:hAnsi="Times New Roman" w:eastAsia="Times New Roman" w:cs="Times New Roman"/>
        </w:rPr>
        <w:t>Smith, passage δυΐ, ἐπιδείκνυσιν ὅτι τὰ προφητικὰ γνωρίσματα τῆς εἰδωλολατρικῆς καὶ τῆς παπικῆς Ῥώμης εἰσὶν ἀντιμεταθετά, διότι ἀπλῶς ἀποτελοῦσι τὴν ἐκδήλωσιν τῆς Ῥώμης ἐν ταῖς δυσὶ φάσεσιν αὐτῆς, καθάπερ ἡ μῖξις σιδήρου καὶ πηλοῦ ἐν τῷ δευτέρῳ κεφαλαίῳ τοῦ Δανιήλ, ἣν ἡ Ἀδελφὴ White προσδιορίζει ὡς σύμβολα ἐκκλησιαστικῆς καὶ κρατικῆς πολιτικῆς. Ὅταν ὁ Δανιὴλ ἐν τοῖς ἐδαφίοις οἷς ὁ Smith πραγματεύεται ταυτοποιῇ ὅτι ἡ Ῥώμη «shall prosper, and practice,» καὶ ὅτι ἡ Ῥώμη «shall cause craft to prosper in his hand,» ὁ Smith ἰσχυρίζεται ὅτι ἐν τῷ τριακοστῷ ἕκτῳ ἐδαφίῳ ὁ «king» ὃς «shall prosper till the indignation be accomplished,» προσδιορίζει προφητικὸν γνώρισμα ἀμφοτέρων, τῆς εἰδωλολατρικῆς καὶ τῆς παπικῆς Ῥώμης. Ἔπειτα ἰσχυρίζεται ὅτι οὐδὲν τῶν γνωρισμάτων τῆς Ῥώμης ἐν τῷ τριακοστῷ ἕκτῳ ἐδαφίῳ ἀναφέρεται εἰς τὴν παπικὴν ἐξουσίαν.</w:t>
      </w:r>
    </w:p>
    <w:p>
      <w:pPr>
        <w:pStyle w:val="ArticleBody"/>
        <w:jc w:val="left"/>
      </w:pPr>
      <w:r>
        <w:rPr>
          <w:rFonts w:ascii="Times New Roman" w:hAnsi="Times New Roman" w:eastAsia="Times New Roman" w:cs="Times New Roman"/>
        </w:rPr>
        <w:t>Ndakanzwa kuna Smith pakutsigira kuzivikanwa kweRoma sevapambi vanosimbisa chiratidzo, uye chimwe chezvimiro zvina zvechiporofita zviri mundima yegumi neina ndechekuti Roma vanozvikudza.</w:t>
      </w:r>
    </w:p>
    <w:p>
      <w:pPr>
        <w:pStyle w:val="ArticleScripture"/>
        <w:jc w:val="left"/>
      </w:pPr>
      <w:r>
        <w:rPr>
          <w:rFonts w:ascii="Times New Roman" w:hAnsi="Times New Roman" w:eastAsia="Times New Roman" w:cs="Times New Roman"/>
        </w:rPr>
        <w:t>Et en ces temps-là, plusieurs s’élèveront contre le roi du midi ; et les violents parmi ton peuple s’exalteront pour accomplir la vision ; mais ils tomberont. Daniel 11:14.</w:t>
      </w:r>
    </w:p>
    <w:p>
      <w:pPr>
        <w:pStyle w:val="ArticleBody"/>
        <w:jc w:val="left"/>
      </w:pPr>
      <w:r>
        <w:rPr>
          <w:rFonts w:ascii="Times New Roman" w:hAnsi="Times New Roman" w:eastAsia="Times New Roman" w:cs="Times New Roman"/>
        </w:rPr>
        <w:t>Smith affirme que les caractéristiques du roi au verset trente-six ne correspondent pas à la puissance papale, bien qu’il ait auparavant soutenu qu’il s’agissait de Rome au verset quatorze, laquelle s’élève elle-même. Pourtant, le roi au verset trente-six « s’élèvera lui-même ». Ce même roi au verset trente-six « proférera des choses merveilleuses contre le Dieu des dieux ». Dans Daniel, la puissance papale « proférera de grandes paroles contre le Très-Haut », et dans le livre de l’Apocalypse, la puissance papale blasphème contre le Très-Haut.</w:t>
      </w:r>
    </w:p>
    <w:p>
      <w:pPr>
        <w:pStyle w:val="ArticleScripture"/>
        <w:jc w:val="left"/>
      </w:pPr>
      <w:r>
        <w:rPr>
          <w:rFonts w:ascii="Times New Roman" w:hAnsi="Times New Roman" w:eastAsia="Times New Roman" w:cs="Times New Roman"/>
        </w:rPr>
        <w:t>E foi-lhe dada uma boca que proferia grandes coisas e blasfêmias; e foi-lhe dado poder para continuar por quarenta e dois meses. E abriu a sua boca em blasfêmia contra Deus, para blasfemar do seu nome, e do seu tabernáculo, e dos que habitam no céu. Apocalipse 13:5, 6.</w:t>
      </w:r>
    </w:p>
    <w:p>
      <w:pPr>
        <w:pStyle w:val="ArticleBody"/>
        <w:jc w:val="left"/>
      </w:pPr>
      <w:r>
        <w:rPr>
          <w:rFonts w:ascii="Times New Roman" w:hAnsi="Times New Roman" w:eastAsia="Times New Roman" w:cs="Times New Roman"/>
        </w:rPr>
        <w:t>Har nɩm saɣa kʋm, papal power yɛrɛɛ ɖe verse thirty-six.</w:t>
      </w:r>
    </w:p>
    <w:p>
      <w:pPr>
        <w:pStyle w:val="ArticleScripture"/>
        <w:jc w:val="left"/>
      </w:pPr>
      <w:r>
        <w:rPr>
          <w:rFonts w:ascii="Times New Roman" w:hAnsi="Times New Roman" w:eastAsia="Times New Roman" w:cs="Times New Roman"/>
        </w:rPr>
        <w:t>Et le roi fera selon sa volonté; il s’élèvera, et s’exaltera au-dessus de tout dieu, et il proférera des paroles prodigieuses contre le Dieu des dieux, et il prospérera jusqu’à ce que l’indignation soit accomplie; car ce qui est déterminé s’accomplira. Daniel 11:36.</w:t>
      </w:r>
    </w:p>
    <w:p>
      <w:pPr>
        <w:pStyle w:val="ArticleBody"/>
        <w:jc w:val="left"/>
      </w:pPr>
      <w:r>
        <w:rPr>
          <w:rFonts w:ascii="Times New Roman" w:hAnsi="Times New Roman" w:eastAsia="Times New Roman" w:cs="Times New Roman"/>
        </w:rPr>
        <w:t>Les commentateurs humains sont bien souvent peu fiables, mais de nombreux commentateurs adventistes rendent témoignage à la vérité évidente selon laquelle c’était le verset trente-six que l’apôtre Paul paraphrasait dans 2 Thessaloniciens, lorsqu’il parla de l’homme de péché.</w:t>
      </w:r>
    </w:p>
    <w:p>
      <w:pPr>
        <w:pStyle w:val="ArticleScripture"/>
        <w:jc w:val="left"/>
      </w:pPr>
      <w:r>
        <w:rPr>
          <w:rFonts w:ascii="Leelawadee UI" w:hAnsi="Leelawadee UI" w:eastAsia="Leelawadee UI" w:cs="Leelawadee UI"/>
        </w:rPr>
        <w:t>ចូរកុំឲ្យនរណាម្នាក់បោកបញ្ឆោតអ្នករាល់គ្នាដោយវិធីណាមួយឡើយ</w:t>
      </w:r>
      <w:r>
        <w:rPr>
          <w:rFonts w:ascii="Times New Roman" w:hAnsi="Times New Roman" w:eastAsia="Times New Roman" w:cs="Times New Roman"/>
        </w:rPr>
        <w:t xml:space="preserve"> </w:t>
      </w:r>
      <w:r>
        <w:rPr>
          <w:rFonts w:ascii="Leelawadee UI" w:hAnsi="Leelawadee UI" w:eastAsia="Leelawadee UI" w:cs="Leelawadee UI"/>
        </w:rPr>
        <w:t>ដ្បិតថ្ងៃនោះនឹងមិនមកទេ</w:t>
      </w:r>
      <w:r>
        <w:rPr>
          <w:rFonts w:ascii="Times New Roman" w:hAnsi="Times New Roman" w:eastAsia="Times New Roman" w:cs="Times New Roman"/>
        </w:rPr>
        <w:t xml:space="preserve"> </w:t>
      </w:r>
      <w:r>
        <w:rPr>
          <w:rFonts w:ascii="Leelawadee UI" w:hAnsi="Leelawadee UI" w:eastAsia="Leelawadee UI" w:cs="Leelawadee UI"/>
        </w:rPr>
        <w:t>លុះត្រាតែមានការបោះបង់ចោលសេចក្ដីជំនឿកើតឡើងជាមុនសិន</w:t>
      </w:r>
      <w:r>
        <w:rPr>
          <w:rFonts w:ascii="Times New Roman" w:hAnsi="Times New Roman" w:eastAsia="Times New Roman" w:cs="Times New Roman"/>
        </w:rPr>
        <w:t xml:space="preserve"> </w:t>
      </w:r>
      <w:r>
        <w:rPr>
          <w:rFonts w:ascii="Leelawadee UI" w:hAnsi="Leelawadee UI" w:eastAsia="Leelawadee UI" w:cs="Leelawadee UI"/>
        </w:rPr>
        <w:t>ហើយមនុស្សនៃអំពើបាបនោះត្រូវបានបើកសម្ដែង</w:t>
      </w:r>
      <w:r>
        <w:rPr>
          <w:rFonts w:ascii="Times New Roman" w:hAnsi="Times New Roman" w:eastAsia="Times New Roman" w:cs="Times New Roman"/>
        </w:rPr>
        <w:t xml:space="preserve"> </w:t>
      </w:r>
      <w:r>
        <w:rPr>
          <w:rFonts w:ascii="Leelawadee UI" w:hAnsi="Leelawadee UI" w:eastAsia="Leelawadee UI" w:cs="Leelawadee UI"/>
        </w:rPr>
        <w:t>គឺជាកូននៃសេចក្ដីវិនាស</w:t>
      </w:r>
      <w:r>
        <w:rPr>
          <w:rFonts w:ascii="Times New Roman" w:hAnsi="Times New Roman" w:eastAsia="Times New Roman" w:cs="Times New Roman"/>
        </w:rPr>
        <w:t xml:space="preserve">; </w:t>
      </w:r>
      <w:r>
        <w:rPr>
          <w:rFonts w:ascii="Leelawadee UI" w:hAnsi="Leelawadee UI" w:eastAsia="Leelawadee UI" w:cs="Leelawadee UI"/>
        </w:rPr>
        <w:t>អ្នកនោះប្រឆាំង</w:t>
      </w:r>
      <w:r>
        <w:rPr>
          <w:rFonts w:ascii="Times New Roman" w:hAnsi="Times New Roman" w:eastAsia="Times New Roman" w:cs="Times New Roman"/>
        </w:rPr>
        <w:t xml:space="preserve"> </w:t>
      </w:r>
      <w:r>
        <w:rPr>
          <w:rFonts w:ascii="Leelawadee UI" w:hAnsi="Leelawadee UI" w:eastAsia="Leelawadee UI" w:cs="Leelawadee UI"/>
        </w:rPr>
        <w:t>ហើយលើកតម្កើងខ្លួនឯងលើសអស់ទាំងអ្វីដែលគេហៅថាព្រះ</w:t>
      </w:r>
      <w:r>
        <w:rPr>
          <w:rFonts w:ascii="Times New Roman" w:hAnsi="Times New Roman" w:eastAsia="Times New Roman" w:cs="Times New Roman"/>
        </w:rPr>
        <w:t xml:space="preserve"> </w:t>
      </w:r>
      <w:r>
        <w:rPr>
          <w:rFonts w:ascii="Leelawadee UI" w:hAnsi="Leelawadee UI" w:eastAsia="Leelawadee UI" w:cs="Leelawadee UI"/>
        </w:rPr>
        <w:t>ឬដែលគេថ្វាយបង្គំ</w:t>
      </w:r>
      <w:r>
        <w:rPr>
          <w:rFonts w:ascii="Times New Roman" w:hAnsi="Times New Roman" w:eastAsia="Times New Roman" w:cs="Times New Roman"/>
        </w:rPr>
        <w:t xml:space="preserve"> </w:t>
      </w:r>
      <w:r>
        <w:rPr>
          <w:rFonts w:ascii="Leelawadee UI" w:hAnsi="Leelawadee UI" w:eastAsia="Leelawadee UI" w:cs="Leelawadee UI"/>
        </w:rPr>
        <w:t>ដល់ថ្នាក់ខ្លួនគេអង្គុយនៅក្នុងព្រះវិហាររបស់ព្រះ</w:t>
      </w:r>
      <w:r>
        <w:rPr>
          <w:rFonts w:ascii="Times New Roman" w:hAnsi="Times New Roman" w:eastAsia="Times New Roman" w:cs="Times New Roman"/>
        </w:rPr>
        <w:t xml:space="preserve"> </w:t>
      </w:r>
      <w:r>
        <w:rPr>
          <w:rFonts w:ascii="Leelawadee UI" w:hAnsi="Leelawadee UI" w:eastAsia="Leelawadee UI" w:cs="Leelawadee UI"/>
        </w:rPr>
        <w:t>ដោយបង្ហាញខ្លួនថាខ្លួនគេជាព្រះ។</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ថែស្សាឡូនិច</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៣។</w:t>
      </w:r>
    </w:p>
    <w:p>
      <w:pPr>
        <w:pStyle w:val="ArticleBody"/>
        <w:jc w:val="left"/>
      </w:pPr>
      <w:r>
        <w:rPr>
          <w:rFonts w:ascii="Times New Roman" w:hAnsi="Times New Roman" w:eastAsia="Times New Roman" w:cs="Times New Roman"/>
        </w:rPr>
        <w:t>Temana ea mashome a mararo a metso e tšeletseng e re “o tla ikgodiša, a ikgodiše ka godimo ga modimo o mongwe le o mongwe,” gomme Paulo o re “motho yoo wa sebe a utollwe, morwa wa tahlego; Yo a ganetšanago le go ikgodiša ka godimo ga tšohle tšeo di bitšwago Modimo, goba tšeo di rapelwago.” Go molaleng gore Smith o be a se na taolo ya boporofeta ya go bolela gore kgoši ya temana ea mashome a mararo a metso e tšeletseng e be e fapane le kgoši yeo go bolelwago ka yona ditemaneng tšeo di išago go temana ya mashome a mararo a metso e tšeletseng. Ka thutapolelo o be a se na lebaka la go lokafatša tirišo ya gagwe yeo e fošagetšego, gomme tseko ya gagwe ya gore o dirile bjalo ka gobane temana ea mashome a mararo a metso e tšeletseng e se na dimelo tša maatla a bopapa e be e le go šotha Mangwalo ka maiteko a go hloma tlhathollo ya sephiri ya gagwe ka noši.</w:t>
      </w:r>
    </w:p>
    <w:p>
      <w:pPr>
        <w:pStyle w:val="ArticleScripture"/>
        <w:jc w:val="left"/>
      </w:pPr>
      <w:r>
        <w:rPr>
          <w:rFonts w:ascii="Times New Roman" w:hAnsi="Times New Roman" w:eastAsia="Times New Roman" w:cs="Times New Roman"/>
        </w:rPr>
        <w:t>Nous avons aussi la parole prophétique, rendue plus certaine, à laquelle vous faites bien de prêter attention, comme à une lampe qui brille dans un lieu obscur, jusqu’à ce que le jour vienne à paraître et que l’étoile du matin se lève dans vos cœurs; sachant avant tout qu’aucune prophétie de l’Écriture ne relève d’une interprétation particulière. Car ce n’est point par la volonté de l’homme qu’une prophétie a jamais été apportée; mais c’est poussés par le Saint-Esprit que des hommes saints de Dieu ont parlé. 2 Pierre 1:19–21.</w:t>
      </w:r>
    </w:p>
    <w:p>
      <w:pPr>
        <w:pStyle w:val="ArticleBody"/>
        <w:jc w:val="left"/>
      </w:pPr>
      <w:r>
        <w:rPr>
          <w:rFonts w:ascii="Times New Roman" w:hAnsi="Times New Roman" w:eastAsia="Times New Roman" w:cs="Times New Roman"/>
        </w:rPr>
        <w:t xml:space="preserve">Luaodikeia </w:t>
      </w:r>
      <w:r>
        <w:rPr>
          <w:rFonts w:ascii="Nirmala UI" w:hAnsi="Nirmala UI" w:eastAsia="Nirmala UI" w:cs="Nirmala UI"/>
        </w:rPr>
        <w:t>காலத்து</w:t>
      </w:r>
      <w:r>
        <w:rPr>
          <w:rFonts w:ascii="Times New Roman" w:hAnsi="Times New Roman" w:eastAsia="Times New Roman" w:cs="Times New Roman"/>
        </w:rPr>
        <w:t xml:space="preserve"> </w:t>
      </w:r>
      <w:r>
        <w:rPr>
          <w:rFonts w:ascii="Nirmala UI" w:hAnsi="Nirmala UI" w:eastAsia="Nirmala UI" w:cs="Nirmala UI"/>
        </w:rPr>
        <w:t>அட்வென்டிசம்</w:t>
      </w:r>
      <w:r>
        <w:rPr>
          <w:rFonts w:ascii="Times New Roman" w:hAnsi="Times New Roman" w:eastAsia="Times New Roman" w:cs="Times New Roman"/>
        </w:rPr>
        <w:t xml:space="preserve"> </w:t>
      </w:r>
      <w:r>
        <w:rPr>
          <w:rFonts w:ascii="Nirmala UI" w:hAnsi="Nirmala UI" w:eastAsia="Nirmala UI" w:cs="Nirmala UI"/>
        </w:rPr>
        <w:t>நீடித்த</w:t>
      </w:r>
      <w:r>
        <w:rPr>
          <w:rFonts w:ascii="Times New Roman" w:hAnsi="Times New Roman" w:eastAsia="Times New Roman" w:cs="Times New Roman"/>
        </w:rPr>
        <w:t xml:space="preserve"> </w:t>
      </w:r>
      <w:r>
        <w:rPr>
          <w:rFonts w:ascii="Nirmala UI" w:hAnsi="Nirmala UI" w:eastAsia="Nirmala UI" w:cs="Nirmala UI"/>
        </w:rPr>
        <w:t>ஆண்டுகளெல்லாம்</w:t>
      </w:r>
      <w:r>
        <w:rPr>
          <w:rFonts w:ascii="Times New Roman" w:hAnsi="Times New Roman" w:eastAsia="Times New Roman" w:cs="Times New Roman"/>
        </w:rPr>
        <w:t xml:space="preserve">, </w:t>
      </w:r>
      <w:r>
        <w:rPr>
          <w:rFonts w:ascii="Nirmala UI" w:hAnsi="Nirmala UI" w:eastAsia="Nirmala UI" w:cs="Nirmala UI"/>
        </w:rPr>
        <w:t>ஸ்மித்தின்</w:t>
      </w:r>
      <w:r>
        <w:rPr>
          <w:rFonts w:ascii="Times New Roman" w:hAnsi="Times New Roman" w:eastAsia="Times New Roman" w:cs="Times New Roman"/>
        </w:rPr>
        <w:t xml:space="preserve"> </w:t>
      </w:r>
      <w:r>
        <w:rPr>
          <w:rFonts w:ascii="Nirmala UI" w:hAnsi="Nirmala UI" w:eastAsia="Nirmala UI" w:cs="Nirmala UI"/>
        </w:rPr>
        <w:t>பயன்பாடு</w:t>
      </w:r>
      <w:r>
        <w:rPr>
          <w:rFonts w:ascii="Times New Roman" w:hAnsi="Times New Roman" w:eastAsia="Times New Roman" w:cs="Times New Roman"/>
        </w:rPr>
        <w:t xml:space="preserve"> </w:t>
      </w:r>
      <w:r>
        <w:rPr>
          <w:rFonts w:ascii="Nirmala UI" w:hAnsi="Nirmala UI" w:eastAsia="Nirmala UI" w:cs="Nirmala UI"/>
        </w:rPr>
        <w:t>சரியா</w:t>
      </w:r>
      <w:r>
        <w:rPr>
          <w:rFonts w:ascii="Times New Roman" w:hAnsi="Times New Roman" w:eastAsia="Times New Roman" w:cs="Times New Roman"/>
        </w:rPr>
        <w:t xml:space="preserve"> </w:t>
      </w:r>
      <w:r>
        <w:rPr>
          <w:rFonts w:ascii="Nirmala UI" w:hAnsi="Nirmala UI" w:eastAsia="Nirmala UI" w:cs="Nirmala UI"/>
        </w:rPr>
        <w:t>தவறா</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கருதுகிறார்களா</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அட்வென்டிஸ்ட்</w:t>
      </w:r>
      <w:r>
        <w:rPr>
          <w:rFonts w:ascii="Times New Roman" w:hAnsi="Times New Roman" w:eastAsia="Times New Roman" w:cs="Times New Roman"/>
        </w:rPr>
        <w:t xml:space="preserve"> </w:t>
      </w:r>
      <w:r>
        <w:rPr>
          <w:rFonts w:ascii="Nirmala UI" w:hAnsi="Nirmala UI" w:eastAsia="Nirmala UI" w:cs="Nirmala UI"/>
        </w:rPr>
        <w:t>தெய்வவியலாளர்கள்</w:t>
      </w:r>
      <w:r>
        <w:rPr>
          <w:rFonts w:ascii="Times New Roman" w:hAnsi="Times New Roman" w:eastAsia="Times New Roman" w:cs="Times New Roman"/>
        </w:rPr>
        <w:t xml:space="preserve">, </w:t>
      </w:r>
      <w:r>
        <w:rPr>
          <w:rFonts w:ascii="Nirmala UI" w:hAnsi="Nirmala UI" w:eastAsia="Nirmala UI" w:cs="Nirmala UI"/>
        </w:rPr>
        <w:t>மேய்ப்பர்கள்</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எழுத்தாளர்கள்</w:t>
      </w:r>
      <w:r>
        <w:rPr>
          <w:rFonts w:ascii="Times New Roman" w:hAnsi="Times New Roman" w:eastAsia="Times New Roman" w:cs="Times New Roman"/>
        </w:rPr>
        <w:t xml:space="preserve"> </w:t>
      </w:r>
      <w:r>
        <w:rPr>
          <w:rFonts w:ascii="Nirmala UI" w:hAnsi="Nirmala UI" w:eastAsia="Nirmala UI" w:cs="Nirmala UI"/>
        </w:rPr>
        <w:t>விவாதித்துள்ளனர்</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நீண்டகாலமாக</w:t>
      </w:r>
      <w:r>
        <w:rPr>
          <w:rFonts w:ascii="Times New Roman" w:hAnsi="Times New Roman" w:eastAsia="Times New Roman" w:cs="Times New Roman"/>
        </w:rPr>
        <w:t xml:space="preserve"> </w:t>
      </w:r>
      <w:r>
        <w:rPr>
          <w:rFonts w:ascii="Nirmala UI" w:hAnsi="Nirmala UI" w:eastAsia="Nirmala UI" w:cs="Nirmala UI"/>
        </w:rPr>
        <w:t>மறைந்துபோன</w:t>
      </w:r>
      <w:r>
        <w:rPr>
          <w:rFonts w:ascii="Times New Roman" w:hAnsi="Times New Roman" w:eastAsia="Times New Roman" w:cs="Times New Roman"/>
        </w:rPr>
        <w:t xml:space="preserve"> </w:t>
      </w:r>
      <w:r>
        <w:rPr>
          <w:rFonts w:ascii="Nirmala UI" w:hAnsi="Nirmala UI" w:eastAsia="Nirmala UI" w:cs="Nirmala UI"/>
        </w:rPr>
        <w:t>ஆஸ்திரேலிய</w:t>
      </w:r>
      <w:r>
        <w:rPr>
          <w:rFonts w:ascii="Times New Roman" w:hAnsi="Times New Roman" w:eastAsia="Times New Roman" w:cs="Times New Roman"/>
        </w:rPr>
        <w:t xml:space="preserve"> </w:t>
      </w:r>
      <w:r>
        <w:rPr>
          <w:rFonts w:ascii="Nirmala UI" w:hAnsi="Nirmala UI" w:eastAsia="Nirmala UI" w:cs="Nirmala UI"/>
        </w:rPr>
        <w:t>மேய்ப்பரான</w:t>
      </w:r>
      <w:r>
        <w:rPr>
          <w:rFonts w:ascii="Times New Roman" w:hAnsi="Times New Roman" w:eastAsia="Times New Roman" w:cs="Times New Roman"/>
        </w:rPr>
        <w:t xml:space="preserve"> </w:t>
      </w:r>
      <w:r>
        <w:rPr>
          <w:rFonts w:ascii="Nirmala UI" w:hAnsi="Nirmala UI" w:eastAsia="Nirmala UI" w:cs="Nirmala UI"/>
        </w:rPr>
        <w:t>லூயிஸ்</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ஊழியத்தின்</w:t>
      </w:r>
      <w:r>
        <w:rPr>
          <w:rFonts w:ascii="Times New Roman" w:hAnsi="Times New Roman" w:eastAsia="Times New Roman" w:cs="Times New Roman"/>
        </w:rPr>
        <w:t xml:space="preserve"> </w:t>
      </w:r>
      <w:r>
        <w:rPr>
          <w:rFonts w:ascii="Nirmala UI" w:hAnsi="Nirmala UI" w:eastAsia="Nirmala UI" w:cs="Nirmala UI"/>
        </w:rPr>
        <w:t>பெரும்பகுதியை</w:t>
      </w:r>
      <w:r>
        <w:rPr>
          <w:rFonts w:ascii="Times New Roman" w:hAnsi="Times New Roman" w:eastAsia="Times New Roman" w:cs="Times New Roman"/>
        </w:rPr>
        <w:t xml:space="preserve"> </w:t>
      </w:r>
      <w:r>
        <w:rPr>
          <w:rFonts w:ascii="Nirmala UI" w:hAnsi="Nirmala UI" w:eastAsia="Nirmala UI" w:cs="Nirmala UI"/>
        </w:rPr>
        <w:t>ஸ்மித்தின்</w:t>
      </w:r>
      <w:r>
        <w:rPr>
          <w:rFonts w:ascii="Times New Roman" w:hAnsi="Times New Roman" w:eastAsia="Times New Roman" w:cs="Times New Roman"/>
        </w:rPr>
        <w:t xml:space="preserve"> </w:t>
      </w:r>
      <w:r>
        <w:rPr>
          <w:rFonts w:ascii="Nirmala UI" w:hAnsi="Nirmala UI" w:eastAsia="Nirmala UI" w:cs="Nirmala UI"/>
        </w:rPr>
        <w:t>தவறான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மாதிரிக்கெதிராகப்</w:t>
      </w:r>
      <w:r>
        <w:rPr>
          <w:rFonts w:ascii="Times New Roman" w:hAnsi="Times New Roman" w:eastAsia="Times New Roman" w:cs="Times New Roman"/>
        </w:rPr>
        <w:t xml:space="preserve"> </w:t>
      </w:r>
      <w:r>
        <w:rPr>
          <w:rFonts w:ascii="Nirmala UI" w:hAnsi="Nirmala UI" w:eastAsia="Nirmala UI" w:cs="Nirmala UI"/>
        </w:rPr>
        <w:t>போராடுவதிலேயே</w:t>
      </w:r>
      <w:r>
        <w:rPr>
          <w:rFonts w:ascii="Times New Roman" w:hAnsi="Times New Roman" w:eastAsia="Times New Roman" w:cs="Times New Roman"/>
        </w:rPr>
        <w:t xml:space="preserve"> </w:t>
      </w:r>
      <w:r>
        <w:rPr>
          <w:rFonts w:ascii="Nirmala UI" w:hAnsi="Nirmala UI" w:eastAsia="Nirmala UI" w:cs="Nirmala UI"/>
        </w:rPr>
        <w:t>செலவிட்டார்</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எதிர்ப்பிற்குக்</w:t>
      </w:r>
      <w:r>
        <w:rPr>
          <w:rFonts w:ascii="Times New Roman" w:hAnsi="Times New Roman" w:eastAsia="Times New Roman" w:cs="Times New Roman"/>
        </w:rPr>
        <w:t xml:space="preserve"> </w:t>
      </w:r>
      <w:r>
        <w:rPr>
          <w:rFonts w:ascii="Nirmala UI" w:hAnsi="Nirmala UI" w:eastAsia="Nirmala UI" w:cs="Nirmala UI"/>
        </w:rPr>
        <w:t>காரணம்</w:t>
      </w:r>
      <w:r>
        <w:rPr>
          <w:rFonts w:ascii="Times New Roman" w:hAnsi="Times New Roman" w:eastAsia="Times New Roman" w:cs="Times New Roman"/>
        </w:rPr>
        <w:t xml:space="preserve">, </w:t>
      </w:r>
      <w:r>
        <w:rPr>
          <w:rFonts w:ascii="Nirmala UI" w:hAnsi="Nirmala UI" w:eastAsia="Nirmala UI" w:cs="Nirmala UI"/>
        </w:rPr>
        <w:t>நாற்பத்திஐந்தாம்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முடிவுக்குவரும்</w:t>
      </w:r>
      <w:r>
        <w:rPr>
          <w:rFonts w:ascii="Times New Roman" w:hAnsi="Times New Roman" w:eastAsia="Times New Roman" w:cs="Times New Roman"/>
        </w:rPr>
        <w:t xml:space="preserve"> </w:t>
      </w:r>
      <w:r>
        <w:rPr>
          <w:rFonts w:ascii="Nirmala UI" w:hAnsi="Nirmala UI" w:eastAsia="Nirmala UI" w:cs="Nirmala UI"/>
        </w:rPr>
        <w:t>ராஜாவை</w:t>
      </w:r>
      <w:r>
        <w:rPr>
          <w:rFonts w:ascii="Times New Roman" w:hAnsi="Times New Roman" w:eastAsia="Times New Roman" w:cs="Times New Roman"/>
        </w:rPr>
        <w:t xml:space="preserve"> </w:t>
      </w:r>
      <w:r>
        <w:rPr>
          <w:rFonts w:ascii="Nirmala UI" w:hAnsi="Nirmala UI" w:eastAsia="Nirmala UI" w:cs="Nirmala UI"/>
        </w:rPr>
        <w:t>ஸ்மித்</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துருக்கியாக</w:t>
      </w:r>
      <w:r>
        <w:rPr>
          <w:rFonts w:ascii="Times New Roman" w:hAnsi="Times New Roman" w:eastAsia="Times New Roman" w:cs="Times New Roman"/>
        </w:rPr>
        <w:t xml:space="preserve"> </w:t>
      </w:r>
      <w:r>
        <w:rPr>
          <w:rFonts w:ascii="Nirmala UI" w:hAnsi="Nirmala UI" w:eastAsia="Nirmala UI" w:cs="Nirmala UI"/>
        </w:rPr>
        <w:t>அடையாளப்படுத்தியதுமட்டுமல்ல</w:t>
      </w:r>
      <w:r>
        <w:rPr>
          <w:rFonts w:ascii="Times New Roman" w:hAnsi="Times New Roman" w:eastAsia="Times New Roman" w:cs="Times New Roman"/>
        </w:rPr>
        <w:t xml:space="preserve">; </w:t>
      </w:r>
      <w:r>
        <w:rPr>
          <w:rFonts w:ascii="Nirmala UI" w:hAnsi="Nirmala UI" w:eastAsia="Nirmala UI" w:cs="Nirmala UI"/>
        </w:rPr>
        <w:t>ஸ்மித்தின்</w:t>
      </w:r>
      <w:r>
        <w:rPr>
          <w:rFonts w:ascii="Times New Roman" w:hAnsi="Times New Roman" w:eastAsia="Times New Roman" w:cs="Times New Roman"/>
        </w:rPr>
        <w:t xml:space="preserve"> </w:t>
      </w:r>
      <w:r>
        <w:rPr>
          <w:rFonts w:ascii="Nirmala UI" w:hAnsi="Nirmala UI" w:eastAsia="Nirmala UI" w:cs="Nirmala UI"/>
        </w:rPr>
        <w:t>தளமே</w:t>
      </w:r>
      <w:r>
        <w:rPr>
          <w:rFonts w:ascii="Times New Roman" w:hAnsi="Times New Roman" w:eastAsia="Times New Roman" w:cs="Times New Roman"/>
        </w:rPr>
        <w:t xml:space="preserve"> </w:t>
      </w:r>
      <w:r>
        <w:rPr>
          <w:rFonts w:ascii="Nirmala UI" w:hAnsi="Nirmala UI" w:eastAsia="Nirmala UI" w:cs="Nirmala UI"/>
        </w:rPr>
        <w:t>ஆர்மகெத்தோனுக்கான</w:t>
      </w:r>
      <w:r>
        <w:rPr>
          <w:rFonts w:ascii="Times New Roman" w:hAnsi="Times New Roman" w:eastAsia="Times New Roman" w:cs="Times New Roman"/>
        </w:rPr>
        <w:t xml:space="preserve"> </w:t>
      </w:r>
      <w:r>
        <w:rPr>
          <w:rFonts w:ascii="Nirmala UI" w:hAnsi="Nirmala UI" w:eastAsia="Nirmala UI" w:cs="Nirmala UI"/>
        </w:rPr>
        <w:t>தவறான</w:t>
      </w:r>
      <w:r>
        <w:rPr>
          <w:rFonts w:ascii="Times New Roman" w:hAnsi="Times New Roman" w:eastAsia="Times New Roman" w:cs="Times New Roman"/>
        </w:rPr>
        <w:t xml:space="preserve"> </w:t>
      </w:r>
      <w:r>
        <w:rPr>
          <w:rFonts w:ascii="Nirmala UI" w:hAnsi="Nirmala UI" w:eastAsia="Nirmala UI" w:cs="Nirmala UI"/>
        </w:rPr>
        <w:t>பயன்பாட்டையும்</w:t>
      </w:r>
      <w:r>
        <w:rPr>
          <w:rFonts w:ascii="Times New Roman" w:hAnsi="Times New Roman" w:eastAsia="Times New Roman" w:cs="Times New Roman"/>
        </w:rPr>
        <w:t xml:space="preserve"> </w:t>
      </w:r>
      <w:r>
        <w:rPr>
          <w:rFonts w:ascii="Nirmala UI" w:hAnsi="Nirmala UI" w:eastAsia="Nirmala UI" w:cs="Nirmala UI"/>
        </w:rPr>
        <w:t>உருவாக்கியது</w:t>
      </w:r>
      <w:r>
        <w:rPr>
          <w:rFonts w:ascii="Times New Roman" w:hAnsi="Times New Roman" w:eastAsia="Times New Roman" w:cs="Times New Roman"/>
        </w:rPr>
        <w:t>. 1980-</w:t>
      </w:r>
      <w:r>
        <w:rPr>
          <w:rFonts w:ascii="Nirmala UI" w:hAnsi="Nirmala UI" w:eastAsia="Nirmala UI" w:cs="Nirmala UI"/>
        </w:rPr>
        <w:t>களில்</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அதற்கும்</w:t>
      </w:r>
      <w:r>
        <w:rPr>
          <w:rFonts w:ascii="Times New Roman" w:hAnsi="Times New Roman" w:eastAsia="Times New Roman" w:cs="Times New Roman"/>
        </w:rPr>
        <w:t xml:space="preserve"> </w:t>
      </w:r>
      <w:r>
        <w:rPr>
          <w:rFonts w:ascii="Nirmala UI" w:hAnsi="Nirmala UI" w:eastAsia="Nirmala UI" w:cs="Nirmala UI"/>
        </w:rPr>
        <w:t>அண்மையில்</w:t>
      </w:r>
      <w:r>
        <w:rPr>
          <w:rFonts w:ascii="Times New Roman" w:hAnsi="Times New Roman" w:eastAsia="Times New Roman" w:cs="Times New Roman"/>
        </w:rPr>
        <w:t xml:space="preserve">, </w:t>
      </w:r>
      <w:r>
        <w:rPr>
          <w:rFonts w:ascii="Nirmala UI" w:hAnsi="Nirmala UI" w:eastAsia="Nirmala UI" w:cs="Nirmala UI"/>
        </w:rPr>
        <w:t>ஓர்</w:t>
      </w:r>
      <w:r>
        <w:rPr>
          <w:rFonts w:ascii="Times New Roman" w:hAnsi="Times New Roman" w:eastAsia="Times New Roman" w:cs="Times New Roman"/>
        </w:rPr>
        <w:t xml:space="preserve"> </w:t>
      </w:r>
      <w:r>
        <w:rPr>
          <w:rFonts w:ascii="Nirmala UI" w:hAnsi="Nirmala UI" w:eastAsia="Nirmala UI" w:cs="Nirmala UI"/>
        </w:rPr>
        <w:t>அட்வென்டிஸ்ட்</w:t>
      </w:r>
      <w:r>
        <w:rPr>
          <w:rFonts w:ascii="Times New Roman" w:hAnsi="Times New Roman" w:eastAsia="Times New Roman" w:cs="Times New Roman"/>
        </w:rPr>
        <w:t xml:space="preserve"> </w:t>
      </w:r>
      <w:r>
        <w:rPr>
          <w:rFonts w:ascii="Nirmala UI" w:hAnsi="Nirmala UI" w:eastAsia="Nirmala UI" w:cs="Nirmala UI"/>
        </w:rPr>
        <w:t>எழுத்தாளர்</w:t>
      </w:r>
      <w:r>
        <w:rPr>
          <w:rFonts w:ascii="Times New Roman" w:hAnsi="Times New Roman" w:eastAsia="Times New Roman" w:cs="Times New Roman"/>
        </w:rPr>
        <w:t xml:space="preserve"> Adventists and Armageddon, Have we Misunderstood Prophecy?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தலைப்பில்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புத்தகத்தை</w:t>
      </w:r>
      <w:r>
        <w:rPr>
          <w:rFonts w:ascii="Times New Roman" w:hAnsi="Times New Roman" w:eastAsia="Times New Roman" w:cs="Times New Roman"/>
        </w:rPr>
        <w:t xml:space="preserve"> </w:t>
      </w:r>
      <w:r>
        <w:rPr>
          <w:rFonts w:ascii="Nirmala UI" w:hAnsi="Nirmala UI" w:eastAsia="Nirmala UI" w:cs="Nirmala UI"/>
        </w:rPr>
        <w:t>எழுதியார்</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எழுத்தாளரின்</w:t>
      </w:r>
      <w:r>
        <w:rPr>
          <w:rFonts w:ascii="Times New Roman" w:hAnsi="Times New Roman" w:eastAsia="Times New Roman" w:cs="Times New Roman"/>
        </w:rPr>
        <w:t xml:space="preserve"> </w:t>
      </w:r>
      <w:r>
        <w:rPr>
          <w:rFonts w:ascii="Nirmala UI" w:hAnsi="Nirmala UI" w:eastAsia="Nirmala UI" w:cs="Nirmala UI"/>
        </w:rPr>
        <w:t>பெயர்</w:t>
      </w:r>
      <w:r>
        <w:rPr>
          <w:rFonts w:ascii="Times New Roman" w:hAnsi="Times New Roman" w:eastAsia="Times New Roman" w:cs="Times New Roman"/>
        </w:rPr>
        <w:t xml:space="preserve"> </w:t>
      </w:r>
      <w:r>
        <w:rPr>
          <w:rFonts w:ascii="Nirmala UI" w:hAnsi="Nirmala UI" w:eastAsia="Nirmala UI" w:cs="Nirmala UI"/>
        </w:rPr>
        <w:t>டொனால்ட்</w:t>
      </w:r>
      <w:r>
        <w:rPr>
          <w:rFonts w:ascii="Times New Roman" w:hAnsi="Times New Roman" w:eastAsia="Times New Roman" w:cs="Times New Roman"/>
        </w:rPr>
        <w:t xml:space="preserve"> </w:t>
      </w:r>
      <w:r>
        <w:rPr>
          <w:rFonts w:ascii="Nirmala UI" w:hAnsi="Nirmala UI" w:eastAsia="Nirmala UI" w:cs="Nirmala UI"/>
        </w:rPr>
        <w:t>மான்செல்</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கிடைக்கிறது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Манзелл простежує історію, що передувала Першій світовій війні та Другій світовій війні, показуючи, що коли ставало очевидним наближення обох цих воєн, адвентистські євангелісти починали використовувати хибне застосування Смітом Туреччини, яка йде до буквального Єрусалима, як ознаку Армагеддону та кінця світу. Він доводить на підставі церковних списків членства, що з наближенням кожної з цих воєн багато душ були приведені до членства в Адвентистській церкві на основі пророчого наголосу євангелістів, що випливав із хибного погляду Сміта на Армагеддон.</w:t>
      </w:r>
    </w:p>
    <w:p>
      <w:pPr>
        <w:pStyle w:val="ArticleBody"/>
        <w:jc w:val="left"/>
      </w:pPr>
      <w:r>
        <w:rPr>
          <w:rFonts w:ascii="Times New Roman" w:hAnsi="Times New Roman" w:eastAsia="Times New Roman" w:cs="Times New Roman"/>
        </w:rPr>
        <w:t>Lokacin da ɗaya daga cikin yaƙe-yaƙen ya ƙare, kuma hasashen da ba su cika ba suka gaza cika, ikkilisiya ta rasa mambobi fiye da waɗanda ta samu ta wurin tsarin annabci da Smith ya gina.</w:t>
      </w:r>
    </w:p>
    <w:p>
      <w:pPr>
        <w:pStyle w:val="ArticleBody"/>
        <w:jc w:val="left"/>
      </w:pPr>
      <w:r>
        <w:rPr>
          <w:rFonts w:ascii="Times New Roman" w:hAnsi="Times New Roman" w:eastAsia="Times New Roman" w:cs="Times New Roman"/>
        </w:rPr>
        <w:t>Par le rejet, par Smith, du message fondamental des millérites, et par sa disposition à promouvoir son interprétation privée des versets trente-six à quarante-cinq de Daniel, la logique de Smith a produit un modèle prophétique fondé sur les événements contemporains.</w:t>
      </w:r>
    </w:p>
    <w:p>
      <w:pPr>
        <w:pStyle w:val="ArticleBody"/>
        <w:jc w:val="left"/>
      </w:pPr>
      <w:r>
        <w:rPr>
          <w:rFonts w:ascii="Times New Roman" w:hAnsi="Times New Roman" w:eastAsia="Times New Roman" w:cs="Times New Roman"/>
        </w:rPr>
        <w:t>Хонзоде миёни Смит ва Ҷеймс Уайт дар бораи он подшоҳе, ки дар ояти охирини боби ёздаҳуми китоби Дониёл ба анҷоми худ мерасад, Ҷеймс Уайт мантиқиеро баён намуд, ки ба таври мухтасар пояи регини нубувватшиносии Смитро ифода мекард. Уайт таълим медод, ки «нубувват таърихро ба вуҷуд меоварад, аммо таърих нубувватро ба вуҷуд намеоварад».</w:t>
      </w:r>
    </w:p>
    <w:p>
      <w:pPr>
        <w:pStyle w:val="ArticleBody"/>
        <w:jc w:val="left"/>
      </w:pP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இரண்டிற்கும்</w:t>
      </w:r>
      <w:r>
        <w:rPr>
          <w:rFonts w:ascii="Times New Roman" w:hAnsi="Times New Roman" w:eastAsia="Times New Roman" w:cs="Times New Roman"/>
        </w:rPr>
        <w:t xml:space="preserve"> </w:t>
      </w:r>
      <w:r>
        <w:rPr>
          <w:rFonts w:ascii="Nirmala UI" w:hAnsi="Nirmala UI" w:eastAsia="Nirmala UI" w:cs="Nirmala UI"/>
        </w:rPr>
        <w:t>முன்னர்</w:t>
      </w:r>
      <w:r>
        <w:rPr>
          <w:rFonts w:ascii="Times New Roman" w:hAnsi="Times New Roman" w:eastAsia="Times New Roman" w:cs="Times New Roman"/>
        </w:rPr>
        <w:t xml:space="preserve"> </w:t>
      </w:r>
      <w:r>
        <w:rPr>
          <w:rFonts w:ascii="Nirmala UI" w:hAnsi="Nirmala UI" w:eastAsia="Nirmala UI" w:cs="Nirmala UI"/>
        </w:rPr>
        <w:t>உழைத்த</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சுவிசேஷப்பணியாளர்கள்</w:t>
      </w:r>
      <w:r>
        <w:rPr>
          <w:rFonts w:ascii="Times New Roman" w:hAnsi="Times New Roman" w:eastAsia="Times New Roman" w:cs="Times New Roman"/>
        </w:rPr>
        <w:t xml:space="preserve">, </w:t>
      </w:r>
      <w:r>
        <w:rPr>
          <w:rFonts w:ascii="Nirmala UI" w:hAnsi="Nirmala UI" w:eastAsia="Nirmala UI" w:cs="Nirmala UI"/>
        </w:rPr>
        <w:t>வளர்ந்து</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வரலாற்றை</w:t>
      </w:r>
      <w:r>
        <w:rPr>
          <w:rFonts w:ascii="Times New Roman" w:hAnsi="Times New Roman" w:eastAsia="Times New Roman" w:cs="Times New Roman"/>
        </w:rPr>
        <w:t xml:space="preserve"> </w:t>
      </w:r>
      <w:r>
        <w:rPr>
          <w:rFonts w:ascii="Nirmala UI" w:hAnsi="Nirmala UI" w:eastAsia="Nirmala UI" w:cs="Nirmala UI"/>
        </w:rPr>
        <w:t>பயன்படுத்தி</w:t>
      </w:r>
      <w:r>
        <w:rPr>
          <w:rFonts w:ascii="Times New Roman" w:hAnsi="Times New Roman" w:eastAsia="Times New Roman" w:cs="Times New Roman"/>
        </w:rPr>
        <w:t xml:space="preserve"> </w:t>
      </w:r>
      <w:r>
        <w:rPr>
          <w:rFonts w:ascii="Nirmala UI" w:hAnsi="Nirmala UI" w:eastAsia="Nirmala UI" w:cs="Nirmala UI"/>
        </w:rPr>
        <w:t>ஸ்மித்தின்</w:t>
      </w:r>
      <w:r>
        <w:rPr>
          <w:rFonts w:ascii="Times New Roman" w:hAnsi="Times New Roman" w:eastAsia="Times New Roman" w:cs="Times New Roman"/>
        </w:rPr>
        <w:t xml:space="preserve"> </w:t>
      </w:r>
      <w:r>
        <w:rPr>
          <w:rFonts w:ascii="Nirmala UI" w:hAnsi="Nirmala UI" w:eastAsia="Nirmala UI" w:cs="Nirmala UI"/>
        </w:rPr>
        <w:t>குறைபாடுள்ள</w:t>
      </w:r>
      <w:r>
        <w:rPr>
          <w:rFonts w:ascii="Times New Roman" w:hAnsi="Times New Roman" w:eastAsia="Times New Roman" w:cs="Times New Roman"/>
        </w:rPr>
        <w:t xml:space="preserve"> </w:t>
      </w:r>
      <w:r>
        <w:rPr>
          <w:rFonts w:ascii="Nirmala UI" w:hAnsi="Nirmala UI" w:eastAsia="Nirmala UI" w:cs="Nirmala UI"/>
        </w:rPr>
        <w:t>அர்மகெதோன்</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மாதிரியை</w:t>
      </w:r>
      <w:r>
        <w:rPr>
          <w:rFonts w:ascii="Times New Roman" w:hAnsi="Times New Roman" w:eastAsia="Times New Roman" w:cs="Times New Roman"/>
        </w:rPr>
        <w:t xml:space="preserve"> </w:t>
      </w:r>
      <w:r>
        <w:rPr>
          <w:rFonts w:ascii="Nirmala UI" w:hAnsi="Nirmala UI" w:eastAsia="Nirmala UI" w:cs="Nirmala UI"/>
        </w:rPr>
        <w:t>முன்வைத்தனர்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போர்களை</w:t>
      </w:r>
      <w:r>
        <w:rPr>
          <w:rFonts w:ascii="Times New Roman" w:hAnsi="Times New Roman" w:eastAsia="Times New Roman" w:cs="Times New Roman"/>
        </w:rPr>
        <w:t xml:space="preserve"> </w:t>
      </w:r>
      <w:r>
        <w:rPr>
          <w:rFonts w:ascii="Nirmala UI" w:hAnsi="Nirmala UI" w:eastAsia="Nirmala UI" w:cs="Nirmala UI"/>
        </w:rPr>
        <w:t>முன்னிட்டு</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ஆசீர்வாதமாயிருந்ததாகத்</w:t>
      </w:r>
      <w:r>
        <w:rPr>
          <w:rFonts w:ascii="Times New Roman" w:hAnsi="Times New Roman" w:eastAsia="Times New Roman" w:cs="Times New Roman"/>
        </w:rPr>
        <w:t xml:space="preserve"> </w:t>
      </w:r>
      <w:r>
        <w:rPr>
          <w:rFonts w:ascii="Nirmala UI" w:hAnsi="Nirmala UI" w:eastAsia="Nirmala UI" w:cs="Nirmala UI"/>
        </w:rPr>
        <w:t>தோன்றினதாயினும்</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மாதிரி</w:t>
      </w:r>
      <w:r>
        <w:rPr>
          <w:rFonts w:ascii="Times New Roman" w:hAnsi="Times New Roman" w:eastAsia="Times New Roman" w:cs="Times New Roman"/>
        </w:rPr>
        <w:t xml:space="preserve"> </w:t>
      </w:r>
      <w:r>
        <w:rPr>
          <w:rFonts w:ascii="Nirmala UI" w:hAnsi="Nirmala UI" w:eastAsia="Nirmala UI" w:cs="Nirmala UI"/>
        </w:rPr>
        <w:t>தனிப்பட்ட</w:t>
      </w:r>
      <w:r>
        <w:rPr>
          <w:rFonts w:ascii="Times New Roman" w:hAnsi="Times New Roman" w:eastAsia="Times New Roman" w:cs="Times New Roman"/>
        </w:rPr>
        <w:t xml:space="preserve"> </w:t>
      </w:r>
      <w:r>
        <w:rPr>
          <w:rFonts w:ascii="Nirmala UI" w:hAnsi="Nirmala UI" w:eastAsia="Nirmala UI" w:cs="Nirmala UI"/>
        </w:rPr>
        <w:t>விளக்கத்தின்</w:t>
      </w:r>
      <w:r>
        <w:rPr>
          <w:rFonts w:ascii="Times New Roman" w:hAnsi="Times New Roman" w:eastAsia="Times New Roman" w:cs="Times New Roman"/>
        </w:rPr>
        <w:t xml:space="preserve"> </w:t>
      </w:r>
      <w:r>
        <w:rPr>
          <w:rFonts w:ascii="Nirmala UI" w:hAnsi="Nirmala UI" w:eastAsia="Nirmala UI" w:cs="Nirmala UI"/>
        </w:rPr>
        <w:t>அடிப்படையில்</w:t>
      </w:r>
      <w:r>
        <w:rPr>
          <w:rFonts w:ascii="Times New Roman" w:hAnsi="Times New Roman" w:eastAsia="Times New Roman" w:cs="Times New Roman"/>
        </w:rPr>
        <w:t xml:space="preserve"> </w:t>
      </w:r>
      <w:r>
        <w:rPr>
          <w:rFonts w:ascii="Nirmala UI" w:hAnsi="Nirmala UI" w:eastAsia="Nirmala UI" w:cs="Nirmala UI"/>
        </w:rPr>
        <w:t>அமைந்தது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நிரூபிக்கப்பட்டபோது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நிகர</w:t>
      </w:r>
      <w:r>
        <w:rPr>
          <w:rFonts w:ascii="Times New Roman" w:hAnsi="Times New Roman" w:eastAsia="Times New Roman" w:cs="Times New Roman"/>
        </w:rPr>
        <w:t xml:space="preserve"> </w:t>
      </w:r>
      <w:r>
        <w:rPr>
          <w:rFonts w:ascii="Nirmala UI" w:hAnsi="Nirmala UI" w:eastAsia="Nirmala UI" w:cs="Nirmala UI"/>
        </w:rPr>
        <w:t>இழப்பை</w:t>
      </w:r>
      <w:r>
        <w:rPr>
          <w:rFonts w:ascii="Times New Roman" w:hAnsi="Times New Roman" w:eastAsia="Times New Roman" w:cs="Times New Roman"/>
        </w:rPr>
        <w:t xml:space="preserve"> </w:t>
      </w:r>
      <w:r>
        <w:rPr>
          <w:rFonts w:ascii="Nirmala UI" w:hAnsi="Nirmala UI" w:eastAsia="Nirmala UI" w:cs="Nirmala UI"/>
        </w:rPr>
        <w:t>உண்டாக்கியது</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ป</w:t>
      </w:r>
      <w:r>
        <w:rPr>
          <w:rFonts w:ascii="Nirmala UI" w:hAnsi="Nirmala UI" w:eastAsia="Nirmala UI" w:cs="Nirmala UI"/>
        </w:rPr>
        <w:t>ण</w:t>
      </w:r>
      <w:r>
        <w:rPr>
          <w:rFonts w:ascii="Times New Roman" w:hAnsi="Times New Roman" w:eastAsia="Times New Roman" w:cs="Times New Roman"/>
        </w:rPr>
        <w:t xml:space="preserve"> </w:t>
      </w:r>
      <w:r>
        <w:rPr>
          <w:rFonts w:ascii="Nirmala UI" w:hAnsi="Nirmala UI" w:eastAsia="Nirmala UI" w:cs="Nirmala UI"/>
        </w:rPr>
        <w:t>पैगम्बरहरूदेखि</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तिमीहरूकहाँ</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भेषमा</w:t>
      </w:r>
      <w:r>
        <w:rPr>
          <w:rFonts w:ascii="Times New Roman" w:hAnsi="Times New Roman" w:eastAsia="Times New Roman" w:cs="Times New Roman"/>
        </w:rPr>
        <w:t xml:space="preserve"> </w:t>
      </w:r>
      <w:r>
        <w:rPr>
          <w:rFonts w:ascii="Nirmala UI" w:hAnsi="Nirmala UI" w:eastAsia="Nirmala UI" w:cs="Nirmala UI"/>
        </w:rPr>
        <w:t>आउँछन्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भित्रभित्रै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लुटाहा</w:t>
      </w:r>
      <w:r>
        <w:rPr>
          <w:rFonts w:ascii="Times New Roman" w:hAnsi="Times New Roman" w:eastAsia="Times New Roman" w:cs="Times New Roman"/>
        </w:rPr>
        <w:t xml:space="preserve"> </w:t>
      </w:r>
      <w:r>
        <w:rPr>
          <w:rFonts w:ascii="Nirmala UI" w:hAnsi="Nirmala UI" w:eastAsia="Nirmala UI" w:cs="Nirmala UI"/>
        </w:rPr>
        <w:t>ब्वाँसाहरू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फलद्वारा</w:t>
      </w:r>
      <w:r>
        <w:rPr>
          <w:rFonts w:ascii="Times New Roman" w:hAnsi="Times New Roman" w:eastAsia="Times New Roman" w:cs="Times New Roman"/>
        </w:rPr>
        <w:t xml:space="preserve"> </w:t>
      </w:r>
      <w:r>
        <w:rPr>
          <w:rFonts w:ascii="Nirmala UI" w:hAnsi="Nirmala UI" w:eastAsia="Nirmala UI" w:cs="Nirmala UI"/>
        </w:rPr>
        <w:t>चिन्नुहुनेछ।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काँडाबाट</w:t>
      </w:r>
      <w:r>
        <w:rPr>
          <w:rFonts w:ascii="Times New Roman" w:hAnsi="Times New Roman" w:eastAsia="Times New Roman" w:cs="Times New Roman"/>
        </w:rPr>
        <w:t xml:space="preserve"> </w:t>
      </w:r>
      <w:r>
        <w:rPr>
          <w:rFonts w:ascii="Nirmala UI" w:hAnsi="Nirmala UI" w:eastAsia="Nirmala UI" w:cs="Nirmala UI"/>
        </w:rPr>
        <w:t>अङ्गुर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सिउँडीबाट</w:t>
      </w:r>
      <w:r>
        <w:rPr>
          <w:rFonts w:ascii="Times New Roman" w:hAnsi="Times New Roman" w:eastAsia="Times New Roman" w:cs="Times New Roman"/>
        </w:rPr>
        <w:t xml:space="preserve"> </w:t>
      </w:r>
      <w:r>
        <w:rPr>
          <w:rFonts w:ascii="Nirmala UI" w:hAnsi="Nirmala UI" w:eastAsia="Nirmala UI" w:cs="Nirmala UI"/>
        </w:rPr>
        <w:t>अञ्जिर</w:t>
      </w:r>
      <w:r>
        <w:rPr>
          <w:rFonts w:ascii="Times New Roman" w:hAnsi="Times New Roman" w:eastAsia="Times New Roman" w:cs="Times New Roman"/>
        </w:rPr>
        <w:t xml:space="preserve"> </w:t>
      </w:r>
      <w:r>
        <w:rPr>
          <w:rFonts w:ascii="Nirmala UI" w:hAnsi="Nirmala UI" w:eastAsia="Nirmala UI" w:cs="Nirmala UI"/>
        </w:rPr>
        <w:t>टिप्छन्</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फलाउँछ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खराब</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खराब</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फलाउँछ।</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खराब</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फलाउन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खराब</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फलाउन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फलाउँदैन</w:t>
      </w:r>
      <w:r>
        <w:rPr>
          <w:rFonts w:ascii="Times New Roman" w:hAnsi="Times New Roman" w:eastAsia="Times New Roman" w:cs="Times New Roman"/>
        </w:rPr>
        <w:t xml:space="preserve">, </w:t>
      </w:r>
      <w:r>
        <w:rPr>
          <w:rFonts w:ascii="Nirmala UI" w:hAnsi="Nirmala UI" w:eastAsia="Nirmala UI" w:cs="Nirmala UI"/>
        </w:rPr>
        <w:t>काटिन्छ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आगोमा</w:t>
      </w:r>
      <w:r>
        <w:rPr>
          <w:rFonts w:ascii="Times New Roman" w:hAnsi="Times New Roman" w:eastAsia="Times New Roman" w:cs="Times New Roman"/>
        </w:rPr>
        <w:t xml:space="preserve"> </w:t>
      </w:r>
      <w:r>
        <w:rPr>
          <w:rFonts w:ascii="Nirmala UI" w:hAnsi="Nirmala UI" w:eastAsia="Nirmala UI" w:cs="Nirmala UI"/>
        </w:rPr>
        <w:t>फालिन्छ।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फलद्वारा</w:t>
      </w:r>
      <w:r>
        <w:rPr>
          <w:rFonts w:ascii="Times New Roman" w:hAnsi="Times New Roman" w:eastAsia="Times New Roman" w:cs="Times New Roman"/>
        </w:rPr>
        <w:t xml:space="preserve"> </w:t>
      </w:r>
      <w:r>
        <w:rPr>
          <w:rFonts w:ascii="Nirmala UI" w:hAnsi="Nirmala UI" w:eastAsia="Nirmala UI" w:cs="Nirmala UI"/>
        </w:rPr>
        <w:t>चिन्नुहुनेछ।</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7:15–20</w:t>
      </w:r>
      <w:r>
        <w:rPr>
          <w:rFonts w:ascii="Nirmala UI" w:hAnsi="Nirmala UI" w:eastAsia="Nirmala UI" w:cs="Nirmala UI"/>
        </w:rPr>
        <w:t>।</w:t>
      </w:r>
    </w:p>
    <w:p>
      <w:pPr>
        <w:pStyle w:val="ArticleBody"/>
        <w:jc w:val="left"/>
      </w:pPr>
      <w:r>
        <w:rPr>
          <w:rFonts w:ascii="Times New Roman" w:hAnsi="Times New Roman" w:eastAsia="Times New Roman" w:cs="Times New Roman"/>
        </w:rPr>
        <w:t>La disposition de Smith à promouvoir, au sujet du roi du verset trente-six, un modèle prophétique privé porta également pour fruit une application erronée de la sixième plaie et d’Armageddon.</w:t>
      </w:r>
    </w:p>
    <w:p>
      <w:pPr>
        <w:pStyle w:val="ArticleScripture"/>
        <w:jc w:val="left"/>
      </w:pPr>
      <w:r>
        <w:rPr>
          <w:rFonts w:ascii="Times New Roman" w:hAnsi="Times New Roman" w:eastAsia="Times New Roman" w:cs="Times New Roman"/>
        </w:rPr>
        <w:t>Et le sixième ange versa sa coupe sur le grand fleuve Euphrate; et son eau tarit, afin que la voie des rois venant de l’Orient fût préparée. Et je vis sortir de la bouche du dragon, de la bouche de la bête, et de la bouche du faux prophète, trois esprits impurs, semblables à des grenouilles. Car ce sont des esprits de démons, opérant des prodiges, qui s’en vont vers les rois de la terre et du monde entier, afin de les rassembler pour le combat de ce grand jour du Dieu tout-puissant. Voici, je viens comme un voleur. Heureux celui qui veille, et qui garde ses vêtements, afin qu’il ne marche pas nu et qu’on ne voie pas sa honte. Et il les rassembla dans le lieu appelé en hébreu Armageddon. Apocalypse 16:12–16.</w:t>
      </w:r>
    </w:p>
    <w:p>
      <w:pPr>
        <w:pStyle w:val="ArticleBody"/>
        <w:jc w:val="left"/>
      </w:pPr>
      <w:r>
        <w:rPr>
          <w:rFonts w:ascii="Times New Roman" w:hAnsi="Times New Roman" w:eastAsia="Times New Roman" w:cs="Times New Roman"/>
        </w:rPr>
        <w:t>كما أشرنا سابقًا، تأتي الضربة السادسة بعد انقضاء زمن امتحان البشر؛ ولذلك فإن التحذير الوارد: «احفظ ثيابك» لا بد أن يشير إلى قضية امتحان تحدث قبل أن يقوم ميخائيل، وينقضي زمن امتحان البشر، وتبدأ الضربة الأولى. وتُعرِّف الضربة السادسة أنشطة التنين والوحش والنبي الكذاب، وهم الاتحاد الثلاثي الذي يجتمع عند قانون الأحد القريب المجيء. وذلك الاتحاد الثلاثي هو روما الحديثة، والرمز الذي يحدد ويثبت الاتحاد الثلاثي لروما الحديثة هو «سالبو شعبك» الذين «يرتفعون لإقامة الرؤيا» ثم «يسقطون».</w:t>
      </w:r>
    </w:p>
    <w:p>
      <w:pPr>
        <w:pStyle w:val="ArticleBody"/>
        <w:jc w:val="left"/>
      </w:pPr>
      <w:r>
        <w:rPr>
          <w:rFonts w:ascii="Times New Roman" w:hAnsi="Times New Roman" w:eastAsia="Times New Roman" w:cs="Times New Roman"/>
        </w:rPr>
        <w:t>Ukulumkisa kwesibetho sesithandathu, xa kuqondwa, kwenza umphefumlo ugcine izambatho zawo; kodwa ukuba kuyaliwa, kushiya umphefumlo uze, nto leyo eluphawu olunye kwezisihlanu zoMlaodikeya. Umfuziselo omisela olo kulumkisa ngabatshaba babantu bakho, abaziphakamisayo baze ekugqibeleni bawe. USolomon wathi ukuba abantu bakaThixo abanalo olo mbono, bayatshabalala.</w:t>
      </w:r>
    </w:p>
    <w:p>
      <w:pPr>
        <w:pStyle w:val="ArticleScripture"/>
        <w:jc w:val="left"/>
      </w:pPr>
      <w:r>
        <w:rPr>
          <w:rFonts w:ascii="Times New Roman" w:hAnsi="Times New Roman" w:eastAsia="Times New Roman" w:cs="Times New Roman"/>
        </w:rPr>
        <w:t>Là où il n’y a point de vision, le peuple périt; mais heureux est celui qui observe la loi. Proverbes 29:18.</w:t>
      </w:r>
    </w:p>
    <w:p>
      <w:pPr>
        <w:pStyle w:val="ArticleBody"/>
        <w:jc w:val="left"/>
      </w:pPr>
      <w:r>
        <w:rPr>
          <w:rFonts w:ascii="Times New Roman" w:hAnsi="Times New Roman" w:eastAsia="Times New Roman" w:cs="Times New Roman"/>
        </w:rPr>
        <w:t>דער העברעיִשער וואָרט פֿאַר „אָמבאַקומען“ מיינט „אַנטקליידן“; און יוחנן האָט אויפגעשריבן: „בָּרוּךְ הוּא הַשּׁוֹמֵר וְהַשּׁוֹמֵר אֶת־בְּגָדָיו, פֶּן־יֵלֵךְ עָרוֹם וְיִרְאוּ אֶת־חֶרְפָּתוֹ.“ סמית איז געווען אין טעות וועגן דעם מלך פֿון צפון, און יענע פֿאַלשע נבואישע יסוד־הנחה האָט אים דערלויבט אויסצואַרבעטן אַ נבואישע אָנווענדונג וואָס, אויב מען נעמט זי אָן, ברענגט אַרויס נאַקעטקייט, וואָס איז אַ סימבאָל פֿון די לאַאָדיקיער, וואָס ווערן אויסגעשפּיגן פֿון מויל פֿון דעם האר.</w:t>
      </w:r>
    </w:p>
    <w:p>
      <w:pPr>
        <w:pStyle w:val="ArticleBody"/>
        <w:jc w:val="left"/>
      </w:pPr>
      <w:r>
        <w:rPr>
          <w:rFonts w:ascii="Times New Roman" w:hAnsi="Times New Roman" w:eastAsia="Times New Roman" w:cs="Times New Roman"/>
        </w:rPr>
        <w:t>Smith ne rencontra aucune difficulté à défendre sa nouvelle fausse identification du roi du Nord contre James White, le mari de la prophétesse. Les historiens adventistes, ainsi que Sister White, traitent de leur célèbre désaccord. Ellen White reprit à la fois son mari et Smith pour avoir permis que leur divergence d’opinion quant à l’identité de celui qui était représenté par le roi du Nord dans Daniel onze fût portée sur la place publique. Dans la toute première publication adventiste après la Grande Déception de 1844, James White écrivit :</w:t>
      </w:r>
    </w:p>
    <w:p>
      <w:pPr>
        <w:pStyle w:val="ArticleScripture"/>
        <w:jc w:val="left"/>
      </w:pPr>
      <w:r>
        <w:rPr>
          <w:rFonts w:ascii="Times New Roman" w:hAnsi="Times New Roman" w:eastAsia="Times New Roman" w:cs="Times New Roman"/>
        </w:rPr>
        <w:t>“Jesu ananuka, akafunga mukova, uye akauya kuna Wekare-kare pamazuva, kuti agamuchire umambo hwake, mumwedzi wechinomwe, 1844, ndinozvitenda zvizere. Ona Ruka 13:25; Mateo 25:10; Danieri 7:13,14. Asi kumira kwaMikaeri, Danieri 12:1, kunoratidzika kuva chimwe chiitiko, chine chimwe chinangwa. Kusimuka kwake muna 1844, kwakanga kuri kuti avhare mukova, uye auye kuna Baba vake, kuti agamuchire umambo hwake, nesimba rokutonga; asi kumira kwaMikaeri, ndiko kuratidza simba rake roumambo, raakatova naro, mukuparadzwa kwavakaipa, uye mukununurwa kwavanhu vake. Mikaeri anofanira kumira panguva iyo simba rokupedzisira riri muchitsauko 11, rinosvika kumugumo waro, uye pasina anomubatsira. Simba iri ndiro rokupedzisira rinotsika-tsika kereke yechokwadi yaMwari: uye sezvo kereke yechokwadi ichiri kutsikwa-tsikwa, uye ichikandirwa kunze nechikristu chose, zvinotevera kuti simba rokupedzisira rinodzvinyirira harisati ‘rasvika kumugumo waro;’ uye Mikaeri haasati amira. Simba iri rokupedzisira rinotsika-tsika vatsvene rinoratidzwa muna Zvakazarurwa 13:11-18. Nhamba yaro i666.” James White, A Word to the Little Flock, 8.</w:t>
      </w:r>
    </w:p>
    <w:p>
      <w:pPr>
        <w:pStyle w:val="ArticleBody"/>
        <w:jc w:val="left"/>
      </w:pPr>
      <w:r>
        <w:rPr>
          <w:rFonts w:ascii="Times New Roman" w:hAnsi="Times New Roman" w:eastAsia="Times New Roman" w:cs="Times New Roman"/>
        </w:rPr>
        <w:t>Lorsque Smith introduisit sa prétendue « nouvelle lumière » au sujet de « la dernière puissance dans Daniel, chapitre onze », James White considéra l’application de Smith, non comme une lumière nouvelle, mais comme une attaque contre les fondements. La controverse concernant Rome comme le roi du nord dans Daniel onze, qui eut lieu entre Uriah Smith et James White, possède des caractéristiques particulières que, en tant qu’étudiants de la prophétie, nous devons mettre en relation avec les autres controverses de l’histoire adventiste concernant le symbole de Rome.</w:t>
      </w:r>
    </w:p>
    <w:p>
      <w:pPr>
        <w:pStyle w:val="ArticleBody"/>
        <w:jc w:val="left"/>
      </w:pPr>
      <w:r>
        <w:rPr>
          <w:rFonts w:ascii="Times New Roman" w:hAnsi="Times New Roman" w:eastAsia="Times New Roman" w:cs="Times New Roman"/>
        </w:rPr>
        <w:t>L’un de ces attributs est l’introduction d’une interprétation particulière. Un autre attribut est que l’application de cette interprétation particulière exige une torsion de la grammaire simple, car Smith non seulement a négligé le fait que chaque attribut prophétique du verset trente-six s’adresse à Rome, mais il a aussi négligé le fait que la structure grammaticale exige que le roi du verset trente-six soit le même roi que celui qui est présenté dans le passage précédent.</w:t>
      </w:r>
    </w:p>
    <w:p>
      <w:pPr>
        <w:pStyle w:val="ArticleBody"/>
        <w:jc w:val="left"/>
      </w:pPr>
      <w:r>
        <w:rPr>
          <w:rFonts w:ascii="Times New Roman" w:hAnsi="Times New Roman" w:eastAsia="Times New Roman" w:cs="Times New Roman"/>
        </w:rPr>
        <w:t>سمةٌ أخرى هي أنَّ التفسيرَ الخاصَّ كان رفضًا لحقائقَ تأسيسيّة. وأخرى هي أنّه يمثّل رفضًا لسلطان روح النبوّة. ومن الخصائص الأخرى أنّ الفكرةَ الأولى المعيبةَ بشأن روما ستؤدّي إلى نموذجٍ نبويٍّ لا يجيز للإنسان أن يحفظ ثيابه وهو يقترب من ختام زمن امتحان البشر. وأخرى كانت الاستعدادَ للترويج لتفسيره الخاصّ على الملأ. وأخرى هي أنّ التفسير الخاصّ يُعرَّف دائمًا بأنّه نورٌ جديد. وجميع هذه السمات ماثلةٌ ضمن النقاش الحالي بشأن «لصوص شعبك».</w:t>
      </w:r>
    </w:p>
    <w:p>
      <w:pPr>
        <w:pStyle w:val="ArticleBody"/>
        <w:jc w:val="left"/>
      </w:pPr>
      <w:r>
        <w:rPr>
          <w:rFonts w:ascii="Times New Roman" w:hAnsi="Times New Roman" w:eastAsia="Times New Roman" w:cs="Times New Roman"/>
        </w:rPr>
        <w:t>Nazajanje ya suka ya Roma, oyo ezalaki elilingi na suka ya liboso ya matata ya Roma oyo emonisaki “babɛti-mipakola ya bato na yo,” soki esangisami na molɔngɔ ya esakweli ya matata ya Uriah Smith mpe ya James White, tokomona ete etuluku moko ekozala kotonga ndakisa na bango ya esakweli likoló ya ndimbola ya moto ye moko, oyo ebwaka solo ya moboko.</w:t>
      </w:r>
    </w:p>
    <w:p>
      <w:pPr>
        <w:pStyle w:val="ArticleBody"/>
        <w:jc w:val="left"/>
      </w:pPr>
      <w:r>
        <w:rPr>
          <w:rFonts w:ascii="Times New Roman" w:hAnsi="Times New Roman" w:eastAsia="Times New Roman" w:cs="Times New Roman"/>
        </w:rPr>
        <w:t>La rejection des vérités fondamentales représente automatiquement un rejet de l’autorité de l’Esprit de prophétie, lequel défend avec tant de solidité ces vérités fondamentales. Cette catégorie de personnes sera également disposée à exposer publiquement son point de vue, sans égard aux préoccupations qui pourraient être soulevées quant à l’effet que cet enseignement pourrait avoir sur le peuple de Dieu à travers le monde.</w:t>
      </w:r>
    </w:p>
    <w:p>
      <w:pPr>
        <w:pStyle w:val="ArticleBody"/>
        <w:jc w:val="left"/>
      </w:pPr>
      <w:r>
        <w:rPr>
          <w:rFonts w:ascii="Times New Roman" w:hAnsi="Times New Roman" w:eastAsia="Times New Roman" w:cs="Times New Roman"/>
        </w:rPr>
        <w:t>Kuva 1844 pekhîn, andame awelîn ê Adventîzmê de, nîqaşekî din derbarê Romayê de hate destpêkirin. Ew nîqaş berdewam kir ku were hejandin, heta ku wê nêrîna derewîn di andama sêyemîn a Adventîzmê de hate pejirandin. Em ê nîqaşa “rojane” wekî çaremîn ji şeş xetan ku em niha di modela xet li ser xet de dinirxînin, binirxînin.</w:t>
      </w:r>
    </w:p>
    <w:p>
      <w:pPr>
        <w:pStyle w:val="ArticleBody"/>
        <w:jc w:val="left"/>
      </w:pPr>
      <w:r>
        <w:rPr>
          <w:rFonts w:ascii="Times New Roman" w:hAnsi="Times New Roman" w:eastAsia="Times New Roman" w:cs="Times New Roman"/>
        </w:rPr>
        <w:t>De miel laaɗen darnde nayre ndee e nder geeseeji Rooma, e woodi ko haani siiftude wonnde e maande yeeso ndee, nde mi waɗi kaɓirgol aaya sappo e Daniel sura sappo e go’o, min mbi’i: “Aaya sappo maa e jokkondiri e no woodi e no toorii ‘joweeteeji jeɗɗi’ ɗii nder Leviticus mokkoy e jeegom, e eɗen sirruuji taariika, kono ndee ewonnde goonga ngoo wonaa ko min ngoni ɗoo e hollude.”</w:t>
      </w:r>
    </w:p>
    <w:p>
      <w:pPr>
        <w:pStyle w:val="ArticleBody"/>
        <w:jc w:val="left"/>
      </w:pPr>
      <w:r>
        <w:rPr>
          <w:rFonts w:ascii="Times New Roman" w:hAnsi="Times New Roman" w:eastAsia="Times New Roman" w:cs="Times New Roman"/>
        </w:rPr>
        <w:t>Урия Смит был ведущим в отвержении «семи времён» в 1863 году. Он отверг возрастание познания по этому вопросу, представленное в статьях на данную тему, написанных Хайрамом Эдсоном и опубликованных в Review в 1856 году. Значение того, что Смит был связан с движением, которое представляло «семь времён», но впоследствии отвергло возрастание познания именно по этому вопросу, также выходит за пределы темы особенностей введения Смитом того, что он называл новым светом по вопросу о царе севера; однако, когда мы завершим наш обзор линии адвентистских споров о Риме, мы вновь обратимся как к значению десятого стиха одиннадцатой главы Даниила, так и к тому, что выражено в отвержении Смитом Лаодикийской вести, пришедшей в 1856 году вместе с возрастанием познания о «семи временах».</w:t>
      </w:r>
    </w:p>
    <w:p>
      <w:pPr>
        <w:pStyle w:val="ArticleScripture"/>
        <w:jc w:val="left"/>
      </w:pPr>
      <w:r>
        <w:rPr>
          <w:rFonts w:ascii="Times New Roman" w:hAnsi="Times New Roman" w:eastAsia="Times New Roman" w:cs="Times New Roman"/>
        </w:rPr>
        <w:t>“Ang among atong pagtoo mahitungod sa mga mensahe sa nahaunang, ikaduhang, ug ikatulong mga manulunda husto gayud. Ang dagkong mga timaan sa dalan nga atong naagian dili matarug. Bisan pa kon ang mga panon sa impiyerno maninguha sa paggisi kanila gikan sa ilang patukoranan, ug magmadaugon sa hunahuna nga sila nakalampos na, apan sila dili gayud molampos. Kining mga haligi sa kamatuoran nagatindog nga malig-on sama sa walay-kataposang kabungtoran, dili matarug sa tanang paningkamot sa mga tawo inubanan sa mga paningkamot ni Satanas ug sa iyang panon. Daghan kitang makat-onan, ug kinahanglan kita kanunayng magsusi sa mga Kasulatan aron makita kon tinuod ba kining mga butanga.” Evangelism, 223.</w:t>
      </w:r>
    </w:p>
    <w:p>
      <w:pPr>
        <w:pStyle w:val="ArticleScripture"/>
        <w:jc w:val="left"/>
      </w:pPr>
      <w:r>
        <w:rPr>
          <w:rFonts w:ascii="Times New Roman" w:hAnsi="Times New Roman" w:eastAsia="Times New Roman" w:cs="Times New Roman"/>
        </w:rPr>
        <w:t>« Les grands repères de la vérité, qui nous indiquent notre position dans l’histoire prophétique, doivent être soigneusement préservés, de peur qu’ils ne soient renversés et remplacés par des théories qui apporteraient la confusion plutôt qu’une véritable lumière. » Selected Messages, livre 2, 101, 102.</w:t>
      </w:r>
    </w:p>
    <w:p>
      <w:pPr>
        <w:pStyle w:val="ArticleScripture"/>
        <w:jc w:val="left"/>
      </w:pPr>
      <w:r>
        <w:rPr>
          <w:rFonts w:ascii="Times New Roman" w:hAnsi="Times New Roman" w:eastAsia="Times New Roman" w:cs="Times New Roman"/>
        </w:rPr>
        <w:t>„</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ಪವಿತ್ರಸ್ಥಳದ</w:t>
      </w:r>
      <w:r>
        <w:rPr>
          <w:rFonts w:ascii="Times New Roman" w:hAnsi="Times New Roman" w:eastAsia="Times New Roman" w:cs="Times New Roman"/>
        </w:rPr>
        <w:t xml:space="preserve"> </w:t>
      </w:r>
      <w:r>
        <w:rPr>
          <w:rFonts w:ascii="Nirmala UI" w:hAnsi="Nirmala UI" w:eastAsia="Nirmala UI" w:cs="Nirmala UI"/>
        </w:rPr>
        <w:t>ಪ್ರಶ್ನೆಯ</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ವಿಶ್ವಾಸವನ್ನು</w:t>
      </w:r>
      <w:r>
        <w:rPr>
          <w:rFonts w:ascii="Times New Roman" w:hAnsi="Times New Roman" w:eastAsia="Times New Roman" w:cs="Times New Roman"/>
        </w:rPr>
        <w:t xml:space="preserve"> </w:t>
      </w:r>
      <w:r>
        <w:rPr>
          <w:rFonts w:ascii="Nirmala UI" w:hAnsi="Nirmala UI" w:eastAsia="Nirmala UI" w:cs="Nirmala UI"/>
        </w:rPr>
        <w:t>ಅಲುಗಾಡಿಸುವುದಕ್ಕಾಗಿ</w:t>
      </w:r>
      <w:r>
        <w:rPr>
          <w:rFonts w:ascii="Times New Roman" w:hAnsi="Times New Roman" w:eastAsia="Times New Roman" w:cs="Times New Roman"/>
        </w:rPr>
        <w:t xml:space="preserve"> </w:t>
      </w:r>
      <w:r>
        <w:rPr>
          <w:rFonts w:ascii="Nirmala UI" w:hAnsi="Nirmala UI" w:eastAsia="Nirmala UI" w:cs="Nirmala UI"/>
        </w:rPr>
        <w:t>ಅನೇಕ</w:t>
      </w:r>
      <w:r>
        <w:rPr>
          <w:rFonts w:ascii="Times New Roman" w:hAnsi="Times New Roman" w:eastAsia="Times New Roman" w:cs="Times New Roman"/>
        </w:rPr>
        <w:t xml:space="preserve"> </w:t>
      </w:r>
      <w:r>
        <w:rPr>
          <w:rFonts w:ascii="Nirmala UI" w:hAnsi="Nirmala UI" w:eastAsia="Nirmala UI" w:cs="Nirmala UI"/>
        </w:rPr>
        <w:t>ಪ್ರಯತ್ನಗಳು</w:t>
      </w:r>
      <w:r>
        <w:rPr>
          <w:rFonts w:ascii="Times New Roman" w:hAnsi="Times New Roman" w:eastAsia="Times New Roman" w:cs="Times New Roman"/>
        </w:rPr>
        <w:t xml:space="preserve"> </w:t>
      </w:r>
      <w:r>
        <w:rPr>
          <w:rFonts w:ascii="Nirmala UI" w:hAnsi="Nirmala UI" w:eastAsia="Nirmala UI" w:cs="Nirmala UI"/>
        </w:rPr>
        <w:t>ನಡೆಯಲಿವೆ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ಅಚಲರಾಗಿಯೇ</w:t>
      </w:r>
      <w:r>
        <w:rPr>
          <w:rFonts w:ascii="Times New Roman" w:hAnsi="Times New Roman" w:eastAsia="Times New Roman" w:cs="Times New Roman"/>
        </w:rPr>
        <w:t xml:space="preserve"> </w:t>
      </w:r>
      <w:r>
        <w:rPr>
          <w:rFonts w:ascii="Nirmala UI" w:hAnsi="Nirmala UI" w:eastAsia="Nirmala UI" w:cs="Nirmala UI"/>
        </w:rPr>
        <w:t>ಇರಬೇಕು</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ನಂಬಿಕೆಯ</w:t>
      </w:r>
      <w:r>
        <w:rPr>
          <w:rFonts w:ascii="Times New Roman" w:hAnsi="Times New Roman" w:eastAsia="Times New Roman" w:cs="Times New Roman"/>
        </w:rPr>
        <w:t xml:space="preserve"> </w:t>
      </w:r>
      <w:r>
        <w:rPr>
          <w:rFonts w:ascii="Nirmala UI" w:hAnsi="Nirmala UI" w:eastAsia="Nirmala UI" w:cs="Nirmala UI"/>
        </w:rPr>
        <w:t>ಅಡಿಪಾಯಗಳಿಂದ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ಪಿನ್ನನ್ನೂ</w:t>
      </w:r>
      <w:r>
        <w:rPr>
          <w:rFonts w:ascii="Times New Roman" w:hAnsi="Times New Roman" w:eastAsia="Times New Roman" w:cs="Times New Roman"/>
        </w:rPr>
        <w:t xml:space="preserve"> </w:t>
      </w:r>
      <w:r>
        <w:rPr>
          <w:rFonts w:ascii="Nirmala UI" w:hAnsi="Nirmala UI" w:eastAsia="Nirmala UI" w:cs="Nirmala UI"/>
        </w:rPr>
        <w:t>ಕದಲಿಸಬಾರದು</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ಸಂಶಯಕ್ಕೆ</w:t>
      </w:r>
      <w:r>
        <w:rPr>
          <w:rFonts w:ascii="Times New Roman" w:hAnsi="Times New Roman" w:eastAsia="Times New Roman" w:cs="Times New Roman"/>
        </w:rPr>
        <w:t xml:space="preserve"> </w:t>
      </w:r>
      <w:r>
        <w:rPr>
          <w:rFonts w:ascii="Nirmala UI" w:hAnsi="Nirmala UI" w:eastAsia="Nirmala UI" w:cs="Nirmala UI"/>
        </w:rPr>
        <w:t>ಒಳಗಾಗುವವರು</w:t>
      </w:r>
      <w:r>
        <w:rPr>
          <w:rFonts w:ascii="Times New Roman" w:hAnsi="Times New Roman" w:eastAsia="Times New Roman" w:cs="Times New Roman"/>
        </w:rPr>
        <w:t xml:space="preserve"> </w:t>
      </w:r>
      <w:r>
        <w:rPr>
          <w:rFonts w:ascii="Nirmala UI" w:hAnsi="Nirmala UI" w:eastAsia="Nirmala UI" w:cs="Nirmala UI"/>
        </w:rPr>
        <w:t>ತಪ್ಪು</w:t>
      </w:r>
      <w:r>
        <w:rPr>
          <w:rFonts w:ascii="Times New Roman" w:hAnsi="Times New Roman" w:eastAsia="Times New Roman" w:cs="Times New Roman"/>
        </w:rPr>
        <w:t xml:space="preserve"> </w:t>
      </w:r>
      <w:r>
        <w:rPr>
          <w:rFonts w:ascii="Nirmala UI" w:hAnsi="Nirmala UI" w:eastAsia="Nirmala UI" w:cs="Nirmala UI"/>
        </w:rPr>
        <w:t>ಸಿದ್ಧಾಂತಗಳತ್ತ</w:t>
      </w:r>
      <w:r>
        <w:rPr>
          <w:rFonts w:ascii="Times New Roman" w:hAnsi="Times New Roman" w:eastAsia="Times New Roman" w:cs="Times New Roman"/>
        </w:rPr>
        <w:t xml:space="preserve"> </w:t>
      </w:r>
      <w:r>
        <w:rPr>
          <w:rFonts w:ascii="Nirmala UI" w:hAnsi="Nirmala UI" w:eastAsia="Nirmala UI" w:cs="Nirmala UI"/>
        </w:rPr>
        <w:t>ತೇಲಿಹೋಗುವರು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ಅಂತಿಮವಾಗಿ</w:t>
      </w:r>
      <w:r>
        <w:rPr>
          <w:rFonts w:ascii="Times New Roman" w:hAnsi="Times New Roman" w:eastAsia="Times New Roman" w:cs="Times New Roman"/>
        </w:rPr>
        <w:t xml:space="preserve"> </w:t>
      </w:r>
      <w:r>
        <w:rPr>
          <w:rFonts w:ascii="Nirmala UI" w:hAnsi="Nirmala UI" w:eastAsia="Nirmala UI" w:cs="Nirmala UI"/>
        </w:rPr>
        <w:t>ಸತ್ಯವೆಂದರೆ</w:t>
      </w:r>
      <w:r>
        <w:rPr>
          <w:rFonts w:ascii="Times New Roman" w:hAnsi="Times New Roman" w:eastAsia="Times New Roman" w:cs="Times New Roman"/>
        </w:rPr>
        <w:t xml:space="preserve"> </w:t>
      </w:r>
      <w:r>
        <w:rPr>
          <w:rFonts w:ascii="Nirmala UI" w:hAnsi="Nirmala UI" w:eastAsia="Nirmala UI" w:cs="Nirmala UI"/>
        </w:rPr>
        <w:t>ಏನು</w:t>
      </w:r>
      <w:r>
        <w:rPr>
          <w:rFonts w:ascii="Times New Roman" w:hAnsi="Times New Roman" w:eastAsia="Times New Roman" w:cs="Times New Roman"/>
        </w:rPr>
        <w:t xml:space="preserve"> </w:t>
      </w:r>
      <w:r>
        <w:rPr>
          <w:rFonts w:ascii="Nirmala UI" w:hAnsi="Nirmala UI" w:eastAsia="Nirmala UI" w:cs="Nirmala UI"/>
        </w:rPr>
        <w:t>ಎಂಬುದರ</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ಇದ್ದ</w:t>
      </w:r>
      <w:r>
        <w:rPr>
          <w:rFonts w:ascii="Times New Roman" w:hAnsi="Times New Roman" w:eastAsia="Times New Roman" w:cs="Times New Roman"/>
        </w:rPr>
        <w:t xml:space="preserve"> </w:t>
      </w:r>
      <w:r>
        <w:rPr>
          <w:rFonts w:ascii="Nirmala UI" w:hAnsi="Nirmala UI" w:eastAsia="Nirmala UI" w:cs="Nirmala UI"/>
        </w:rPr>
        <w:t>ಹಿಂದಿನ</w:t>
      </w:r>
      <w:r>
        <w:rPr>
          <w:rFonts w:ascii="Times New Roman" w:hAnsi="Times New Roman" w:eastAsia="Times New Roman" w:cs="Times New Roman"/>
        </w:rPr>
        <w:t xml:space="preserve"> </w:t>
      </w:r>
      <w:r>
        <w:rPr>
          <w:rFonts w:ascii="Nirmala UI" w:hAnsi="Nirmala UI" w:eastAsia="Nirmala UI" w:cs="Nirmala UI"/>
        </w:rPr>
        <w:t>ಸಾಕ್ಷ್ಯಗಳ</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ತಮ್ಮನ್ನೇ</w:t>
      </w:r>
      <w:r>
        <w:rPr>
          <w:rFonts w:ascii="Times New Roman" w:hAnsi="Times New Roman" w:eastAsia="Times New Roman" w:cs="Times New Roman"/>
        </w:rPr>
        <w:t xml:space="preserve"> </w:t>
      </w:r>
      <w:r>
        <w:rPr>
          <w:rFonts w:ascii="Nirmala UI" w:hAnsi="Nirmala UI" w:eastAsia="Nirmala UI" w:cs="Nirmala UI"/>
        </w:rPr>
        <w:t>ಅವಿಶ್ವಾಸಿಗಳಾಗಿ</w:t>
      </w:r>
      <w:r>
        <w:rPr>
          <w:rFonts w:ascii="Times New Roman" w:hAnsi="Times New Roman" w:eastAsia="Times New Roman" w:cs="Times New Roman"/>
        </w:rPr>
        <w:t xml:space="preserve"> </w:t>
      </w:r>
      <w:r>
        <w:rPr>
          <w:rFonts w:ascii="Nirmala UI" w:hAnsi="Nirmala UI" w:eastAsia="Nirmala UI" w:cs="Nirmala UI"/>
        </w:rPr>
        <w:t>ಕಂಡುಕೊಳ್ಳುವರು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ದಿಕ್ಕು</w:t>
      </w:r>
      <w:r>
        <w:rPr>
          <w:rFonts w:ascii="Times New Roman" w:hAnsi="Times New Roman" w:eastAsia="Times New Roman" w:cs="Times New Roman"/>
        </w:rPr>
        <w:t xml:space="preserve"> </w:t>
      </w:r>
      <w:r>
        <w:rPr>
          <w:rFonts w:ascii="Nirmala UI" w:hAnsi="Nirmala UI" w:eastAsia="Nirmala UI" w:cs="Nirmala UI"/>
        </w:rPr>
        <w:t>ತಪ್ಪಿಸಿಕೊಳ್ಳದಂತೆ</w:t>
      </w:r>
      <w:r>
        <w:rPr>
          <w:rFonts w:ascii="Times New Roman" w:hAnsi="Times New Roman" w:eastAsia="Times New Roman" w:cs="Times New Roman"/>
        </w:rPr>
        <w:t xml:space="preserve">, </w:t>
      </w:r>
      <w:r>
        <w:rPr>
          <w:rFonts w:ascii="Nirmala UI" w:hAnsi="Nirmala UI" w:eastAsia="Nirmala UI" w:cs="Nirmala UI"/>
        </w:rPr>
        <w:t>ಹಳೆಯ</w:t>
      </w:r>
      <w:r>
        <w:rPr>
          <w:rFonts w:ascii="Times New Roman" w:hAnsi="Times New Roman" w:eastAsia="Times New Roman" w:cs="Times New Roman"/>
        </w:rPr>
        <w:t xml:space="preserve"> </w:t>
      </w:r>
      <w:r>
        <w:rPr>
          <w:rFonts w:ascii="Nirmala UI" w:hAnsi="Nirmala UI" w:eastAsia="Nirmala UI" w:cs="Nirmala UI"/>
        </w:rPr>
        <w:t>ದಾರಿಚಿಹ್ನೆಗಳನ್ನು</w:t>
      </w:r>
      <w:r>
        <w:rPr>
          <w:rFonts w:ascii="Times New Roman" w:hAnsi="Times New Roman" w:eastAsia="Times New Roman" w:cs="Times New Roman"/>
        </w:rPr>
        <w:t xml:space="preserve"> </w:t>
      </w:r>
      <w:r>
        <w:rPr>
          <w:rFonts w:ascii="Nirmala UI" w:hAnsi="Nirmala UI" w:eastAsia="Nirmala UI" w:cs="Nirmala UI"/>
        </w:rPr>
        <w:t>ಸಂರಕ್ಷಿಸಬೇಕು</w:t>
      </w:r>
      <w:r>
        <w:rPr>
          <w:rFonts w:ascii="Times New Roman" w:hAnsi="Times New Roman" w:eastAsia="Times New Roman" w:cs="Times New Roman"/>
        </w:rPr>
        <w:t>.“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Rum Qaqqabsiisa Mul’ata — Lakkoofsa Jaha</dc:title>
  <dc:subject>Miwaworanlọ Tọdido Lẹdo-nukundiọsọ Dilo Mẹdevo lẹ Jẹhẹnu Adifẹntisti Tọn Mẹ: Mọgbẹnọ Nuyọnẹn jiji he ko yin lẹdo Uriah Smith po James White po lori Danieli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