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로마가</w:t>
      </w:r>
      <w:r>
        <w:rPr>
          <w:rFonts w:ascii="Arial" w:hAnsi="Arial" w:eastAsia="Arial" w:cs="Arial"/>
        </w:rPr>
        <w:t xml:space="preserve"> </w:t>
      </w:r>
      <w:r>
        <w:rPr>
          <w:rFonts w:ascii="Malgun Gothic" w:hAnsi="Malgun Gothic" w:eastAsia="Malgun Gothic" w:cs="Malgun Gothic"/>
        </w:rPr>
        <w:t>그</w:t>
      </w:r>
      <w:r>
        <w:rPr>
          <w:rFonts w:ascii="Arial" w:hAnsi="Arial" w:eastAsia="Arial" w:cs="Arial"/>
        </w:rPr>
        <w:t xml:space="preserve"> </w:t>
      </w:r>
      <w:r>
        <w:rPr>
          <w:rFonts w:ascii="Malgun Gothic" w:hAnsi="Malgun Gothic" w:eastAsia="Malgun Gothic" w:cs="Malgun Gothic"/>
        </w:rPr>
        <w:t>환상을</w:t>
      </w:r>
      <w:r>
        <w:rPr>
          <w:rFonts w:ascii="Arial" w:hAnsi="Arial" w:eastAsia="Arial" w:cs="Arial"/>
        </w:rPr>
        <w:t xml:space="preserve"> </w:t>
      </w:r>
      <w:r>
        <w:rPr>
          <w:rFonts w:ascii="Malgun Gothic" w:hAnsi="Malgun Gothic" w:eastAsia="Malgun Gothic" w:cs="Malgun Gothic"/>
        </w:rPr>
        <w:t>세운다</w:t>
      </w:r>
      <w:r>
        <w:rPr>
          <w:rFonts w:ascii="Arial" w:hAnsi="Arial" w:eastAsia="Arial" w:cs="Arial"/>
        </w:rPr>
        <w:t xml:space="preserve"> - </w:t>
      </w:r>
      <w:r>
        <w:rPr>
          <w:rFonts w:ascii="Malgun Gothic" w:hAnsi="Malgun Gothic" w:eastAsia="Malgun Gothic" w:cs="Malgun Gothic"/>
        </w:rPr>
        <w:t>일곱째</w:t>
      </w:r>
      <w:r>
        <w:rPr>
          <w:rFonts w:ascii="Arial" w:hAnsi="Arial" w:eastAsia="Arial" w:cs="Arial"/>
        </w:rPr>
        <w:t xml:space="preserve"> </w:t>
      </w:r>
      <w:r>
        <w:rPr>
          <w:rFonts w:ascii="Malgun Gothic" w:hAnsi="Malgun Gothic" w:eastAsia="Malgun Gothic" w:cs="Malgun Gothic"/>
        </w:rPr>
        <w:t>수</w:t>
      </w:r>
    </w:p>
    <w:p>
      <w:pPr>
        <w:pStyle w:val="ArticleSubtitle"/>
        <w:jc w:val="left"/>
      </w:pPr>
      <w:r>
        <w:rPr>
          <w:rFonts w:ascii="Arial" w:hAnsi="Arial" w:eastAsia="Arial" w:cs="Arial"/>
        </w:rPr>
        <w:t>La Controverse finale : le symbolisme de Rome dans la prophétie adventiste et la fin du temps de grâce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Ebrima" w:hAnsi="Ebrima" w:eastAsia="Ebrima" w:cs="Ebrima"/>
        </w:rPr>
        <w:t>ንሕና</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ኣድቨንቲዝም</w:t>
      </w:r>
      <w:r>
        <w:rPr>
          <w:rFonts w:ascii="Times New Roman" w:hAnsi="Times New Roman" w:eastAsia="Times New Roman" w:cs="Times New Roman"/>
        </w:rPr>
        <w:t xml:space="preserve"> </w:t>
      </w:r>
      <w:r>
        <w:rPr>
          <w:rFonts w:ascii="Ebrima" w:hAnsi="Ebrima" w:eastAsia="Ebrima" w:cs="Ebrima"/>
        </w:rPr>
        <w:t>ውሽጢ፡</w:t>
      </w:r>
      <w:r>
        <w:rPr>
          <w:rFonts w:ascii="Times New Roman" w:hAnsi="Times New Roman" w:eastAsia="Times New Roman" w:cs="Times New Roman"/>
        </w:rPr>
        <w:t xml:space="preserve"> </w:t>
      </w:r>
      <w:r>
        <w:rPr>
          <w:rFonts w:ascii="Ebrima" w:hAnsi="Ebrima" w:eastAsia="Ebrima" w:cs="Ebrima"/>
        </w:rPr>
        <w:t>ክርክራት</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ዘሰረቱ</w:t>
      </w:r>
      <w:r>
        <w:rPr>
          <w:rFonts w:ascii="Times New Roman" w:hAnsi="Times New Roman" w:eastAsia="Times New Roman" w:cs="Times New Roman"/>
        </w:rPr>
        <w:t xml:space="preserve"> </w:t>
      </w:r>
      <w:r>
        <w:rPr>
          <w:rFonts w:ascii="Ebrima" w:hAnsi="Ebrima" w:eastAsia="Ebrima" w:cs="Ebrima"/>
        </w:rPr>
        <w:t>ሽዱሽተ</w:t>
      </w:r>
      <w:r>
        <w:rPr>
          <w:rFonts w:ascii="Times New Roman" w:hAnsi="Times New Roman" w:eastAsia="Times New Roman" w:cs="Times New Roman"/>
        </w:rPr>
        <w:t xml:space="preserve"> </w:t>
      </w:r>
      <w:r>
        <w:rPr>
          <w:rFonts w:ascii="Ebrima" w:hAnsi="Ebrima" w:eastAsia="Ebrima" w:cs="Ebrima"/>
        </w:rPr>
        <w:t>ታሪኻዊ</w:t>
      </w:r>
      <w:r>
        <w:rPr>
          <w:rFonts w:ascii="Times New Roman" w:hAnsi="Times New Roman" w:eastAsia="Times New Roman" w:cs="Times New Roman"/>
        </w:rPr>
        <w:t xml:space="preserve"> </w:t>
      </w:r>
      <w:r>
        <w:rPr>
          <w:rFonts w:ascii="Ebrima" w:hAnsi="Ebrima" w:eastAsia="Ebrima" w:cs="Ebrima"/>
        </w:rPr>
        <w:t>መስመራት</w:t>
      </w:r>
      <w:r>
        <w:rPr>
          <w:rFonts w:ascii="Times New Roman" w:hAnsi="Times New Roman" w:eastAsia="Times New Roman" w:cs="Times New Roman"/>
        </w:rPr>
        <w:t xml:space="preserve"> </w:t>
      </w:r>
      <w:r>
        <w:rPr>
          <w:rFonts w:ascii="Ebrima" w:hAnsi="Ebrima" w:eastAsia="Ebrima" w:cs="Ebrima"/>
        </w:rPr>
        <w:t>ንምርመር</w:t>
      </w:r>
      <w:r>
        <w:rPr>
          <w:rFonts w:ascii="Times New Roman" w:hAnsi="Times New Roman" w:eastAsia="Times New Roman" w:cs="Times New Roman"/>
        </w:rPr>
        <w:t xml:space="preserve"> </w:t>
      </w:r>
      <w:r>
        <w:rPr>
          <w:rFonts w:ascii="Ebrima" w:hAnsi="Ebrima" w:eastAsia="Ebrima" w:cs="Ebrima"/>
        </w:rPr>
        <w:t>ኣለና።</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ስርዓት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ዳሕራይ</w:t>
      </w:r>
      <w:r>
        <w:rPr>
          <w:rFonts w:ascii="Times New Roman" w:hAnsi="Times New Roman" w:eastAsia="Times New Roman" w:cs="Times New Roman"/>
        </w:rPr>
        <w:t xml:space="preserve"> </w:t>
      </w:r>
      <w:r>
        <w:rPr>
          <w:rFonts w:ascii="Ebrima" w:hAnsi="Ebrima" w:eastAsia="Ebrima" w:cs="Ebrima"/>
        </w:rPr>
        <w:t>ንጥቀመሉ</w:t>
      </w:r>
      <w:r>
        <w:rPr>
          <w:rFonts w:ascii="Times New Roman" w:hAnsi="Times New Roman" w:eastAsia="Times New Roman" w:cs="Times New Roman"/>
        </w:rPr>
        <w:t xml:space="preserve"> </w:t>
      </w:r>
      <w:r>
        <w:rPr>
          <w:rFonts w:ascii="Ebrima" w:hAnsi="Ebrima" w:eastAsia="Ebrima" w:cs="Ebrima"/>
        </w:rPr>
        <w:t>ኣለና፣</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ኣብዚ</w:t>
      </w:r>
      <w:r>
        <w:rPr>
          <w:rFonts w:ascii="Times New Roman" w:hAnsi="Times New Roman" w:eastAsia="Times New Roman" w:cs="Times New Roman"/>
        </w:rPr>
        <w:t xml:space="preserve"> </w:t>
      </w:r>
      <w:r>
        <w:rPr>
          <w:rFonts w:ascii="Ebrima" w:hAnsi="Ebrima" w:eastAsia="Ebrima" w:cs="Ebrima"/>
        </w:rPr>
        <w:t>ቍሩብ</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ቍሩብ</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ዝብል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ዘመልክት</w:t>
      </w:r>
      <w:r>
        <w:rPr>
          <w:rFonts w:ascii="Times New Roman" w:hAnsi="Times New Roman" w:eastAsia="Times New Roman" w:cs="Times New Roman"/>
        </w:rPr>
        <w:t xml:space="preserve"> </w:t>
      </w:r>
      <w:r>
        <w:rPr>
          <w:rFonts w:ascii="Ebrima" w:hAnsi="Ebrima" w:eastAsia="Ebrima" w:cs="Ebrima"/>
        </w:rPr>
        <w:t>ብምልላይ</w:t>
      </w:r>
      <w:r>
        <w:rPr>
          <w:rFonts w:ascii="Times New Roman" w:hAnsi="Times New Roman" w:eastAsia="Times New Roman" w:cs="Times New Roman"/>
        </w:rPr>
        <w:t xml:space="preserve"> </w:t>
      </w:r>
      <w:r>
        <w:rPr>
          <w:rFonts w:ascii="Ebrima" w:hAnsi="Ebrima" w:eastAsia="Ebrima" w:cs="Ebrima"/>
        </w:rPr>
        <w:t>ጀሚርና፤</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ምዕጻው</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ዘለና</w:t>
      </w:r>
      <w:r>
        <w:rPr>
          <w:rFonts w:ascii="Times New Roman" w:hAnsi="Times New Roman" w:eastAsia="Times New Roman" w:cs="Times New Roman"/>
        </w:rPr>
        <w:t xml:space="preserve"> </w:t>
      </w:r>
      <w:r>
        <w:rPr>
          <w:rFonts w:ascii="Ebrima" w:hAnsi="Ebrima" w:eastAsia="Ebrima" w:cs="Ebrima"/>
        </w:rPr>
        <w:t>የጉልሕ።</w:t>
      </w:r>
    </w:p>
    <w:p>
      <w:pPr>
        <w:pStyle w:val="ArticleBody"/>
        <w:jc w:val="left"/>
      </w:pPr>
      <w:r>
        <w:rPr>
          <w:rFonts w:ascii="Times New Roman" w:hAnsi="Times New Roman" w:eastAsia="Times New Roman" w:cs="Times New Roman"/>
        </w:rPr>
        <w:t>Ang kaseryosohan niini nga katapusang kontrobersiya mahitungod sa simbolo sa Roma gilarawan usab sa mga bersikulo napulo hangtod napulog-unom sa Daniel onse, nga nagatipo sa tinagong kasaysayan sa bersikulo kap-atan sa Daniel onse. Ang kasaysayan sa bersikulo kap-atan nagadala sa estudyante sa tagna ngadto sa 1989 ug sa pagkapukan sa Soviet Union ingon nga girepresentahan sa bersikulo napulo. Ang sunod nga bersikulo, ang bersikulo kap-atan ug usa, nga nagaila sa haduol na nga balaod sa Dominggo sa Estados Unidos, gitipo sa bersikulo napulog-unom. Ang Inspirasyon nagaila nga ang gisilyohan mao ang “bahin sa basahon ni Daniel nga may kalabutan sa ulahing mga adlaw”.</w:t>
      </w:r>
    </w:p>
    <w:p>
      <w:pPr>
        <w:pStyle w:val="ArticleBody"/>
        <w:jc w:val="left"/>
      </w:pP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から</w:t>
      </w:r>
      <w:r>
        <w:rPr>
          <w:rFonts w:ascii="Microsoft YaHei" w:hAnsi="Microsoft YaHei" w:eastAsia="Microsoft YaHei" w:cs="Microsoft YaHei"/>
        </w:rPr>
        <w:t>日曜法</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るまでが</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の</w:t>
      </w:r>
      <w:r>
        <w:rPr>
          <w:rFonts w:ascii="Microsoft YaHei" w:hAnsi="Microsoft YaHei" w:eastAsia="Microsoft YaHei" w:cs="Microsoft YaHei"/>
        </w:rPr>
        <w:t>封</w:t>
      </w:r>
      <w:r>
        <w:rPr>
          <w:rFonts w:ascii="MS Gothic" w:hAnsi="MS Gothic" w:eastAsia="MS Gothic" w:cs="MS Gothic"/>
        </w:rPr>
        <w:t>じられた</w:t>
      </w:r>
      <w:r>
        <w:rPr>
          <w:rFonts w:ascii="Microsoft YaHei" w:hAnsi="Microsoft YaHei" w:eastAsia="Microsoft YaHei" w:cs="Microsoft YaHei"/>
        </w:rPr>
        <w:t>部分</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第十節</w:t>
      </w:r>
      <w:r>
        <w:rPr>
          <w:rFonts w:ascii="MS Gothic" w:hAnsi="MS Gothic" w:eastAsia="MS Gothic" w:cs="MS Gothic"/>
        </w:rPr>
        <w:t>から</w:t>
      </w:r>
      <w:r>
        <w:rPr>
          <w:rFonts w:ascii="Microsoft YaHei" w:hAnsi="Microsoft YaHei" w:eastAsia="Microsoft YaHei" w:cs="Microsoft YaHei"/>
        </w:rPr>
        <w:t>第十六節</w:t>
      </w:r>
      <w:r>
        <w:rPr>
          <w:rFonts w:ascii="MS Gothic" w:hAnsi="MS Gothic" w:eastAsia="MS Gothic" w:cs="MS Gothic"/>
        </w:rPr>
        <w:t>において</w:t>
      </w:r>
      <w:r>
        <w:rPr>
          <w:rFonts w:ascii="Microsoft YaHei" w:hAnsi="Microsoft YaHei" w:eastAsia="Microsoft YaHei" w:cs="Microsoft YaHei"/>
        </w:rPr>
        <w:t>予表</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したがって</w:t>
      </w:r>
      <w:r>
        <w:rPr>
          <w:rFonts w:ascii="Microsoft YaHei" w:hAnsi="Microsoft YaHei" w:eastAsia="Microsoft YaHei" w:cs="Microsoft YaHei"/>
        </w:rPr>
        <w:t>、知識</w:t>
      </w:r>
      <w:r>
        <w:rPr>
          <w:rFonts w:ascii="MS Gothic" w:hAnsi="MS Gothic" w:eastAsia="MS Gothic" w:cs="MS Gothic"/>
        </w:rPr>
        <w:t>の</w:t>
      </w:r>
      <w:r>
        <w:rPr>
          <w:rFonts w:ascii="Microsoft YaHei" w:hAnsi="Microsoft YaHei" w:eastAsia="Microsoft YaHei" w:cs="Microsoft YaHei"/>
        </w:rPr>
        <w:t>増加</w:t>
      </w:r>
      <w:r>
        <w:rPr>
          <w:rFonts w:ascii="MS Gothic" w:hAnsi="MS Gothic" w:eastAsia="MS Gothic" w:cs="MS Gothic"/>
        </w:rPr>
        <w:t>こそがセブンスデー・アドベンチストにとって</w:t>
      </w:r>
      <w:r>
        <w:rPr>
          <w:rFonts w:ascii="Microsoft YaHei" w:hAnsi="Microsoft YaHei" w:eastAsia="Microsoft YaHei" w:cs="Microsoft YaHei"/>
        </w:rPr>
        <w:t>恩恵期間</w:t>
      </w:r>
      <w:r>
        <w:rPr>
          <w:rFonts w:ascii="MS Gothic" w:hAnsi="MS Gothic" w:eastAsia="MS Gothic" w:cs="MS Gothic"/>
        </w:rPr>
        <w:t>の</w:t>
      </w:r>
      <w:r>
        <w:rPr>
          <w:rFonts w:ascii="Microsoft YaHei" w:hAnsi="Microsoft YaHei" w:eastAsia="Microsoft YaHei" w:cs="Microsoft YaHei"/>
        </w:rPr>
        <w:t>終了</w:t>
      </w:r>
      <w:r>
        <w:rPr>
          <w:rFonts w:ascii="MS Gothic" w:hAnsi="MS Gothic" w:eastAsia="MS Gothic" w:cs="MS Gothic"/>
        </w:rPr>
        <w:t>へと</w:t>
      </w:r>
      <w:r>
        <w:rPr>
          <w:rFonts w:ascii="Microsoft YaHei" w:hAnsi="Microsoft YaHei" w:eastAsia="Microsoft YaHei" w:cs="Microsoft YaHei"/>
        </w:rPr>
        <w:t>導</w:t>
      </w:r>
      <w:r>
        <w:rPr>
          <w:rFonts w:ascii="MS Gothic" w:hAnsi="MS Gothic" w:eastAsia="MS Gothic" w:cs="MS Gothic"/>
        </w:rPr>
        <w:t>くのである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w:t>
      </w:r>
      <w:r>
        <w:rPr>
          <w:rFonts w:ascii="MS Gothic" w:hAnsi="MS Gothic" w:eastAsia="MS Gothic" w:cs="MS Gothic"/>
        </w:rPr>
        <w:t>アメリカ</w:t>
      </w:r>
      <w:r>
        <w:rPr>
          <w:rFonts w:ascii="Microsoft YaHei" w:hAnsi="Microsoft YaHei" w:eastAsia="Microsoft YaHei" w:cs="Microsoft YaHei"/>
        </w:rPr>
        <w:t>合衆国</w:t>
      </w:r>
      <w:r>
        <w:rPr>
          <w:rFonts w:ascii="MS Gothic" w:hAnsi="MS Gothic" w:eastAsia="MS Gothic" w:cs="MS Gothic"/>
        </w:rPr>
        <w:t>におけるアドベンチズムの</w:t>
      </w:r>
      <w:r>
        <w:rPr>
          <w:rFonts w:ascii="Microsoft YaHei" w:hAnsi="Microsoft YaHei" w:eastAsia="Microsoft YaHei" w:cs="Microsoft YaHei"/>
        </w:rPr>
        <w:t>恩恵期間</w:t>
      </w:r>
      <w:r>
        <w:rPr>
          <w:rFonts w:ascii="MS Gothic" w:hAnsi="MS Gothic" w:eastAsia="MS Gothic" w:cs="MS Gothic"/>
        </w:rPr>
        <w:t>は</w:t>
      </w:r>
      <w:r>
        <w:rPr>
          <w:rFonts w:ascii="Microsoft YaHei" w:hAnsi="Microsoft YaHei" w:eastAsia="Microsoft YaHei" w:cs="Microsoft YaHei"/>
        </w:rPr>
        <w:t>、日曜法</w:t>
      </w:r>
      <w:r>
        <w:rPr>
          <w:rFonts w:ascii="MS Gothic" w:hAnsi="MS Gothic" w:eastAsia="MS Gothic" w:cs="MS Gothic"/>
        </w:rPr>
        <w:t>において</w:t>
      </w:r>
      <w:r>
        <w:rPr>
          <w:rFonts w:ascii="Microsoft YaHei" w:hAnsi="Microsoft YaHei" w:eastAsia="Microsoft YaHei" w:cs="Microsoft YaHei"/>
        </w:rPr>
        <w:t>終</w:t>
      </w:r>
      <w:r>
        <w:rPr>
          <w:rFonts w:ascii="MS Gothic" w:hAnsi="MS Gothic" w:eastAsia="MS Gothic" w:cs="MS Gothic"/>
        </w:rPr>
        <w:t>わるからである</w:t>
      </w:r>
      <w:r>
        <w:rPr>
          <w:rFonts w:ascii="Times New Roman" w:hAnsi="Times New Roman" w:eastAsia="Times New Roman" w:cs="Times New Roman"/>
        </w:rPr>
        <w:t>.</w:t>
      </w:r>
      <w:r>
        <w:rPr>
          <w:rFonts w:ascii="Microsoft YaHei" w:hAnsi="Microsoft YaHei" w:eastAsia="Microsoft YaHei" w:cs="Microsoft YaHei"/>
        </w:rPr>
        <w:t>第十節</w:t>
      </w:r>
      <w:r>
        <w:rPr>
          <w:rFonts w:ascii="MS Gothic" w:hAnsi="MS Gothic" w:eastAsia="MS Gothic" w:cs="MS Gothic"/>
        </w:rPr>
        <w:t>から</w:t>
      </w:r>
      <w:r>
        <w:rPr>
          <w:rFonts w:ascii="Microsoft YaHei" w:hAnsi="Microsoft YaHei" w:eastAsia="Microsoft YaHei" w:cs="Microsoft YaHei"/>
        </w:rPr>
        <w:t>第十六節</w:t>
      </w:r>
      <w:r>
        <w:rPr>
          <w:rFonts w:ascii="MS Gothic" w:hAnsi="MS Gothic" w:eastAsia="MS Gothic" w:cs="MS Gothic"/>
        </w:rPr>
        <w:t>のうちに</w:t>
      </w:r>
      <w:r>
        <w:rPr>
          <w:rFonts w:ascii="Microsoft YaHei" w:hAnsi="Microsoft YaHei" w:eastAsia="Microsoft YaHei" w:cs="Microsoft YaHei"/>
        </w:rPr>
        <w:t>、私</w:t>
      </w:r>
      <w:r>
        <w:rPr>
          <w:rFonts w:ascii="MS Gothic" w:hAnsi="MS Gothic" w:eastAsia="MS Gothic" w:cs="MS Gothic"/>
        </w:rPr>
        <w:t>たちは</w:t>
      </w:r>
      <w:r>
        <w:rPr>
          <w:rFonts w:ascii="Microsoft YaHei" w:hAnsi="Microsoft YaHei" w:eastAsia="Microsoft YaHei" w:cs="Microsoft YaHei"/>
        </w:rPr>
        <w:t>第十四節</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いだすが</w:t>
      </w:r>
      <w:r>
        <w:rPr>
          <w:rFonts w:ascii="Microsoft YaHei" w:hAnsi="Microsoft YaHei" w:eastAsia="Microsoft YaHei" w:cs="Microsoft YaHei"/>
        </w:rPr>
        <w:t>、</w:t>
      </w:r>
      <w:r>
        <w:rPr>
          <w:rFonts w:ascii="MS Gothic" w:hAnsi="MS Gothic" w:eastAsia="MS Gothic" w:cs="MS Gothic"/>
        </w:rPr>
        <w:t>そこでは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「強奪</w:t>
      </w:r>
      <w:r>
        <w:rPr>
          <w:rFonts w:ascii="MS Gothic" w:hAnsi="MS Gothic" w:eastAsia="MS Gothic" w:cs="MS Gothic"/>
        </w:rPr>
        <w:t>する</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がその</w:t>
      </w:r>
      <w:r>
        <w:rPr>
          <w:rFonts w:ascii="Microsoft YaHei" w:hAnsi="Microsoft YaHei" w:eastAsia="Microsoft YaHei" w:cs="Microsoft YaHei"/>
        </w:rPr>
        <w:t>幻</w:t>
      </w:r>
      <w:r>
        <w:rPr>
          <w:rFonts w:ascii="MS Gothic" w:hAnsi="MS Gothic" w:eastAsia="MS Gothic" w:cs="MS Gothic"/>
        </w:rPr>
        <w:t>を</w:t>
      </w:r>
      <w:r>
        <w:rPr>
          <w:rFonts w:ascii="Microsoft YaHei" w:hAnsi="Microsoft YaHei" w:eastAsia="Microsoft YaHei" w:cs="Microsoft YaHei"/>
        </w:rPr>
        <w:t>確立</w:t>
      </w:r>
      <w:r>
        <w:rPr>
          <w:rFonts w:ascii="MS Gothic" w:hAnsi="MS Gothic" w:eastAsia="MS Gothic" w:cs="MS Gothic"/>
        </w:rPr>
        <w:t>することが</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Par conséquent, la controverse millérite représentée sur le tableau pionnier de 1843 constitue la première controverse de Rome dans l’histoire de l’adventisme. Le fait que cette même controverse soit de nouveau survenue montre à quiconque veut voir que Jésus, en tant qu’Alpha et Oméga, illustre toujours la fin par le commencement. La controverse actuelle est la controverse finale qui opère le criblage entre les vierges sages et les vierges folles.</w:t>
      </w:r>
    </w:p>
    <w:p>
      <w:pPr>
        <w:pStyle w:val="ArticleBody"/>
        <w:jc w:val="left"/>
      </w:pPr>
      <w:r>
        <w:rPr>
          <w:rFonts w:ascii="Times New Roman" w:hAnsi="Times New Roman" w:eastAsia="Times New Roman" w:cs="Times New Roman"/>
        </w:rPr>
        <w:t>Manteau nang manalagna nga lohika nagtudlo nga ang usa ka gatus ug kap-atan ug upat ka libo moabut sa hingpit nga panaghiusa sa dili pa ang ilang panapos sa panahon sa pagsulay diha sa umalabot nga balaod sa Domingo. Ang mapino nga kalayo sa Mensahero sa Tugon ni Malakias karon nagaputli sa mga Levita ingon sa bulawan ug salapi. Ang Tawo nga may Hugawng Brush karon nagahinlo sa Iyang salog pinaagi sa mga pulong sa kamatuoran.</w:t>
      </w:r>
    </w:p>
    <w:p>
      <w:pPr>
        <w:pStyle w:val="ArticleScripture"/>
        <w:jc w:val="left"/>
      </w:pPr>
      <w:r>
        <w:rPr>
          <w:rFonts w:ascii="Times New Roman" w:hAnsi="Times New Roman" w:eastAsia="Times New Roman" w:cs="Times New Roman"/>
        </w:rPr>
        <w:t>«“Den, hvis kasteskovl er i hans hånd, og han skal rense sin tærskeplads til bunds og samle sin hvede i laden.” Matthæus 3,12. Dette var en af renselsens tider. Ved sandhedens ord blev avnerne skilt fra hveden. Fordi de var for forfængelige og selvretfærdige til at modtage irettesættelse, for hengivne til verden til at tage imod et liv i ydmyghed, vendte mange sig bort fra Jesus. Mange gør stadig det samme. Sjæle prøves i dag, ligesom disse disciple blev det i synagogen i Kapernaum. Når sandheden lægges hjertet nær, ser de, at deres liv ikke er i overensstemmelse med Guds vilje. De ser nødvendigheden af en fuldstændig forandring i sig selv; men de er ikke villige til at tage det selvfornægtende arbejde op. Derfor bliver de vrede, når deres synder afsløres. De går bort forargede, ligesom disciplene forlod Jesus med klagen: “Dette ord er hårdt; hvem kan høre på det?”” Jesu Liv, s. 392.</w:t>
      </w:r>
    </w:p>
    <w:p>
      <w:pPr>
        <w:pStyle w:val="ArticleBody"/>
        <w:jc w:val="left"/>
      </w:pPr>
      <w:r>
        <w:rPr>
          <w:rFonts w:ascii="Times New Roman" w:hAnsi="Times New Roman" w:eastAsia="Times New Roman" w:cs="Times New Roman"/>
        </w:rPr>
        <w:t>Noong katotohanang ang unang labing-anim na talata ang pasimula ng huling propesiya ni Daniel, at na ang mga talatang iyon ay umaayon sa huling anim na talata ng kabanata, ay nagpapahiwatig na ang Alpha at Omega ay ginagamit ang mga talata sa pasimula upang isakatuparan ang pangwakas na paghihiwalay ng marurunong at ng masasama, gaya ng kinakatawan ni Daniel sa ikalabindalawang kabanata, na nagaganap ngayon.</w:t>
      </w:r>
    </w:p>
    <w:p>
      <w:pPr>
        <w:pStyle w:val="ArticleBody"/>
        <w:jc w:val="left"/>
      </w:pPr>
      <w:r>
        <w:rPr>
          <w:rFonts w:ascii="Times New Roman" w:hAnsi="Times New Roman" w:eastAsia="Times New Roman" w:cs="Times New Roman"/>
        </w:rPr>
        <w:t>Un troisième témoignage du caractère grave de cette controverse réside dans le fait que l’inspiration, par les écrits de Sister White, soutient clairement la carte pionnière de 1843, laquelle représente, au verset quatorze, la controverse de Rome. La controverse du commencement représente la controverse de la fin, et l’approbation inspirée de la compréhension millérite des « brigands de ton peuple » au verset quatorze signifie que, si cette vérité fondamentale est rejetée, c’est en même temps un rejet de l’autorité de l’Esprit de Prophétie. En accord avec les deux témoignages précédents, qui soulignent que cette controverse survient juste avant la clôture du temps de grâce, il est certain que la dernière, ou ultime, séduction pour ceux qui professent soutenir l’Esprit de Prophétie est un rejet de l’Esprit de Prophétie.</w:t>
      </w:r>
    </w:p>
    <w:p>
      <w:pPr>
        <w:pStyle w:val="ArticleScripture"/>
        <w:jc w:val="left"/>
      </w:pPr>
      <w:r>
        <w:rPr>
          <w:rFonts w:ascii="Times New Roman" w:hAnsi="Times New Roman" w:eastAsia="Times New Roman" w:cs="Times New Roman"/>
        </w:rPr>
        <w:t>«Сатана... постоянно навязывает поддельное, чтобы увести от истины. Самым последним обольщением сатаны будет сделать недейственным свидетельство Духа Божьего. „Без откровения свыше народ необуздан“ (Притчи 29:18). Сатана будет действовать изобретательно, различными путями и через различные средства, чтобы поколебать доверие остатка народа Божьего к истинному свидетельству. »</w:t>
      </w:r>
    </w:p>
    <w:p>
      <w:pPr>
        <w:pStyle w:val="ArticleScripture"/>
        <w:jc w:val="left"/>
      </w:pPr>
      <w:r>
        <w:rPr>
          <w:rFonts w:ascii="Times New Roman" w:hAnsi="Times New Roman" w:eastAsia="Times New Roman" w:cs="Times New Roman"/>
        </w:rPr>
        <w:t>“</w:t>
      </w:r>
      <w:r>
        <w:rPr>
          <w:rFonts w:ascii="Nirmala UI" w:hAnsi="Nirmala UI" w:eastAsia="Nirmala UI" w:cs="Nirmala UI"/>
        </w:rPr>
        <w:t>चर्चेस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Testimonies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भड़काई</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विचलित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चेतावनियों</w:t>
      </w:r>
      <w:r>
        <w:rPr>
          <w:rFonts w:ascii="Times New Roman" w:hAnsi="Times New Roman" w:eastAsia="Times New Roman" w:cs="Times New Roman"/>
        </w:rPr>
        <w:t xml:space="preserve">, </w:t>
      </w:r>
      <w:r>
        <w:rPr>
          <w:rFonts w:ascii="Nirmala UI" w:hAnsi="Nirmala UI" w:eastAsia="Nirmala UI" w:cs="Nirmala UI"/>
        </w:rPr>
        <w:t>ताड़नाओं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परामर्शों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कपट</w:t>
      </w:r>
      <w:r>
        <w:rPr>
          <w:rFonts w:ascii="Times New Roman" w:hAnsi="Times New Roman" w:eastAsia="Times New Roman" w:cs="Times New Roman"/>
        </w:rPr>
        <w:t>-</w:t>
      </w:r>
      <w:r>
        <w:rPr>
          <w:rFonts w:ascii="Nirmala UI" w:hAnsi="Nirmala UI" w:eastAsia="Nirmala UI" w:cs="Nirmala UI"/>
        </w:rPr>
        <w:t>युक्तियों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प्रविष्ट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Selected Messages, book 1, 48.</w:t>
      </w:r>
    </w:p>
    <w:p>
      <w:pPr>
        <w:pStyle w:val="ArticleBody"/>
        <w:jc w:val="left"/>
      </w:pPr>
      <w:r>
        <w:rPr>
          <w:rFonts w:ascii="Times New Roman" w:hAnsi="Times New Roman" w:eastAsia="Times New Roman" w:cs="Times New Roman"/>
        </w:rPr>
        <w:t>روح‌القدس خدا کی ’’شہادت‘‘ کے اختیار کو ایلین وائٹ کی تحریروں کے ذریعے بےاثر ٹھہرانا، یا اسے ردّ کرنا، ’’شیطان کا بالکل آخری فریب‘‘ ہے۔ سسٹر وائٹ نے لکھا کہ اُنہیں ’’دکھایا گیا‘‘ کہ ’’1843 کا چارٹ خداوند کے ہاتھ کی ہدایت سے تیار کیا گیا تھا، اور اسے تبدیل نہیں کیا جانا چاہیے۔‘‘ سابقہ اقتباس براہِ راست نبوت کی روح کے اختیار کے ردّ کو آخری ایام کی رویا کے ساتھ مربوط کرتا ہے، کیونکہ تمام انبیا نہایت براہِ راست طور پر آخری ایام ہی کی بابت کلام کرتے ہیں۔ پس جب دانی ایل آیت چودہ میں کہتا ہے کہ ’’لٹیرے‘‘ رویا کو قائم کرتے ہیں، تو اس سے مراد امثال 29:18 میں سلیمان کی وہ رویا ہے، جو کہتی ہے کہ جو لوگ رویا نہیں رکھتے وہ ’’ہلاک‘‘ ہوتے ہیں، اور لفظ ’’ہلاک‘‘ کے معنی ہیں ’’برہنہ کر دیا جانا‘‘۔</w:t>
      </w:r>
    </w:p>
    <w:p>
      <w:pPr>
        <w:pStyle w:val="ArticleBody"/>
        <w:jc w:val="left"/>
      </w:pPr>
      <w:r>
        <w:rPr>
          <w:rFonts w:ascii="Times New Roman" w:hAnsi="Times New Roman" w:eastAsia="Times New Roman" w:cs="Times New Roman"/>
        </w:rPr>
        <w:t>Par conséquent, le terme « périssent » indique que ceux qui professent soutenir l’Esprit de prophétie dans les derniers jours, mais qui rejettent l’autorité qui y est représentée, deviennent nus et périssent, ce qui correspond à la description des Laodicéens, qui sont « malheureux, misérables, pauvres, aveugles et nus ». Il leur est conseillé d’acheter des « vêtements blancs, afin que tu sois vêtu, et que la honte de ta nudité ne paraisse point ». S’ils refusent ce conseil, ils sont vomis de la bouche du Seigneur.</w:t>
      </w:r>
    </w:p>
    <w:p>
      <w:pPr>
        <w:pStyle w:val="ArticleBody"/>
        <w:jc w:val="left"/>
      </w:pPr>
      <w:r>
        <w:rPr>
          <w:rFonts w:ascii="Times New Roman" w:hAnsi="Times New Roman" w:eastAsia="Times New Roman" w:cs="Times New Roman"/>
        </w:rPr>
        <w:t>Ainsi, nous trouvons un autre témoignage que cette nudité se manifeste juste avant la fin du temps de grâce. Lors de la loi dominicale imminente, ces âmes nues recevront la marque de la bête, au moment où elles seront renversées, comme cela est représenté au verset quarante et un de Daniel onze. La raison pour laquelle elles seront renversées est qu’elles ont rejeté l’autorité de l’Esprit de prophétie, lequel soutient le tableau pionnier de 1843, représentant les fondements de l’adventisme, et comprenant la « clé » qui confirme la vision par l’identification selon laquelle Rome est la puissance représentée comme « les violents de ton peuple » au verset quatorze.</w:t>
      </w:r>
    </w:p>
    <w:p>
      <w:pPr>
        <w:pStyle w:val="ArticleScripture"/>
        <w:jc w:val="left"/>
      </w:pPr>
      <w:r>
        <w:rPr>
          <w:rFonts w:ascii="Times New Roman" w:hAnsi="Times New Roman" w:eastAsia="Times New Roman" w:cs="Times New Roman"/>
        </w:rPr>
        <w:t>“Egy bizonyos: azok a Hetednapi Adventisták, akik Sátán zászlaja alá állnak, először feladják hitüket az Isten Lelkének bizonyságtételeiben foglalt intésekben és feddésekben.</w:t>
      </w:r>
    </w:p>
    <w:p>
      <w:pPr>
        <w:pStyle w:val="ArticleScripture"/>
        <w:jc w:val="left"/>
      </w:pPr>
      <w:r>
        <w:rPr>
          <w:rFonts w:ascii="Times New Roman" w:hAnsi="Times New Roman" w:eastAsia="Times New Roman" w:cs="Times New Roman"/>
        </w:rPr>
        <w:t>“Die roepstem tot groter toewyding en heiliger diens word gegee, en sal voortgaan om gegee te word. Sommige wat nou Satan se ingevings verwoord, sal tot besinning kom. Daar is mense in belangrike vertrouensposisies wat nie die waarheid vir hierdie tyd verstaan nie. Aan hulle moet die boodskap gebring word. Indien hulle dit aanneem, sal Christus hulle aanneem en hulle medewerkers saam met Hom maak. Maar indien hulle weier om na die boodskap te luister, sal hulle hulle skaar onder die swart banier van die Vors van die Duisternis.”</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ចំពោះខ្ញុំ</w:t>
      </w:r>
      <w:r>
        <w:rPr>
          <w:rFonts w:ascii="Times New Roman" w:hAnsi="Times New Roman" w:eastAsia="Times New Roman" w:cs="Times New Roman"/>
        </w:rPr>
        <w:t xml:space="preserve"> </w:t>
      </w:r>
      <w:r>
        <w:rPr>
          <w:rFonts w:ascii="Leelawadee UI" w:hAnsi="Leelawadee UI" w:eastAsia="Leelawadee UI" w:cs="Leelawadee UI"/>
        </w:rPr>
        <w:t>បានទទួលសេចក្តីណែនាំឲ្យនិយាយថា</w:t>
      </w:r>
      <w:r>
        <w:rPr>
          <w:rFonts w:ascii="Times New Roman" w:hAnsi="Times New Roman" w:eastAsia="Times New Roman" w:cs="Times New Roman"/>
        </w:rPr>
        <w:t xml:space="preserve"> </w:t>
      </w:r>
      <w:r>
        <w:rPr>
          <w:rFonts w:ascii="Leelawadee UI" w:hAnsi="Leelawadee UI" w:eastAsia="Leelawadee UI" w:cs="Leelawadee UI"/>
        </w:rPr>
        <w:t>សេចក្តីពិតដ៏មានតម្លៃសម្រាប់សម័យនេះ</w:t>
      </w:r>
      <w:r>
        <w:rPr>
          <w:rFonts w:ascii="Times New Roman" w:hAnsi="Times New Roman" w:eastAsia="Times New Roman" w:cs="Times New Roman"/>
        </w:rPr>
        <w:t xml:space="preserve"> </w:t>
      </w:r>
      <w:r>
        <w:rPr>
          <w:rFonts w:ascii="Leelawadee UI" w:hAnsi="Leelawadee UI" w:eastAsia="Leelawadee UI" w:cs="Leelawadee UI"/>
        </w:rPr>
        <w:t>កំពុងតែបើកសម្ដែងឲ្យចិត្តគំនិតមនុស្សឃើញកាន់តែច្បាស់ឡើងៗ។</w:t>
      </w:r>
      <w:r>
        <w:rPr>
          <w:rFonts w:ascii="Times New Roman" w:hAnsi="Times New Roman" w:eastAsia="Times New Roman" w:cs="Times New Roman"/>
        </w:rPr>
        <w:t xml:space="preserve"> </w:t>
      </w:r>
      <w:r>
        <w:rPr>
          <w:rFonts w:ascii="Leelawadee UI" w:hAnsi="Leelawadee UI" w:eastAsia="Leelawadee UI" w:cs="Leelawadee UI"/>
        </w:rPr>
        <w:t>ក្នុងន័យពិសេស</w:t>
      </w:r>
      <w:r>
        <w:rPr>
          <w:rFonts w:ascii="Times New Roman" w:hAnsi="Times New Roman" w:eastAsia="Times New Roman" w:cs="Times New Roman"/>
        </w:rPr>
        <w:t xml:space="preserve"> </w:t>
      </w:r>
      <w:r>
        <w:rPr>
          <w:rFonts w:ascii="Leelawadee UI" w:hAnsi="Leelawadee UI" w:eastAsia="Leelawadee UI" w:cs="Leelawadee UI"/>
        </w:rPr>
        <w:t>មនុស្សប្រុស</w:t>
      </w:r>
      <w:r>
        <w:rPr>
          <w:rFonts w:ascii="Times New Roman" w:hAnsi="Times New Roman" w:eastAsia="Times New Roman" w:cs="Times New Roman"/>
        </w:rPr>
        <w:t xml:space="preserve"> </w:t>
      </w:r>
      <w:r>
        <w:rPr>
          <w:rFonts w:ascii="Leelawadee UI" w:hAnsi="Leelawadee UI" w:eastAsia="Leelawadee UI" w:cs="Leelawadee UI"/>
        </w:rPr>
        <w:t>និងមនុស្សស្រី</w:t>
      </w:r>
      <w:r>
        <w:rPr>
          <w:rFonts w:ascii="Times New Roman" w:hAnsi="Times New Roman" w:eastAsia="Times New Roman" w:cs="Times New Roman"/>
        </w:rPr>
        <w:t xml:space="preserve"> </w:t>
      </w:r>
      <w:r>
        <w:rPr>
          <w:rFonts w:ascii="Leelawadee UI" w:hAnsi="Leelawadee UI" w:eastAsia="Leelawadee UI" w:cs="Leelawadee UI"/>
        </w:rPr>
        <w:t>ត្រូវបរិភោគសាច់របស់ព្រះគ្រីស្ទ</w:t>
      </w:r>
      <w:r>
        <w:rPr>
          <w:rFonts w:ascii="Times New Roman" w:hAnsi="Times New Roman" w:eastAsia="Times New Roman" w:cs="Times New Roman"/>
        </w:rPr>
        <w:t xml:space="preserve"> </w:t>
      </w:r>
      <w:r>
        <w:rPr>
          <w:rFonts w:ascii="Leelawadee UI" w:hAnsi="Leelawadee UI" w:eastAsia="Leelawadee UI" w:cs="Leelawadee UI"/>
        </w:rPr>
        <w:t>និងផឹកព្រះលោហិតរបស់ទ្រង់។</w:t>
      </w:r>
      <w:r>
        <w:rPr>
          <w:rFonts w:ascii="Times New Roman" w:hAnsi="Times New Roman" w:eastAsia="Times New Roman" w:cs="Times New Roman"/>
        </w:rPr>
        <w:t xml:space="preserve"> </w:t>
      </w:r>
      <w:r>
        <w:rPr>
          <w:rFonts w:ascii="Leelawadee UI" w:hAnsi="Leelawadee UI" w:eastAsia="Leelawadee UI" w:cs="Leelawadee UI"/>
        </w:rPr>
        <w:t>ការយល់ដឹងនឹងមានការរីកចម្រើន</w:t>
      </w:r>
      <w:r>
        <w:rPr>
          <w:rFonts w:ascii="Times New Roman" w:hAnsi="Times New Roman" w:eastAsia="Times New Roman" w:cs="Times New Roman"/>
        </w:rPr>
        <w:t xml:space="preserve"> </w:t>
      </w:r>
      <w:r>
        <w:rPr>
          <w:rFonts w:ascii="Leelawadee UI" w:hAnsi="Leelawadee UI" w:eastAsia="Leelawadee UI" w:cs="Leelawadee UI"/>
        </w:rPr>
        <w:t>ពីព្រោះសេចក្តីពិតមានសមត្ថភាពពង្រីកជានិច្ច។</w:t>
      </w:r>
      <w:r>
        <w:rPr>
          <w:rFonts w:ascii="Times New Roman" w:hAnsi="Times New Roman" w:eastAsia="Times New Roman" w:cs="Times New Roman"/>
        </w:rPr>
        <w:t xml:space="preserve"> </w:t>
      </w:r>
      <w:r>
        <w:rPr>
          <w:rFonts w:ascii="Leelawadee UI" w:hAnsi="Leelawadee UI" w:eastAsia="Leelawadee UI" w:cs="Leelawadee UI"/>
        </w:rPr>
        <w:t>ព្រះអង្គដ៏ទេវភាពជាអ្នកផ្តួចផ្តើមសេចក្តីពិត</w:t>
      </w:r>
      <w:r>
        <w:rPr>
          <w:rFonts w:ascii="Times New Roman" w:hAnsi="Times New Roman" w:eastAsia="Times New Roman" w:cs="Times New Roman"/>
        </w:rPr>
        <w:t xml:space="preserve"> </w:t>
      </w:r>
      <w:r>
        <w:rPr>
          <w:rFonts w:ascii="Leelawadee UI" w:hAnsi="Leelawadee UI" w:eastAsia="Leelawadee UI" w:cs="Leelawadee UI"/>
        </w:rPr>
        <w:t>នឹងយាងមកក្នុងសាមគ្គីភាពដ៏ជិតស្និទ្ធកាន់តែខ្លាំងឡើងៗជាមួយអស់អ្នកដែលបន្តស្វែងយល់ដើម្បីស្គាល់ទ្រង់។</w:t>
      </w:r>
      <w:r>
        <w:rPr>
          <w:rFonts w:ascii="Times New Roman" w:hAnsi="Times New Roman" w:eastAsia="Times New Roman" w:cs="Times New Roman"/>
        </w:rPr>
        <w:t xml:space="preserve"> </w:t>
      </w:r>
      <w:r>
        <w:rPr>
          <w:rFonts w:ascii="Leelawadee UI" w:hAnsi="Leelawadee UI" w:eastAsia="Leelawadee UI" w:cs="Leelawadee UI"/>
        </w:rPr>
        <w:t>កាលណារាស្ត្ររបស់ព្រះទទួលព្រះបន្ទូលរបស់ទ្រង់ជានំបុ័ងពីស្ថានសួគ៌</w:t>
      </w:r>
      <w:r>
        <w:rPr>
          <w:rFonts w:ascii="Times New Roman" w:hAnsi="Times New Roman" w:eastAsia="Times New Roman" w:cs="Times New Roman"/>
        </w:rPr>
        <w:t xml:space="preserve"> </w:t>
      </w:r>
      <w:r>
        <w:rPr>
          <w:rFonts w:ascii="Leelawadee UI" w:hAnsi="Leelawadee UI" w:eastAsia="Leelawadee UI" w:cs="Leelawadee UI"/>
        </w:rPr>
        <w:t>ពួកគេនឹងដឹងថា</w:t>
      </w:r>
      <w:r>
        <w:rPr>
          <w:rFonts w:ascii="Times New Roman" w:hAnsi="Times New Roman" w:eastAsia="Times New Roman" w:cs="Times New Roman"/>
        </w:rPr>
        <w:t xml:space="preserve"> </w:t>
      </w:r>
      <w:r>
        <w:rPr>
          <w:rFonts w:ascii="Leelawadee UI" w:hAnsi="Leelawadee UI" w:eastAsia="Leelawadee UI" w:cs="Leelawadee UI"/>
        </w:rPr>
        <w:t>ការយាងចេញរបស់ទ្រង់បានត្រៀមរួចជាស្រេចដូចពេលព្រឹក។</w:t>
      </w:r>
      <w:r>
        <w:rPr>
          <w:rFonts w:ascii="Times New Roman" w:hAnsi="Times New Roman" w:eastAsia="Times New Roman" w:cs="Times New Roman"/>
        </w:rPr>
        <w:t xml:space="preserve"> </w:t>
      </w:r>
      <w:r>
        <w:rPr>
          <w:rFonts w:ascii="Leelawadee UI" w:hAnsi="Leelawadee UI" w:eastAsia="Leelawadee UI" w:cs="Leelawadee UI"/>
        </w:rPr>
        <w:t>ពួកគេនឹងទទួលកម្លាំងខាងវិញ្ញាណ</w:t>
      </w:r>
      <w:r>
        <w:rPr>
          <w:rFonts w:ascii="Times New Roman" w:hAnsi="Times New Roman" w:eastAsia="Times New Roman" w:cs="Times New Roman"/>
        </w:rPr>
        <w:t xml:space="preserve"> </w:t>
      </w:r>
      <w:r>
        <w:rPr>
          <w:rFonts w:ascii="Leelawadee UI" w:hAnsi="Leelawadee UI" w:eastAsia="Leelawadee UI" w:cs="Leelawadee UI"/>
        </w:rPr>
        <w:t>ដូចដែលរាងកាយទទួលកម្លាំងខាងសាច់ឈាម</w:t>
      </w:r>
      <w:r>
        <w:rPr>
          <w:rFonts w:ascii="Times New Roman" w:hAnsi="Times New Roman" w:eastAsia="Times New Roman" w:cs="Times New Roman"/>
        </w:rPr>
        <w:t xml:space="preserve"> </w:t>
      </w:r>
      <w:r>
        <w:rPr>
          <w:rFonts w:ascii="Leelawadee UI" w:hAnsi="Leelawadee UI" w:eastAsia="Leelawadee UI" w:cs="Leelawadee UI"/>
        </w:rPr>
        <w:t>នៅពេលបរិភោគអាហារ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Spalding and Magan, 305, 306.</w:t>
      </w:r>
    </w:p>
    <w:p>
      <w:pPr>
        <w:pStyle w:val="ArticleBody"/>
        <w:jc w:val="left"/>
      </w:pPr>
      <w:r>
        <w:rPr>
          <w:rFonts w:ascii="Times New Roman" w:hAnsi="Times New Roman" w:eastAsia="Times New Roman" w:cs="Times New Roman"/>
        </w:rPr>
        <w:t>Ninu makala yetu iliyopita tulitambua kwamba Uriah Smith alikuwa bingwa wa uasi wa mwaka 1863, kwa maana ni yeye aliyeingiza chati bandia ya 1863. Chati aliyoitengeneza mwaka 1863 iliondoa zile nyakati saba za Mambo ya Walawi ishirini na sita kutoka katika ujumbe wa unabii wa Uadventista wa Laodikia, hivyo ikiashiria mwanzo wa kubomolewa hatua kwa hatua kwa misingi, na pia mwanzo wa kujengwa kwa msingi bandia wa Uadventista wa Laodikia, ambao umejengwa juu ya mchanga. Baadaye katika historia ya Uadventista, tafsiri yake binafsi kuhusu mfalme wa kaskazini ilizaa matunda ya kielelezo chake cha unabii watu walipolikimbia kanisa.</w:t>
      </w:r>
    </w:p>
    <w:p>
      <w:pPr>
        <w:pStyle w:val="ArticleScripture"/>
        <w:jc w:val="left"/>
      </w:pPr>
      <w:r>
        <w:rPr>
          <w:rFonts w:ascii="Times New Roman" w:hAnsi="Times New Roman" w:eastAsia="Times New Roman" w:cs="Times New Roman"/>
        </w:rPr>
        <w:t>Pasop para profeta na segikad, na lumapit anay sa inyo nga daw mga karnero ang panapton, apang sa sulod amo sila ang mabangis nga mga ido-idong. Makilala ninyo sila paagi sa ila mga bunga. May tawo bala nga nagakuha ubas halin sa tunok, ukon igos halin sa dawag? Sa amo man nga paagi, ang tagsa ka maayo nga kahoy nagapamunga sing maayo nga bunga; apang ang dunot nga kahoy nagapamunga sing malain nga bunga. Ang maayo nga kahoy indi makapamunga sing malain nga bunga, kag ang dunot nga kahoy indi man makapamunga sing maayo nga bunga. Ang tagsa ka kahoy nga wala nagapamunga sing maayo nga bunga ginatumba kag ginahaboy sa kalayo. Gani, makilala gid ninyo sila paagi sa ila mga bunga. Indi ang tagsa ka nagaambit sa akon, “Ginoo, Ginoo,” makasulod sa ginharian sang langit, kundi ang nagatuman sang kabubut-on sang akon Amay nga yara sa langit. Madamo ang magasiling sa akon sa sina nga adlaw, “Ginoo, Ginoo, wala bala kami nakapropesiya sa imo ngalan? kag sa imo ngalan nakapagwa sang mga demonyo? kag sa imo ngalan nakahimo sang madamo nga makatilingala nga mga buhat?” Kag dayon magasiling ako sa ila sing hayag, “Wala ko gid kamo nakilala; palayo kamo sa akon, kamo nga nagabuhat sang kasal-anan.” Busa, ang tagsa ka nagapamati sang sini ko nga mga pulong kag nagatuman sini, itanding ko siya sa isa ka maalamon nga tawo nga nagtukod sang iya balay sa ibabaw sang bato. Kag nag-ulan, kag nag-abot ang mga baha, kag naghuyop ang mga hangin, kag naghapak sa sina nga balay; apang wala ini matumba, kay natukod ini sa ibabaw sang bato. Kag ang tagsa ka nagapamati sang sini ko nga mga pulong kag wala nagatuman sini, itanding sa isa ka buang-buang nga tawo nga nagtukod sang iya balay sa ibabaw sang balas. Kag nag-ulan, kag nag-abot ang mga baha, kag naghuyop ang mga hangin, kag naghapak sa sina nga balay; kag ini natumba: kag daku gid ang pagkaguho sini. Mateo 7:15–27.</w:t>
      </w:r>
    </w:p>
    <w:p>
      <w:pPr>
        <w:pStyle w:val="ArticleBody"/>
        <w:jc w:val="left"/>
      </w:pPr>
      <w:r>
        <w:rPr>
          <w:rFonts w:ascii="Times New Roman" w:hAnsi="Times New Roman" w:eastAsia="Times New Roman" w:cs="Times New Roman"/>
        </w:rPr>
        <w:t>1989</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老底嘉状态之基督复临安息日会的领导层被越过了</w:t>
      </w:r>
      <w:r>
        <w:rPr>
          <w:rFonts w:ascii="Times New Roman" w:hAnsi="Times New Roman" w:eastAsia="Times New Roman" w:cs="Times New Roman"/>
        </w:rPr>
        <w:t>,</w:t>
      </w:r>
      <w:r>
        <w:rPr>
          <w:rFonts w:ascii="Microsoft YaHei" w:hAnsi="Microsoft YaHei" w:eastAsia="Microsoft YaHei" w:cs="Microsoft YaHei"/>
        </w:rPr>
        <w:t>正如基督降生之时</w:t>
      </w:r>
      <w:r>
        <w:rPr>
          <w:rFonts w:ascii="Times New Roman" w:hAnsi="Times New Roman" w:eastAsia="Times New Roman" w:cs="Times New Roman"/>
        </w:rPr>
        <w:t>,</w:t>
      </w:r>
      <w:r>
        <w:rPr>
          <w:rFonts w:ascii="Microsoft YaHei" w:hAnsi="Microsoft YaHei" w:eastAsia="Microsoft YaHei" w:cs="Microsoft YaHei"/>
        </w:rPr>
        <w:t>犹太教会的领导层确实被越过了一样</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“Men na wan sabi am, ma di tori de ful hebin wit rejoisin. Di oli wan dem we from di world of lait, wit wan interest we deep mo an soft mo, dem heart draw go na di ert. Di hol world de braita sake of Im presens. Na oba di hil dem of Bethlehem, wan plenti-plenti kompani of enjil dem don geda. Dem de wait fɔ di signal fɔ tok out di glad nyus to di world. If di lida dem na Israel bin tru to di trɔst we dem get, dem for bin fit fɔ share na di joy fɔ proclaim di bɔt of Jesus. Bot now, dem don pass dem by.”</w:t>
      </w:r>
    </w:p>
    <w:p>
      <w:pPr>
        <w:pStyle w:val="ArticleScripture"/>
        <w:jc w:val="left"/>
      </w:pPr>
      <w:r>
        <w:rPr>
          <w:rFonts w:ascii="Times New Roman" w:hAnsi="Times New Roman" w:eastAsia="Times New Roman" w:cs="Times New Roman"/>
        </w:rPr>
        <w:t>« Dieu déclare : “Je répandrai de l’eau sur celui qui a soif, et des torrents sur la terre desséchée.” “La lumière se lève dans les ténèbres pour les hommes droits.” Ésaïe 44:3 ; Psaume 112:4. Sur ceux qui recherchent la lumière et qui l’acceptent avec joie, les rayons éclatants provenant du trône de Dieu resplendiront. » Jésus-Christ, p. 47.</w:t>
      </w:r>
    </w:p>
    <w:p>
      <w:pPr>
        <w:pStyle w:val="ArticleBody"/>
        <w:jc w:val="left"/>
      </w:pPr>
      <w:r>
        <w:rPr>
          <w:rFonts w:ascii="Times New Roman" w:hAnsi="Times New Roman" w:eastAsia="Times New Roman" w:cs="Times New Roman"/>
        </w:rPr>
        <w:t>Le temps de la fin, dans la lignée de Christ, fut sa naissance, et c’est alors que fut descellé le message qui devait mettre cette génération à l’épreuve. L’année 1989 fut le temps de la fin pour les candidats appelés à faire partie des cent quarante-quatre mille. Le modèle prophétique d’Uriah Smith rejetait les vérités fondamentales qui sont représentées sur le tableau de 1843. Ces vérités étaient le « Rocher ».</w:t>
      </w:r>
    </w:p>
    <w:p>
      <w:pPr>
        <w:pStyle w:val="ArticleScripture"/>
        <w:jc w:val="left"/>
      </w:pPr>
      <w:r>
        <w:rPr>
          <w:rFonts w:ascii="Times New Roman" w:hAnsi="Times New Roman" w:eastAsia="Times New Roman" w:cs="Times New Roman"/>
        </w:rPr>
        <w:t>“Onyikọwo ahụ abịala: A gaghị ekwe ka ihe ọ bụla bata nke ga-akpaghasị ntọala nke okwukwe ahụ nke anyị nọworo na-ewu kemgbe ozi ahụ bịara na 1842, 1843, na 1844. Anọ m n’ime ozi a, ma kemgbe ahụ anọwo m na-eguzo n’ihu ụwa, na-adịgide n’eziokwu nye ìhè ahụ Chineke nyere anyị. Anyị enweghị atụmatụ isi n’elu ikpo okwu ahụ wepụ ụkwụ anyị, nke e debere ha n’elu ya, dịka ụbọchị ọ bụla anyị ji ekpere siri ike na-achọ Onyenwe anyị, na-achọ ìhè. Ì chere na m pụrụ ịjụ ìhè ahụ Chineke nyere m? Ọ ga-adị ka Nkume Ebighị Ebi. Ọ nọwo na-edu m kemgbe e nyere ya.” Review and Herald, Eprel 14, 1903.</w:t>
      </w:r>
    </w:p>
    <w:p>
      <w:pPr>
        <w:pStyle w:val="ArticleBody"/>
        <w:jc w:val="left"/>
      </w:pPr>
      <w:r>
        <w:rPr>
          <w:rFonts w:ascii="Times New Roman" w:hAnsi="Times New Roman" w:eastAsia="Times New Roman" w:cs="Times New Roman"/>
        </w:rPr>
        <w:t>Le 11 septembre 2001, la pluie de l’arrière-saison commença à tomber en ondées légères, tandis que les vents représentant l’islam du troisième malheur furent relâchés, et le Patriot Act marqua une transition de la common law anglaise vers le droit romain, annonçant prophétiquement que le déluge de la puissance papale avait commencé à couler. Le processus final d’épreuve pour la maison de l’adventisme laodicéen commença, et « la pluie est tombée, les torrents sont venus, les vents ont soufflé et se sont jetés contre cette maison ; et elle est tombée : et sa ruine a été grande ».</w:t>
      </w:r>
    </w:p>
    <w:p>
      <w:pPr>
        <w:pStyle w:val="ArticleBody"/>
        <w:jc w:val="left"/>
      </w:pPr>
      <w:r>
        <w:rPr>
          <w:rFonts w:ascii="Times New Roman" w:hAnsi="Times New Roman" w:eastAsia="Times New Roman" w:cs="Times New Roman"/>
        </w:rPr>
        <w:t>Akuko onyankopɔn bɔfoɔ kɛseɛ no pae mu kaae saa berɛ no kyerɛeɛ sɛ aman nyinaa anom Babilon nsã no, na nnaadaa akwan a Papa Roma ne Protestantfoɔ atwe wɔn ho afi gyidie mu de di dwuma, a wɔde rekɔ anim agye atom fi atuateɛ a ɛbaa 1863 no mu no, na wɔgyina hɔ ma no sɛ Babilon nsã no (nkyerɛkyerɛ).</w:t>
      </w:r>
    </w:p>
    <w:p>
      <w:pPr>
        <w:pStyle w:val="ArticleScripture"/>
        <w:jc w:val="left"/>
      </w:pPr>
      <w:r>
        <w:rPr>
          <w:rFonts w:ascii="Times New Roman" w:hAnsi="Times New Roman" w:eastAsia="Times New Roman" w:cs="Times New Roman"/>
        </w:rPr>
        <w:t>Àti lẹ́yìn nǹkan wọ̀nyí mo rí áńgẹ́lì mìíràn tí ó sọ̀kalẹ̀ láti ọ̀run wá, ẹni tí ó ní agbára ńlá; a sì fi ògo rẹ̀ tan ayé mọ́lẹ̀. Ó sì ké pẹ̀lú agbára ní ohùn líle, wí pé, Bábílónì ńlá ti ṣubú, ó ti ṣubú, ó sì di ibùgbé àwọn ẹ̀mí èṣù, àti ibi ìdìmú gbogbo ẹ̀mí àìmọ́, àti àgò gbogbo ẹyẹ àìmọ́ àti ìkórìíra. Nítorí gbogbo orílẹ̀-èdè ti mu nínú wáìnì ìbínú àgbèrè rẹ̀, àwọn ọba ayé sì ti bá a ṣe àgbèrè, àwọn oníṣòwò ayé sì ti di ọlọ́rọ̀ nípasẹ̀ ọ̀pọ̀lọpọ̀ adùn ayé rẹ̀. Ìfihàn 18:1–3.</w:t>
      </w:r>
    </w:p>
    <w:p>
      <w:pPr>
        <w:pStyle w:val="ArticleBody"/>
        <w:jc w:val="left"/>
      </w:pP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ရက်ရှိ</w:t>
      </w:r>
      <w:r>
        <w:rPr>
          <w:rFonts w:ascii="Times New Roman" w:hAnsi="Times New Roman" w:eastAsia="Times New Roman" w:cs="Times New Roman"/>
        </w:rPr>
        <w:t xml:space="preserve"> </w:t>
      </w:r>
      <w:r>
        <w:rPr>
          <w:rFonts w:ascii="Myanmar Text" w:hAnsi="Myanmar Text" w:eastAsia="Myanmar Text" w:cs="Myanmar Text"/>
        </w:rPr>
        <w:t>စိတ်ပျက်ဖွယ်အတွေ့အကြုံ၌</w:t>
      </w:r>
      <w:r>
        <w:rPr>
          <w:rFonts w:ascii="Times New Roman" w:hAnsi="Times New Roman" w:eastAsia="Times New Roman" w:cs="Times New Roman"/>
        </w:rPr>
        <w:t xml:space="preserve"> </w:t>
      </w:r>
      <w:r>
        <w:rPr>
          <w:rFonts w:ascii="Myanmar Text" w:hAnsi="Myanmar Text" w:eastAsia="Myanmar Text" w:cs="Myanmar Text"/>
        </w:rPr>
        <w:t>လာအိုဒိကေယာ</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အက်ဒဗင်တစ်အသင်းတော်အတွက်</w:t>
      </w:r>
      <w:r>
        <w:rPr>
          <w:rFonts w:ascii="Times New Roman" w:hAnsi="Times New Roman" w:eastAsia="Times New Roman" w:cs="Times New Roman"/>
        </w:rPr>
        <w:t xml:space="preserve"> </w:t>
      </w:r>
      <w:r>
        <w:rPr>
          <w:rFonts w:ascii="Myanmar Text" w:hAnsi="Myanmar Text" w:eastAsia="Myanmar Text" w:cs="Myanmar Text"/>
        </w:rPr>
        <w:t>စမ်းသပ်ခြင်းလုပ်ငန်းစဉ်သည်</w:t>
      </w:r>
      <w:r>
        <w:rPr>
          <w:rFonts w:ascii="Times New Roman" w:hAnsi="Times New Roman" w:eastAsia="Times New Roman" w:cs="Times New Roman"/>
        </w:rPr>
        <w:t xml:space="preserve"> </w:t>
      </w:r>
      <w:r>
        <w:rPr>
          <w:rFonts w:ascii="Myanmar Text" w:hAnsi="Myanmar Text" w:eastAsia="Myanmar Text" w:cs="Myanmar Text"/>
        </w:rPr>
        <w:t>အဆုံးသို့</w:t>
      </w:r>
      <w:r>
        <w:rPr>
          <w:rFonts w:ascii="Times New Roman" w:hAnsi="Times New Roman" w:eastAsia="Times New Roman" w:cs="Times New Roman"/>
        </w:rPr>
        <w:t xml:space="preserve"> </w:t>
      </w:r>
      <w:r>
        <w:rPr>
          <w:rFonts w:ascii="Myanmar Text" w:hAnsi="Myanmar Text" w:eastAsia="Myanmar Text" w:cs="Myanmar Text"/>
        </w:rPr>
        <w:t>ရောက်ခဲ့ပြီး၊</w:t>
      </w:r>
      <w:r>
        <w:rPr>
          <w:rFonts w:ascii="Times New Roman" w:hAnsi="Times New Roman" w:eastAsia="Times New Roman" w:cs="Times New Roman"/>
        </w:rPr>
        <w:t xml:space="preserve"> </w:t>
      </w:r>
      <w:r>
        <w:rPr>
          <w:rFonts w:ascii="Myanmar Text" w:hAnsi="Myanmar Text" w:eastAsia="Myanmar Text" w:cs="Myanmar Text"/>
        </w:rPr>
        <w:t>တစ်ရာလေးဆယ့်လေးထောင်တွင်</w:t>
      </w:r>
      <w:r>
        <w:rPr>
          <w:rFonts w:ascii="Times New Roman" w:hAnsi="Times New Roman" w:eastAsia="Times New Roman" w:cs="Times New Roman"/>
        </w:rPr>
        <w:t xml:space="preserve"> </w:t>
      </w:r>
      <w:r>
        <w:rPr>
          <w:rFonts w:ascii="Myanmar Text" w:hAnsi="Myanmar Text" w:eastAsia="Myanmar Text" w:cs="Myanmar Text"/>
        </w:rPr>
        <w:t>ပါဝင်မည့်လူများအဖြစ်</w:t>
      </w:r>
      <w:r>
        <w:rPr>
          <w:rFonts w:ascii="Times New Roman" w:hAnsi="Times New Roman" w:eastAsia="Times New Roman" w:cs="Times New Roman"/>
        </w:rPr>
        <w:t xml:space="preserve"> </w:t>
      </w:r>
      <w:r>
        <w:rPr>
          <w:rFonts w:ascii="Myanmar Text" w:hAnsi="Myanmar Text" w:eastAsia="Myanmar Text" w:cs="Myanmar Text"/>
        </w:rPr>
        <w:t>ရွေးချယ်ခံရရန်</w:t>
      </w:r>
      <w:r>
        <w:rPr>
          <w:rFonts w:ascii="Times New Roman" w:hAnsi="Times New Roman" w:eastAsia="Times New Roman" w:cs="Times New Roman"/>
        </w:rPr>
        <w:t xml:space="preserve"> </w:t>
      </w:r>
      <w:r>
        <w:rPr>
          <w:rFonts w:ascii="Myanmar Text" w:hAnsi="Myanmar Text" w:eastAsia="Myanmar Text" w:cs="Myanmar Text"/>
        </w:rPr>
        <w:t>ကိုယ်စားလှယ်လောင်းများဖြစ်ခဲ့သူတို့၏</w:t>
      </w:r>
      <w:r>
        <w:rPr>
          <w:rFonts w:ascii="Times New Roman" w:hAnsi="Times New Roman" w:eastAsia="Times New Roman" w:cs="Times New Roman"/>
        </w:rPr>
        <w:t xml:space="preserve"> </w:t>
      </w:r>
      <w:r>
        <w:rPr>
          <w:rFonts w:ascii="Myanmar Text" w:hAnsi="Myanmar Text" w:eastAsia="Myanmar Text" w:cs="Myanmar Text"/>
        </w:rPr>
        <w:t>စမ်းသပ်ခြင်းလုပ်ငန်းစဉ်သည်</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ဇူလိုင်လ၌</w:t>
      </w:r>
      <w:r>
        <w:rPr>
          <w:rFonts w:ascii="Times New Roman" w:hAnsi="Times New Roman" w:eastAsia="Times New Roman" w:cs="Times New Roman"/>
        </w:rPr>
        <w:t xml:space="preserve"> </w:t>
      </w:r>
      <w:r>
        <w:rPr>
          <w:rFonts w:ascii="Myanmar Text" w:hAnsi="Myanmar Text" w:eastAsia="Myanmar Text" w:cs="Myanmar Text"/>
        </w:rPr>
        <w:t>မိက္ခေလသည်</w:t>
      </w:r>
      <w:r>
        <w:rPr>
          <w:rFonts w:ascii="Times New Roman" w:hAnsi="Times New Roman" w:eastAsia="Times New Roman" w:cs="Times New Roman"/>
        </w:rPr>
        <w:t xml:space="preserve"> </w:t>
      </w:r>
      <w:r>
        <w:rPr>
          <w:rFonts w:ascii="Myanmar Text" w:hAnsi="Myanmar Text" w:eastAsia="Myanmar Text" w:cs="Myanmar Text"/>
        </w:rPr>
        <w:t>ထိုကိုယ်စားလှယ်လောင်းများကို</w:t>
      </w:r>
      <w:r>
        <w:rPr>
          <w:rFonts w:ascii="Times New Roman" w:hAnsi="Times New Roman" w:eastAsia="Times New Roman" w:cs="Times New Roman"/>
        </w:rPr>
        <w:t xml:space="preserve"> </w:t>
      </w:r>
      <w:r>
        <w:rPr>
          <w:rFonts w:ascii="Myanmar Text" w:hAnsi="Myanmar Text" w:eastAsia="Myanmar Text" w:cs="Myanmar Text"/>
        </w:rPr>
        <w:t>နှိုးဆော်တော်မူစဉ်၊</w:t>
      </w:r>
      <w:r>
        <w:rPr>
          <w:rFonts w:ascii="Times New Roman" w:hAnsi="Times New Roman" w:eastAsia="Times New Roman" w:cs="Times New Roman"/>
        </w:rPr>
        <w:t xml:space="preserve"> </w:t>
      </w:r>
      <w:r>
        <w:rPr>
          <w:rFonts w:ascii="Myanmar Text" w:hAnsi="Myanmar Text" w:eastAsia="Myanmar Text" w:cs="Myanmar Text"/>
        </w:rPr>
        <w:t>အက်ဒဗင်တစ်ဝါဒ၏</w:t>
      </w:r>
      <w:r>
        <w:rPr>
          <w:rFonts w:ascii="Times New Roman" w:hAnsi="Times New Roman" w:eastAsia="Times New Roman" w:cs="Times New Roman"/>
        </w:rPr>
        <w:t xml:space="preserve"> </w:t>
      </w:r>
      <w:r>
        <w:rPr>
          <w:rFonts w:ascii="Myanmar Text" w:hAnsi="Myanmar Text" w:eastAsia="Myanmar Text" w:cs="Myanmar Text"/>
        </w:rPr>
        <w:t>ဥပမာ၌</w:t>
      </w:r>
      <w:r>
        <w:rPr>
          <w:rFonts w:ascii="Times New Roman" w:hAnsi="Times New Roman" w:eastAsia="Times New Roman" w:cs="Times New Roman"/>
        </w:rPr>
        <w:t xml:space="preserve"> </w:t>
      </w:r>
      <w:r>
        <w:rPr>
          <w:rFonts w:ascii="Myanmar Text" w:hAnsi="Myanmar Text" w:eastAsia="Myanmar Text" w:cs="Myanmar Text"/>
        </w:rPr>
        <w:t>ဆီဟု</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တံဆိပ်ဖြုတ်ဖွင့်လှစ်ခံရပြန်သည်။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ရက်နောက်ပိုင်းဖြစ်စေ၊</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ဇူလိုင်လနောက်ပိုင်းဖြစ်စေ၊</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သွန်လောင်းခြင်းတစ်ရပ်</w:t>
      </w:r>
      <w:r>
        <w:rPr>
          <w:rFonts w:ascii="Times New Roman" w:hAnsi="Times New Roman" w:eastAsia="Times New Roman" w:cs="Times New Roman"/>
        </w:rPr>
        <w:t xml:space="preserve"> </w:t>
      </w:r>
      <w:r>
        <w:rPr>
          <w:rFonts w:ascii="Myanmar Text" w:hAnsi="Myanmar Text" w:eastAsia="Myanmar Text" w:cs="Myanmar Text"/>
        </w:rPr>
        <w:t>ရှိခဲ့ပြီး၊</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ဇူလိုင်လ၌</w:t>
      </w:r>
      <w:r>
        <w:rPr>
          <w:rFonts w:ascii="Times New Roman" w:hAnsi="Times New Roman" w:eastAsia="Times New Roman" w:cs="Times New Roman"/>
        </w:rPr>
        <w:t xml:space="preserve"> </w:t>
      </w:r>
      <w:r>
        <w:rPr>
          <w:rFonts w:ascii="Myanmar Text" w:hAnsi="Myanmar Text" w:eastAsia="Myanmar Text" w:cs="Myanmar Text"/>
        </w:rPr>
        <w:t>တံဆိပ်ဖြုတ်ဖွင့်လှစ်ခံရသော</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ဖွံ့ဖြိုးလာသောအခါ၊</w:t>
      </w:r>
      <w:r>
        <w:rPr>
          <w:rFonts w:ascii="Times New Roman" w:hAnsi="Times New Roman" w:eastAsia="Times New Roman" w:cs="Times New Roman"/>
        </w:rPr>
        <w:t xml:space="preserve"> </w:t>
      </w:r>
      <w:r>
        <w:rPr>
          <w:rFonts w:ascii="Myanmar Text" w:hAnsi="Myanmar Text" w:eastAsia="Myanmar Text" w:cs="Myanmar Text"/>
        </w:rPr>
        <w:t>ဥပမာ၏</w:t>
      </w:r>
      <w:r>
        <w:rPr>
          <w:rFonts w:ascii="Times New Roman" w:hAnsi="Times New Roman" w:eastAsia="Times New Roman" w:cs="Times New Roman"/>
        </w:rPr>
        <w:t xml:space="preserve"> </w:t>
      </w:r>
      <w:r>
        <w:rPr>
          <w:rFonts w:ascii="Myanmar Text" w:hAnsi="Myanmar Text" w:eastAsia="Myanmar Text" w:cs="Myanmar Text"/>
        </w:rPr>
        <w:t>သန်းခေါင်ယံအော်ဟစ်ခြင်း</w:t>
      </w:r>
      <w:r>
        <w:rPr>
          <w:rFonts w:ascii="Times New Roman" w:hAnsi="Times New Roman" w:eastAsia="Times New Roman" w:cs="Times New Roman"/>
        </w:rPr>
        <w:t xml:space="preserve"> </w:t>
      </w:r>
      <w:r>
        <w:rPr>
          <w:rFonts w:ascii="Myanmar Text" w:hAnsi="Myanmar Text" w:eastAsia="Myanmar Text" w:cs="Myanmar Text"/>
        </w:rPr>
        <w:t>သတင်းစကားပင်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Ā san beginnt iin det Tiet faan de Priiwing as det Boodskap foar det wise an det dwase Jungfrauen, man det swellt tu det Boodskap faan de lutte Krai. Det Boodskap kjar at bi de balde kaamende Sondag-Gesetz, an wan det kjar, roopt de twaad Stemm faan Offenbarung Kapitel achtjen God siin uur Flok ut Babylon rut.</w:t>
      </w:r>
    </w:p>
    <w:p>
      <w:pPr>
        <w:pStyle w:val="ArticleScripture"/>
        <w:jc w:val="left"/>
      </w:pPr>
      <w:r>
        <w:rPr>
          <w:rFonts w:ascii="Times New Roman" w:hAnsi="Times New Roman" w:eastAsia="Times New Roman" w:cs="Times New Roman"/>
        </w:rPr>
        <w:t>Et j’entendis du ciel une autre voix, disant : Sortez du milieu d’elle, mon peuple, afin que vous ne participiez point à ses péchés, et que vous n’ayez point de part à ses fléaux. Car ses péchés se sont amoncelés jusqu’au ciel, et Dieu s’est souvenu de ses iniquités. Apocalypse 18:4, 5.</w:t>
      </w:r>
    </w:p>
    <w:p>
      <w:pPr>
        <w:pStyle w:val="ArticleBody"/>
        <w:jc w:val="left"/>
      </w:pPr>
      <w:r>
        <w:rPr>
          <w:rFonts w:ascii="Times New Roman" w:hAnsi="Times New Roman" w:eastAsia="Times New Roman" w:cs="Times New Roman"/>
        </w:rPr>
        <w:t>La première voix, aux versets un à trois, annonçait l’arrivée d’un temps d’épreuve, et l’aspersion de la pluie de l’arrière-saison commença alors. La seconde voix marque la fin de ce temps d’épreuve et annonce le temps d’épreuve pour l’autre troupeau de Dieu, qui se trouve encore à Babylone.</w:t>
      </w:r>
    </w:p>
    <w:p>
      <w:pPr>
        <w:pStyle w:val="ArticleScripture"/>
        <w:jc w:val="left"/>
      </w:pPr>
      <w:r>
        <w:rPr>
          <w:rFonts w:ascii="Times New Roman" w:hAnsi="Times New Roman" w:eastAsia="Times New Roman" w:cs="Times New Roman"/>
        </w:rPr>
        <w:t>“Ainsi, dans l’œuvre finale destinée à l’avertissement du monde, deux appels distincts sont adressés aux Églises. Le message du deuxième ange est : « Elle est tombée, elle est tombée, Babylone la grande ville, parce qu’elle a fait boire à toutes les nations le vin de la fureur de sa fornication. » Et dans le grand cri du message du troisième ange, une voix se fait entendre du ciel, disant : « Sortez du milieu d’elle, mon peuple. »” Review and Herald, 6 décembre 1892.</w:t>
      </w:r>
    </w:p>
    <w:p>
      <w:pPr>
        <w:pStyle w:val="ArticleBody"/>
        <w:jc w:val="left"/>
      </w:pPr>
      <w:r>
        <w:rPr>
          <w:rFonts w:ascii="Times New Roman" w:hAnsi="Times New Roman" w:eastAsia="Times New Roman" w:cs="Times New Roman"/>
        </w:rPr>
        <w:t>Paulusova silná iluze z 2. Tesalonickým se naplňuje během vylití Ducha svatého. Ať již šlo o zkoušku laodicejské církve adventistů sedmého dne, která začala 11. září 2001, nebo o zkoušku panen, jež zakusily zklamání 18. července 2020, tato zkouška probíhá během vylití Ducha svatého. Toto vylití představuje zkušební poselství.</w:t>
      </w:r>
    </w:p>
    <w:p>
      <w:pPr>
        <w:pStyle w:val="ArticleScripture"/>
        <w:jc w:val="left"/>
      </w:pPr>
      <w:r>
        <w:rPr>
          <w:rFonts w:ascii="Times New Roman" w:hAnsi="Times New Roman" w:eastAsia="Times New Roman" w:cs="Times New Roman"/>
        </w:rPr>
        <w:t>“Los ungidos que están junto al Señor de toda la tierra tienen la posición que una vez fue dada a Satanás como querubín protector. Por medio de los seres santos que rodean su trono, el Señor mantiene una comunicación constante con los habitantes de la tierra. El aceite de oro representa la gracia con la cual Dios mantiene abastecidas las lámparas de los creyentes, para que no titileen ni se apaguen. Si no fuera porque este aceite santo es derramado desde el cielo en los mensajes del Espíritu de Dios, los agentes del mal tendrían dominio completo sobre los hombres.</w:t>
      </w:r>
    </w:p>
    <w:p>
      <w:pPr>
        <w:pStyle w:val="ArticleScripture"/>
        <w:jc w:val="left"/>
      </w:pPr>
      <w:r>
        <w:rPr>
          <w:rFonts w:ascii="Times New Roman" w:hAnsi="Times New Roman" w:eastAsia="Times New Roman" w:cs="Times New Roman"/>
        </w:rPr>
        <w:t>«Бог бесчестится, когда мы не принимаем тех вестей, которые Он посылает нам. Тем самым мы отвергаем золотой елей, который Он желал бы излить в наши души, чтобы он был передан находящимся во тьме. Когда раздастся призыв: „Вот, Жених идет; выходите навстречу Ему“, те, кто не принял святого елея, кто не хранил благодать Христову в своих сердцах, обнаружат, подобно неразумным девам, что они не готовы встретить своего Господа. Они не имеют в самих себе силы приобрести елей, и их жизнь терпит крушение. Но если просить Святого Духа Божия, если умолять, как умолял Моисей: „Покажи мне славу Твою“, то любовь Божия изольется в сердца наши. Через золотые трубы золотой елей будет сообщен нам. „Не воинством и не силою, но Духом Моим, говорит Господь Саваоф“. Принимая светлые лучи Солнца Праведности, дети Божии сияют как светила в мире». Review and Herald, 20 июля 1897 г.</w:t>
      </w:r>
    </w:p>
    <w:p>
      <w:pPr>
        <w:pStyle w:val="ArticleBody"/>
        <w:jc w:val="left"/>
      </w:pPr>
      <w:r>
        <w:rPr>
          <w:rFonts w:ascii="Times New Roman" w:hAnsi="Times New Roman" w:eastAsia="Times New Roman" w:cs="Times New Roman"/>
        </w:rPr>
        <w:t>Il tempo del suggellamento dei centoquarantaquattromila ebbe inizio l’11 settembre 2001, e rappresenta due periodi di prova. Il primo è la prova finale della chiesa avventista del settimo giorno di Laodicea, e il secondo riguarda coloro che sono i soggetti della parabola delle dieci vergini. Per essere sia una vergine avveduta sia una stolta, è necessario che tutte le vergini attraversino un tempo di indugio.</w:t>
      </w:r>
    </w:p>
    <w:p>
      <w:pPr>
        <w:pStyle w:val="ArticleBody"/>
        <w:jc w:val="left"/>
      </w:pPr>
      <w:r>
        <w:rPr>
          <w:rFonts w:ascii="Times New Roman" w:hAnsi="Times New Roman" w:eastAsia="Times New Roman" w:cs="Times New Roman"/>
        </w:rPr>
        <w:t>W mellerowskiej historii czas zwłoki rozpoczął się wraz z nadejściem drugiego anioła, co nastąpiło podczas pierwszego rozczarowania. W tym momencie protestanci, którzy byli Bożym ludem wybranym dawnego przymierza, zostali pominięci. 18 lipca 2020 roku lud wybrany dawnego przymierza został pominięty, a proces próby, który miał miejsce podczas czasu zwłoki w historii mellerowskiej, zaczął się powtarzać. Poselstwo wołania o północy zostało następnie rozwinięte w historii mellerowskiej, tak jak obecnie jest rozwijane. Gdy w pełni dotarło ono na zgromadzenie obozowe w Exeter, ujawniło się, kto miał poselstwo (oliwę), a kto go nie miał. Lud wybrany dawnego przymierza w każdej z tych historii jest pierwszym, który zostaje poddany próbie i pominięty.</w:t>
      </w:r>
    </w:p>
    <w:p>
      <w:pPr>
        <w:pStyle w:val="ArticleScripture"/>
        <w:jc w:val="left"/>
      </w:pPr>
      <w:r>
        <w:rPr>
          <w:rFonts w:ascii="Times New Roman" w:hAnsi="Times New Roman" w:eastAsia="Times New Roman" w:cs="Times New Roman"/>
        </w:rPr>
        <w:t>“‘Un novo corde vi darai, e un novo spirito metterò dentro de vos.’ Io credo con tote le corde que le Spirito de Deo es in train de esser retirate del mundo, e illes que ha habite grande lumine e opportunitates e non los ha meliorate, essera le prime a esser lassate. Illes ha repellite le Spirito de Deo. Le activitate presente de Satan in operar super le cordes, e super ecclesias e nationes, deberea alarmar omne studente del prophetia. Le fin es proxime. Que nostre ecclesias se leva. Que le potentia convertente de Deo sia experimentate in le corde del membros individual, e alora nos videra le profunde movimento del Spirito de Deo. Le simple remission del peccato non es le sol resultato del morte de Jesus. Ille faceva le sacrificio infinite non solmente pro que le peccato poterea esser removite, ma pro que le natura human poterea esser restaurate, re-embellite, reconstructe ex su ruinas, e rendite apte pro le presentia de Deo.” Selected Messages, libro 3, 154.</w:t>
      </w:r>
    </w:p>
    <w:p>
      <w:pPr>
        <w:pStyle w:val="ArticleBody"/>
        <w:jc w:val="left"/>
      </w:pPr>
      <w:r>
        <w:rPr>
          <w:rFonts w:ascii="Times New Roman" w:hAnsi="Times New Roman" w:eastAsia="Times New Roman" w:cs="Times New Roman"/>
        </w:rPr>
        <w:t>Dans l’une ou l’autre période d’épreuve, ceux qui ont rejeté le message qui est descellé reçoivent la puissante séduction de Paul.</w:t>
      </w:r>
    </w:p>
    <w:p>
      <w:pPr>
        <w:pStyle w:val="ArticleScripture"/>
        <w:jc w:val="left"/>
      </w:pPr>
      <w:r>
        <w:rPr>
          <w:rFonts w:ascii="Times New Roman" w:hAnsi="Times New Roman" w:eastAsia="Times New Roman" w:cs="Times New Roman"/>
        </w:rPr>
        <w:t>“Ni jambo la kuogofya kulitendea kwa wepesi lile kweli ambalo limeishawishi fahamu yetu na kugusa mioyo yetu. Hatuwezi bila adhabu kuyakataa maonyo ambayo Mungu hututumia kwa rehema. Ujumbe ulitumwa kutoka mbinguni kuja ulimwenguni katika siku za Nuhu, na wokovu wa wanadamu ulitegemea jinsi walivyoutendea ule ujumbe. Kwa sababu waliikataa onyo, Roho wa Mungu aliondolewa kutoka kwa kizazi kile chenye dhambi, nao wakaangamia katika maji ya gharika. Katika wakati wa Ibrahimu, rehema ilikoma kusihi kwa wakaaji wenye hatia wa Sodoma, na wote isipokuwa Loti pamoja na mkewe na binti zake wawili wakaangamizwa kwa moto ulioshushwa kutoka mbinguni. Ndivyo ilivyokuwa pia katika siku za Kristo. Mwana wa Mungu aliwaambia Wayahudi wasioamini wa kizazi kile, ‘Nyumba yenu mmeachiwa hali ya ukiwa.’ Akiyatazama mbele hadi siku za mwisho, uweza uo huo usio na mipaka watangaza, kuhusu wale ambao ‘hawakuipokea kuipenda ile kweli, wapate kuokolewa,’ ‘Kwa hiyo Mungu awaletea nguvu ya upotevu, wauamini uongo: ili wahukumiwe wote ambao hawakuiamini kweli, bali walikuwa wakijifurahisha katika udhalimu.’ Wanapoyakataa mafundisho ya Neno Lake, Mungu huiondoa Roho Wake, na kuwaacha katika madanganyo yale wayapendayo.” Early Writings, 46.</w:t>
      </w:r>
    </w:p>
    <w:p>
      <w:pPr>
        <w:pStyle w:val="ArticleBody"/>
        <w:jc w:val="left"/>
      </w:pPr>
      <w:r>
        <w:rPr>
          <w:rFonts w:ascii="Times New Roman" w:hAnsi="Times New Roman" w:eastAsia="Times New Roman" w:cs="Times New Roman"/>
        </w:rPr>
        <w:t>Nous poursuivrons cette étude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로마가 그 환상을 세운다 - 일곱째 수</dc:title>
  <dc:subject>La Controverse finale : le symbolisme de Rome dans la prophétie adventiste et la fin du temps de grâce</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