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रोम</w:t>
      </w:r>
      <w:r>
        <w:rPr>
          <w:rFonts w:ascii="Arial" w:hAnsi="Arial" w:eastAsia="Arial" w:cs="Arial"/>
        </w:rPr>
        <w:t xml:space="preserve"> </w:t>
      </w:r>
      <w:r>
        <w:rPr>
          <w:rFonts w:ascii="Nirmala UI" w:hAnsi="Nirmala UI" w:eastAsia="Nirmala UI" w:cs="Nirmala UI"/>
        </w:rPr>
        <w:t>दर्शन</w:t>
      </w:r>
      <w:r>
        <w:rPr>
          <w:rFonts w:ascii="Arial" w:hAnsi="Arial" w:eastAsia="Arial" w:cs="Arial"/>
        </w:rPr>
        <w:t xml:space="preserve"> </w:t>
      </w:r>
      <w:r>
        <w:rPr>
          <w:rFonts w:ascii="Nirmala UI" w:hAnsi="Nirmala UI" w:eastAsia="Nirmala UI" w:cs="Nirmala UI"/>
        </w:rPr>
        <w:t>स्थापित</w:t>
      </w:r>
      <w:r>
        <w:rPr>
          <w:rFonts w:ascii="Arial" w:hAnsi="Arial" w:eastAsia="Arial" w:cs="Arial"/>
        </w:rPr>
        <w:t xml:space="preserve"> </w:t>
      </w:r>
      <w:r>
        <w:rPr>
          <w:rFonts w:ascii="Nirmala UI" w:hAnsi="Nirmala UI" w:eastAsia="Nirmala UI" w:cs="Nirmala UI"/>
        </w:rPr>
        <w:t>करता</w:t>
      </w:r>
      <w:r>
        <w:rPr>
          <w:rFonts w:ascii="Arial" w:hAnsi="Arial" w:eastAsia="Arial" w:cs="Arial"/>
        </w:rPr>
        <w:t xml:space="preserve"> </w:t>
      </w:r>
      <w:r>
        <w:rPr>
          <w:rFonts w:ascii="Nirmala UI" w:hAnsi="Nirmala UI" w:eastAsia="Nirmala UI" w:cs="Nirmala UI"/>
        </w:rPr>
        <w:t>है</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आठ</w:t>
      </w:r>
    </w:p>
    <w:p>
      <w:pPr>
        <w:pStyle w:val="ArticleSubtitle"/>
        <w:jc w:val="left"/>
      </w:pPr>
      <w:r>
        <w:rPr>
          <w:rFonts w:ascii="Arial" w:hAnsi="Arial" w:eastAsia="Arial" w:cs="Arial"/>
        </w:rPr>
        <w:t>Temelleri Kumdan: Laodikya Adventizmi’nde Peygamberlik Gerçeğinin Reddedilişi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Na ën artikle janfáre li referénsia e folo palavra de Jesus.</w:t>
      </w:r>
    </w:p>
    <w:p>
      <w:pPr>
        <w:pStyle w:val="ArticleScripture"/>
        <w:jc w:val="left"/>
      </w:pPr>
      <w:r>
        <w:rPr>
          <w:rFonts w:ascii="Times New Roman" w:hAnsi="Times New Roman" w:eastAsia="Times New Roman" w:cs="Times New Roman"/>
        </w:rPr>
        <w:t>Ukuqapha abaprofethi bamanga, abeza kini begqoke izikhumba zezimvu, kepha ngaphakathi bayizimpisi eziphangayo. Niyobazi ngezithelo zabo. Kanti abantu bayakha yini amagilebhisi emeveni, noma amakhiwane emakhakhasini? Kanjalo-ke yonke imithi emihle ithela izithelo ezinhle; kepha imithi ebolileyo ithela izithelo ezimbi. Umuthi omuhle awunakuthela izithelo ezimbi, nomuthi obolileyo awunakuthela izithelo ezinhle. Yonke imithi engatheli izithelo ezinhle iyanqunywa, iphonswe emlilweni. Ngakho-ke niyobazi ngezithelo zabo. Akusibo bonke abathi kimi: Nkosi, Nkosi, abayakungena embusweni wezulu; kodwa ongowenza intando kaBaba osezulwini. Abaningi bayakuthi kimi ngalolo suku: Nkosi, Nkosi, asiprofethanga yini egameni lakho na? futhi sakhipha amademoni egameni lakho na? futhi senza imisebenzi eminingi emangalisayo egameni lakho na? Khona ngiyakuvuma kubo ukuthi: Angizange nginazi; sukani kimi, nina benzi bokungalungi. Ngakho-ke wonke ozwa lawa mazwi ami, awenze, ngiyomfanisa nomuntu ohlakaniphileyo owakha indlu yakhe phezu kwedwala; imvula yana, kwafika izikhukhula, kwavunguza imimoya, yashaya kuleyo ndlu; ayiwanga, ngokuba yayisekelwe phezu kwedwala. Kepha wonke ozwa lawa mazwi ami, angawenzi, uyakufaniswa nomuntu oyisiwula owakha indlu yakhe phezu kwesihlabathi; imvula yana, kwafika izikhukhula, kwavunguza imimoya, yashaya kuleyo ndlu; yawa, nokuwa kwayo kwaba kukhulu. Mathewu 7:15–27.</w:t>
      </w:r>
    </w:p>
    <w:p>
      <w:pPr>
        <w:pStyle w:val="ArticleBody"/>
        <w:jc w:val="left"/>
      </w:pPr>
      <w:r>
        <w:rPr>
          <w:rFonts w:ascii="Times New Roman" w:hAnsi="Times New Roman" w:eastAsia="Times New Roman" w:cs="Times New Roman"/>
        </w:rPr>
        <w:t>Keisahokan’i 1863 no manamarika ny fiandohan’ny Advantista Mitandrina ny Andro Fahafito Laodiseana manorina fototra sandoka eo ambonin’ny fasika. Ny fasika dia maneho ny foto-kevitra satanika momba ny ploralisma, mifanohitra amin’ny Vatolampin’ny fahamarinana tanteraka. Ny fahamarinana tanteraka dia aorina amin’ny vavolombelona roa, ary ireo fahamarinana aseho eo amin’ireo tabilao masina roa an’i Habakoka, izay efa nafoin’ny Advantisma tsikelikely, dia nalaina avy amin’ny Baiboly sady nohamafisin’ny Fanahin’ny Faminaniana. Tanteraka ireo fahamarinana ireo.</w:t>
      </w:r>
    </w:p>
    <w:p>
      <w:pPr>
        <w:pStyle w:val="ArticleScripture"/>
        <w:jc w:val="left"/>
      </w:pPr>
      <w:r>
        <w:rPr>
          <w:rFonts w:ascii="Times New Roman" w:hAnsi="Times New Roman" w:eastAsia="Times New Roman" w:cs="Times New Roman"/>
        </w:rPr>
        <w:t>“Dzvinyiriri ari kutsvaka kutsausa ndangariro dzehama nehanzvadzi dzedu kubva pabasa rokugadzirira vanhu kuti vamire mumazuva okupedzisira ano. Uchenjeri hwake hunonyengera hwakarongerwa kutsausa ndangariro kubva panjodzi nemabasa enguva ino. Vanoti chiedza chakabva kudenga chakauyiswa naKristu kuna Johane nokuda kwavanhu Vake hachina kukosha kukuru. Vanodzidzisa kuti zviitiko zviri pamberi pedu zvino hazvina kukosha kwakaringana kuti zvipihwe hanya yakatsaurirwa. Vanoshayisa simba chokwadi chine mavambo ekudenga, uye vanotorera vanhu vaMwari ruzivo rwavo rwakapfuura, vachivapa panzvimbo yarwo sainzi yenhema. ‘Zvanzi naJehovha: Mirai panzira, muone, mubvunze nzira dzekare, kuti nzira yakanaka iri kupi; mufambe mairi.’ [Jeremia 6:16.]”</w:t>
      </w:r>
    </w:p>
    <w:p>
      <w:pPr>
        <w:pStyle w:val="ArticleScripture"/>
        <w:jc w:val="left"/>
      </w:pPr>
      <w:r>
        <w:rPr>
          <w:rFonts w:ascii="Times New Roman" w:hAnsi="Times New Roman" w:eastAsia="Times New Roman" w:cs="Times New Roman"/>
        </w:rPr>
        <w:t>“</w:t>
      </w:r>
      <w:r>
        <w:rPr>
          <w:rFonts w:ascii="Sylfaen" w:hAnsi="Sylfaen" w:eastAsia="Sylfaen" w:cs="Sylfaen"/>
        </w:rPr>
        <w:t>რომელი</w:t>
      </w:r>
      <w:r>
        <w:rPr>
          <w:rFonts w:ascii="Times New Roman" w:hAnsi="Times New Roman" w:eastAsia="Times New Roman" w:cs="Times New Roman"/>
        </w:rPr>
        <w:t xml:space="preserve"> </w:t>
      </w:r>
      <w:r>
        <w:rPr>
          <w:rFonts w:ascii="Sylfaen" w:hAnsi="Sylfaen" w:eastAsia="Sylfaen" w:cs="Sylfaen"/>
        </w:rPr>
        <w:t>ნურავინ</w:t>
      </w:r>
      <w:r>
        <w:rPr>
          <w:rFonts w:ascii="Times New Roman" w:hAnsi="Times New Roman" w:eastAsia="Times New Roman" w:cs="Times New Roman"/>
        </w:rPr>
        <w:t xml:space="preserve"> </w:t>
      </w:r>
      <w:r>
        <w:rPr>
          <w:rFonts w:ascii="Sylfaen" w:hAnsi="Sylfaen" w:eastAsia="Sylfaen" w:cs="Sylfaen"/>
        </w:rPr>
        <w:t>ეცდება</w:t>
      </w:r>
      <w:r>
        <w:rPr>
          <w:rFonts w:ascii="Times New Roman" w:hAnsi="Times New Roman" w:eastAsia="Times New Roman" w:cs="Times New Roman"/>
        </w:rPr>
        <w:t xml:space="preserve"> </w:t>
      </w:r>
      <w:r>
        <w:rPr>
          <w:rFonts w:ascii="Sylfaen" w:hAnsi="Sylfaen" w:eastAsia="Sylfaen" w:cs="Sylfaen"/>
        </w:rPr>
        <w:t>ჩვენი</w:t>
      </w:r>
      <w:r>
        <w:rPr>
          <w:rFonts w:ascii="Times New Roman" w:hAnsi="Times New Roman" w:eastAsia="Times New Roman" w:cs="Times New Roman"/>
        </w:rPr>
        <w:t xml:space="preserve"> </w:t>
      </w:r>
      <w:r>
        <w:rPr>
          <w:rFonts w:ascii="Sylfaen" w:hAnsi="Sylfaen" w:eastAsia="Sylfaen" w:cs="Sylfaen"/>
        </w:rPr>
        <w:t>რწმენის</w:t>
      </w:r>
      <w:r>
        <w:rPr>
          <w:rFonts w:ascii="Times New Roman" w:hAnsi="Times New Roman" w:eastAsia="Times New Roman" w:cs="Times New Roman"/>
        </w:rPr>
        <w:t xml:space="preserve"> </w:t>
      </w:r>
      <w:r>
        <w:rPr>
          <w:rFonts w:ascii="Sylfaen" w:hAnsi="Sylfaen" w:eastAsia="Sylfaen" w:cs="Sylfaen"/>
        </w:rPr>
        <w:t>საფუძვლების</w:t>
      </w:r>
      <w:r>
        <w:rPr>
          <w:rFonts w:ascii="Times New Roman" w:hAnsi="Times New Roman" w:eastAsia="Times New Roman" w:cs="Times New Roman"/>
        </w:rPr>
        <w:t xml:space="preserve"> </w:t>
      </w:r>
      <w:r>
        <w:rPr>
          <w:rFonts w:ascii="Sylfaen" w:hAnsi="Sylfaen" w:eastAsia="Sylfaen" w:cs="Sylfaen"/>
        </w:rPr>
        <w:t>შერყევას</w:t>
      </w:r>
      <w:r>
        <w:rPr>
          <w:rFonts w:ascii="Times New Roman" w:hAnsi="Times New Roman" w:eastAsia="Times New Roman" w:cs="Times New Roman"/>
        </w:rPr>
        <w:t xml:space="preserve">, —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საფუძვლებისა</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ჩვენი</w:t>
      </w:r>
      <w:r>
        <w:rPr>
          <w:rFonts w:ascii="Times New Roman" w:hAnsi="Times New Roman" w:eastAsia="Times New Roman" w:cs="Times New Roman"/>
        </w:rPr>
        <w:t xml:space="preserve"> </w:t>
      </w:r>
      <w:r>
        <w:rPr>
          <w:rFonts w:ascii="Sylfaen" w:hAnsi="Sylfaen" w:eastAsia="Sylfaen" w:cs="Sylfaen"/>
        </w:rPr>
        <w:t>საქმის</w:t>
      </w:r>
      <w:r>
        <w:rPr>
          <w:rFonts w:ascii="Times New Roman" w:hAnsi="Times New Roman" w:eastAsia="Times New Roman" w:cs="Times New Roman"/>
        </w:rPr>
        <w:t xml:space="preserve"> </w:t>
      </w:r>
      <w:r>
        <w:rPr>
          <w:rFonts w:ascii="Sylfaen" w:hAnsi="Sylfaen" w:eastAsia="Sylfaen" w:cs="Sylfaen"/>
        </w:rPr>
        <w:t>დასაწყისში</w:t>
      </w:r>
      <w:r>
        <w:rPr>
          <w:rFonts w:ascii="Times New Roman" w:hAnsi="Times New Roman" w:eastAsia="Times New Roman" w:cs="Times New Roman"/>
        </w:rPr>
        <w:t xml:space="preserve"> </w:t>
      </w:r>
      <w:r>
        <w:rPr>
          <w:rFonts w:ascii="Sylfaen" w:hAnsi="Sylfaen" w:eastAsia="Sylfaen" w:cs="Sylfaen"/>
        </w:rPr>
        <w:t>დაიდო</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სიტყვის</w:t>
      </w:r>
      <w:r>
        <w:rPr>
          <w:rFonts w:ascii="Times New Roman" w:hAnsi="Times New Roman" w:eastAsia="Times New Roman" w:cs="Times New Roman"/>
        </w:rPr>
        <w:t xml:space="preserve"> </w:t>
      </w:r>
      <w:r>
        <w:rPr>
          <w:rFonts w:ascii="Sylfaen" w:hAnsi="Sylfaen" w:eastAsia="Sylfaen" w:cs="Sylfaen"/>
        </w:rPr>
        <w:t>ლოცვითი</w:t>
      </w:r>
      <w:r>
        <w:rPr>
          <w:rFonts w:ascii="Times New Roman" w:hAnsi="Times New Roman" w:eastAsia="Times New Roman" w:cs="Times New Roman"/>
        </w:rPr>
        <w:t xml:space="preserve"> </w:t>
      </w:r>
      <w:r>
        <w:rPr>
          <w:rFonts w:ascii="Sylfaen" w:hAnsi="Sylfaen" w:eastAsia="Sylfaen" w:cs="Sylfaen"/>
        </w:rPr>
        <w:t>შესწავლითა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გამოცხადებით</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საფუძვლებზე</w:t>
      </w:r>
      <w:r>
        <w:rPr>
          <w:rFonts w:ascii="Times New Roman" w:hAnsi="Times New Roman" w:eastAsia="Times New Roman" w:cs="Times New Roman"/>
        </w:rPr>
        <w:t xml:space="preserve"> </w:t>
      </w:r>
      <w:r>
        <w:rPr>
          <w:rFonts w:ascii="Sylfaen" w:hAnsi="Sylfaen" w:eastAsia="Sylfaen" w:cs="Sylfaen"/>
        </w:rPr>
        <w:t>ჩვენ</w:t>
      </w:r>
      <w:r>
        <w:rPr>
          <w:rFonts w:ascii="Times New Roman" w:hAnsi="Times New Roman" w:eastAsia="Times New Roman" w:cs="Times New Roman"/>
        </w:rPr>
        <w:t xml:space="preserve"> </w:t>
      </w:r>
      <w:r>
        <w:rPr>
          <w:rFonts w:ascii="Sylfaen" w:hAnsi="Sylfaen" w:eastAsia="Sylfaen" w:cs="Sylfaen"/>
        </w:rPr>
        <w:t>ვაშენებთ</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ორმოცდაათ</w:t>
      </w:r>
      <w:r>
        <w:rPr>
          <w:rFonts w:ascii="Times New Roman" w:hAnsi="Times New Roman" w:eastAsia="Times New Roman" w:cs="Times New Roman"/>
        </w:rPr>
        <w:t xml:space="preserve"> </w:t>
      </w:r>
      <w:r>
        <w:rPr>
          <w:rFonts w:ascii="Sylfaen" w:hAnsi="Sylfaen" w:eastAsia="Sylfaen" w:cs="Sylfaen"/>
        </w:rPr>
        <w:t>წელზე</w:t>
      </w:r>
      <w:r>
        <w:rPr>
          <w:rFonts w:ascii="Times New Roman" w:hAnsi="Times New Roman" w:eastAsia="Times New Roman" w:cs="Times New Roman"/>
        </w:rPr>
        <w:t xml:space="preserve"> </w:t>
      </w:r>
      <w:r>
        <w:rPr>
          <w:rFonts w:ascii="Sylfaen" w:hAnsi="Sylfaen" w:eastAsia="Sylfaen" w:cs="Sylfaen"/>
        </w:rPr>
        <w:t>მეტია</w:t>
      </w:r>
      <w:r>
        <w:rPr>
          <w:rFonts w:ascii="Times New Roman" w:hAnsi="Times New Roman" w:eastAsia="Times New Roman" w:cs="Times New Roman"/>
        </w:rPr>
        <w:t xml:space="preserve">. </w:t>
      </w:r>
      <w:r>
        <w:rPr>
          <w:rFonts w:ascii="Sylfaen" w:hAnsi="Sylfaen" w:eastAsia="Sylfaen" w:cs="Sylfaen"/>
        </w:rPr>
        <w:t>ადამიანებს</w:t>
      </w:r>
      <w:r>
        <w:rPr>
          <w:rFonts w:ascii="Times New Roman" w:hAnsi="Times New Roman" w:eastAsia="Times New Roman" w:cs="Times New Roman"/>
        </w:rPr>
        <w:t xml:space="preserve"> </w:t>
      </w:r>
      <w:r>
        <w:rPr>
          <w:rFonts w:ascii="Sylfaen" w:hAnsi="Sylfaen" w:eastAsia="Sylfaen" w:cs="Sylfaen"/>
        </w:rPr>
        <w:t>შეიძლება</w:t>
      </w:r>
      <w:r>
        <w:rPr>
          <w:rFonts w:ascii="Times New Roman" w:hAnsi="Times New Roman" w:eastAsia="Times New Roman" w:cs="Times New Roman"/>
        </w:rPr>
        <w:t xml:space="preserve"> </w:t>
      </w:r>
      <w:r>
        <w:rPr>
          <w:rFonts w:ascii="Sylfaen" w:hAnsi="Sylfaen" w:eastAsia="Sylfaen" w:cs="Sylfaen"/>
        </w:rPr>
        <w:t>ეგონოთ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ახალი</w:t>
      </w:r>
      <w:r>
        <w:rPr>
          <w:rFonts w:ascii="Times New Roman" w:hAnsi="Times New Roman" w:eastAsia="Times New Roman" w:cs="Times New Roman"/>
        </w:rPr>
        <w:t xml:space="preserve"> </w:t>
      </w:r>
      <w:r>
        <w:rPr>
          <w:rFonts w:ascii="Sylfaen" w:hAnsi="Sylfaen" w:eastAsia="Sylfaen" w:cs="Sylfaen"/>
        </w:rPr>
        <w:t>გზა</w:t>
      </w:r>
      <w:r>
        <w:rPr>
          <w:rFonts w:ascii="Times New Roman" w:hAnsi="Times New Roman" w:eastAsia="Times New Roman" w:cs="Times New Roman"/>
        </w:rPr>
        <w:t xml:space="preserve"> </w:t>
      </w:r>
      <w:r>
        <w:rPr>
          <w:rFonts w:ascii="Sylfaen" w:hAnsi="Sylfaen" w:eastAsia="Sylfaen" w:cs="Sylfaen"/>
        </w:rPr>
        <w:t>აღმოაჩინეს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შეუძლიათ</w:t>
      </w:r>
      <w:r>
        <w:rPr>
          <w:rFonts w:ascii="Times New Roman" w:hAnsi="Times New Roman" w:eastAsia="Times New Roman" w:cs="Times New Roman"/>
        </w:rPr>
        <w:t xml:space="preserve"> </w:t>
      </w:r>
      <w:r>
        <w:rPr>
          <w:rFonts w:ascii="Sylfaen" w:hAnsi="Sylfaen" w:eastAsia="Sylfaen" w:cs="Sylfaen"/>
        </w:rPr>
        <w:t>უფრო</w:t>
      </w:r>
      <w:r>
        <w:rPr>
          <w:rFonts w:ascii="Times New Roman" w:hAnsi="Times New Roman" w:eastAsia="Times New Roman" w:cs="Times New Roman"/>
        </w:rPr>
        <w:t xml:space="preserve"> </w:t>
      </w:r>
      <w:r>
        <w:rPr>
          <w:rFonts w:ascii="Sylfaen" w:hAnsi="Sylfaen" w:eastAsia="Sylfaen" w:cs="Sylfaen"/>
        </w:rPr>
        <w:t>მტკიცე</w:t>
      </w:r>
      <w:r>
        <w:rPr>
          <w:rFonts w:ascii="Times New Roman" w:hAnsi="Times New Roman" w:eastAsia="Times New Roman" w:cs="Times New Roman"/>
        </w:rPr>
        <w:t xml:space="preserve"> </w:t>
      </w:r>
      <w:r>
        <w:rPr>
          <w:rFonts w:ascii="Sylfaen" w:hAnsi="Sylfaen" w:eastAsia="Sylfaen" w:cs="Sylfaen"/>
        </w:rPr>
        <w:t>საფუძვლის</w:t>
      </w:r>
      <w:r>
        <w:rPr>
          <w:rFonts w:ascii="Times New Roman" w:hAnsi="Times New Roman" w:eastAsia="Times New Roman" w:cs="Times New Roman"/>
        </w:rPr>
        <w:t xml:space="preserve"> </w:t>
      </w:r>
      <w:r>
        <w:rPr>
          <w:rFonts w:ascii="Sylfaen" w:hAnsi="Sylfaen" w:eastAsia="Sylfaen" w:cs="Sylfaen"/>
        </w:rPr>
        <w:t>დადება</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დადებულია</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დიდი</w:t>
      </w:r>
      <w:r>
        <w:rPr>
          <w:rFonts w:ascii="Times New Roman" w:hAnsi="Times New Roman" w:eastAsia="Times New Roman" w:cs="Times New Roman"/>
        </w:rPr>
        <w:t xml:space="preserve"> </w:t>
      </w:r>
      <w:r>
        <w:rPr>
          <w:rFonts w:ascii="Sylfaen" w:hAnsi="Sylfaen" w:eastAsia="Sylfaen" w:cs="Sylfaen"/>
        </w:rPr>
        <w:t>ცდუნებაა</w:t>
      </w:r>
      <w:r>
        <w:rPr>
          <w:rFonts w:ascii="Times New Roman" w:hAnsi="Times New Roman" w:eastAsia="Times New Roman" w:cs="Times New Roman"/>
        </w:rPr>
        <w:t>. ‘</w:t>
      </w:r>
      <w:r>
        <w:rPr>
          <w:rFonts w:ascii="Sylfaen" w:hAnsi="Sylfaen" w:eastAsia="Sylfaen" w:cs="Sylfaen"/>
        </w:rPr>
        <w:t>ვერავინ</w:t>
      </w:r>
      <w:r>
        <w:rPr>
          <w:rFonts w:ascii="Times New Roman" w:hAnsi="Times New Roman" w:eastAsia="Times New Roman" w:cs="Times New Roman"/>
        </w:rPr>
        <w:t xml:space="preserve"> </w:t>
      </w:r>
      <w:r>
        <w:rPr>
          <w:rFonts w:ascii="Sylfaen" w:hAnsi="Sylfaen" w:eastAsia="Sylfaen" w:cs="Sylfaen"/>
        </w:rPr>
        <w:t>დადებს</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საფუძველს</w:t>
      </w:r>
      <w:r>
        <w:rPr>
          <w:rFonts w:ascii="Times New Roman" w:hAnsi="Times New Roman" w:eastAsia="Times New Roman" w:cs="Times New Roman"/>
        </w:rPr>
        <w:t xml:space="preserve"> </w:t>
      </w:r>
      <w:r>
        <w:rPr>
          <w:rFonts w:ascii="Sylfaen" w:hAnsi="Sylfaen" w:eastAsia="Sylfaen" w:cs="Sylfaen"/>
        </w:rPr>
        <w:t>იმის</w:t>
      </w:r>
      <w:r>
        <w:rPr>
          <w:rFonts w:ascii="Times New Roman" w:hAnsi="Times New Roman" w:eastAsia="Times New Roman" w:cs="Times New Roman"/>
        </w:rPr>
        <w:t xml:space="preserve"> </w:t>
      </w:r>
      <w:r>
        <w:rPr>
          <w:rFonts w:ascii="Sylfaen" w:hAnsi="Sylfaen" w:eastAsia="Sylfaen" w:cs="Sylfaen"/>
        </w:rPr>
        <w:t>გარდა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დადებულია</w:t>
      </w:r>
      <w:r>
        <w:rPr>
          <w:rFonts w:ascii="Times New Roman" w:hAnsi="Times New Roman" w:eastAsia="Times New Roman" w:cs="Times New Roman"/>
        </w:rPr>
        <w:t xml:space="preserve">.’ [1 </w:t>
      </w:r>
      <w:r>
        <w:rPr>
          <w:rFonts w:ascii="Sylfaen" w:hAnsi="Sylfaen" w:eastAsia="Sylfaen" w:cs="Sylfaen"/>
        </w:rPr>
        <w:t>კორინთელთა</w:t>
      </w:r>
      <w:r>
        <w:rPr>
          <w:rFonts w:ascii="Times New Roman" w:hAnsi="Times New Roman" w:eastAsia="Times New Roman" w:cs="Times New Roman"/>
        </w:rPr>
        <w:t xml:space="preserve"> 3:11.] </w:t>
      </w:r>
      <w:r>
        <w:rPr>
          <w:rFonts w:ascii="Sylfaen" w:hAnsi="Sylfaen" w:eastAsia="Sylfaen" w:cs="Sylfaen"/>
        </w:rPr>
        <w:t>წარსულში</w:t>
      </w:r>
      <w:r>
        <w:rPr>
          <w:rFonts w:ascii="Times New Roman" w:hAnsi="Times New Roman" w:eastAsia="Times New Roman" w:cs="Times New Roman"/>
        </w:rPr>
        <w:t xml:space="preserve"> </w:t>
      </w:r>
      <w:r>
        <w:rPr>
          <w:rFonts w:ascii="Sylfaen" w:hAnsi="Sylfaen" w:eastAsia="Sylfaen" w:cs="Sylfaen"/>
        </w:rPr>
        <w:t>ბევრს</w:t>
      </w:r>
      <w:r>
        <w:rPr>
          <w:rFonts w:ascii="Times New Roman" w:hAnsi="Times New Roman" w:eastAsia="Times New Roman" w:cs="Times New Roman"/>
        </w:rPr>
        <w:t xml:space="preserve"> </w:t>
      </w:r>
      <w:r>
        <w:rPr>
          <w:rFonts w:ascii="Sylfaen" w:hAnsi="Sylfaen" w:eastAsia="Sylfaen" w:cs="Sylfaen"/>
        </w:rPr>
        <w:t>უცდია</w:t>
      </w:r>
      <w:r>
        <w:rPr>
          <w:rFonts w:ascii="Times New Roman" w:hAnsi="Times New Roman" w:eastAsia="Times New Roman" w:cs="Times New Roman"/>
        </w:rPr>
        <w:t xml:space="preserve"> </w:t>
      </w:r>
      <w:r>
        <w:rPr>
          <w:rFonts w:ascii="Sylfaen" w:hAnsi="Sylfaen" w:eastAsia="Sylfaen" w:cs="Sylfaen"/>
        </w:rPr>
        <w:t>ახალი</w:t>
      </w:r>
      <w:r>
        <w:rPr>
          <w:rFonts w:ascii="Times New Roman" w:hAnsi="Times New Roman" w:eastAsia="Times New Roman" w:cs="Times New Roman"/>
        </w:rPr>
        <w:t xml:space="preserve"> </w:t>
      </w:r>
      <w:r>
        <w:rPr>
          <w:rFonts w:ascii="Sylfaen" w:hAnsi="Sylfaen" w:eastAsia="Sylfaen" w:cs="Sylfaen"/>
        </w:rPr>
        <w:t>რწმენის</w:t>
      </w:r>
      <w:r>
        <w:rPr>
          <w:rFonts w:ascii="Times New Roman" w:hAnsi="Times New Roman" w:eastAsia="Times New Roman" w:cs="Times New Roman"/>
        </w:rPr>
        <w:t xml:space="preserve"> </w:t>
      </w:r>
      <w:r>
        <w:rPr>
          <w:rFonts w:ascii="Sylfaen" w:hAnsi="Sylfaen" w:eastAsia="Sylfaen" w:cs="Sylfaen"/>
        </w:rPr>
        <w:t>აგება</w:t>
      </w:r>
      <w:r>
        <w:rPr>
          <w:rFonts w:ascii="Times New Roman" w:hAnsi="Times New Roman" w:eastAsia="Times New Roman" w:cs="Times New Roman"/>
        </w:rPr>
        <w:t xml:space="preserve">, </w:t>
      </w:r>
      <w:r>
        <w:rPr>
          <w:rFonts w:ascii="Sylfaen" w:hAnsi="Sylfaen" w:eastAsia="Sylfaen" w:cs="Sylfaen"/>
        </w:rPr>
        <w:t>ახალი</w:t>
      </w:r>
      <w:r>
        <w:rPr>
          <w:rFonts w:ascii="Times New Roman" w:hAnsi="Times New Roman" w:eastAsia="Times New Roman" w:cs="Times New Roman"/>
        </w:rPr>
        <w:t xml:space="preserve"> </w:t>
      </w:r>
      <w:r>
        <w:rPr>
          <w:rFonts w:ascii="Sylfaen" w:hAnsi="Sylfaen" w:eastAsia="Sylfaen" w:cs="Sylfaen"/>
        </w:rPr>
        <w:t>პრინციპების</w:t>
      </w:r>
      <w:r>
        <w:rPr>
          <w:rFonts w:ascii="Times New Roman" w:hAnsi="Times New Roman" w:eastAsia="Times New Roman" w:cs="Times New Roman"/>
        </w:rPr>
        <w:t xml:space="preserve"> </w:t>
      </w:r>
      <w:r>
        <w:rPr>
          <w:rFonts w:ascii="Sylfaen" w:hAnsi="Sylfaen" w:eastAsia="Sylfaen" w:cs="Sylfaen"/>
        </w:rPr>
        <w:t>დაფუძნება</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რამდენ</w:t>
      </w:r>
      <w:r>
        <w:rPr>
          <w:rFonts w:ascii="Times New Roman" w:hAnsi="Times New Roman" w:eastAsia="Times New Roman" w:cs="Times New Roman"/>
        </w:rPr>
        <w:t xml:space="preserve"> </w:t>
      </w:r>
      <w:r>
        <w:rPr>
          <w:rFonts w:ascii="Sylfaen" w:hAnsi="Sylfaen" w:eastAsia="Sylfaen" w:cs="Sylfaen"/>
        </w:rPr>
        <w:t>ხანს</w:t>
      </w:r>
      <w:r>
        <w:rPr>
          <w:rFonts w:ascii="Times New Roman" w:hAnsi="Times New Roman" w:eastAsia="Times New Roman" w:cs="Times New Roman"/>
        </w:rPr>
        <w:t xml:space="preserve"> </w:t>
      </w:r>
      <w:r>
        <w:rPr>
          <w:rFonts w:ascii="Sylfaen" w:hAnsi="Sylfaen" w:eastAsia="Sylfaen" w:cs="Sylfaen"/>
        </w:rPr>
        <w:t>იდგა</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შენობა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მალე</w:t>
      </w:r>
      <w:r>
        <w:rPr>
          <w:rFonts w:ascii="Times New Roman" w:hAnsi="Times New Roman" w:eastAsia="Times New Roman" w:cs="Times New Roman"/>
        </w:rPr>
        <w:t xml:space="preserve"> </w:t>
      </w:r>
      <w:r>
        <w:rPr>
          <w:rFonts w:ascii="Sylfaen" w:hAnsi="Sylfaen" w:eastAsia="Sylfaen" w:cs="Sylfaen"/>
        </w:rPr>
        <w:t>დაინგრა</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კლდეზე</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დაფუძნებული</w:t>
      </w:r>
      <w:r>
        <w:rPr>
          <w:rFonts w:ascii="Times New Roman" w:hAnsi="Times New Roman" w:eastAsia="Times New Roman" w:cs="Times New Roman"/>
        </w:rPr>
        <w:t xml:space="preserve">.” </w:t>
      </w:r>
      <w:r>
        <w:rPr>
          <w:rFonts w:ascii="Sylfaen" w:hAnsi="Sylfaen" w:eastAsia="Sylfaen" w:cs="Sylfaen"/>
        </w:rPr>
        <w:t>მოწმობანი</w:t>
      </w:r>
      <w:r>
        <w:rPr>
          <w:rFonts w:ascii="Times New Roman" w:hAnsi="Times New Roman" w:eastAsia="Times New Roman" w:cs="Times New Roman"/>
        </w:rPr>
        <w:t xml:space="preserve">, </w:t>
      </w:r>
      <w:r>
        <w:rPr>
          <w:rFonts w:ascii="Sylfaen" w:hAnsi="Sylfaen" w:eastAsia="Sylfaen" w:cs="Sylfaen"/>
        </w:rPr>
        <w:t>ტომი</w:t>
      </w:r>
      <w:r>
        <w:rPr>
          <w:rFonts w:ascii="Times New Roman" w:hAnsi="Times New Roman" w:eastAsia="Times New Roman" w:cs="Times New Roman"/>
        </w:rPr>
        <w:t xml:space="preserve"> 8, 296–297.</w:t>
      </w:r>
    </w:p>
    <w:p>
      <w:pPr>
        <w:pStyle w:val="ArticleBody"/>
        <w:jc w:val="left"/>
      </w:pPr>
      <w:r>
        <w:rPr>
          <w:rFonts w:ascii="Times New Roman" w:hAnsi="Times New Roman" w:eastAsia="Times New Roman" w:cs="Times New Roman"/>
        </w:rPr>
        <w:t>Lorsqu’arriva le 11 septembre 2001, arrivèrent aussi les pluies du Saint-Esprit.</w:t>
      </w:r>
    </w:p>
    <w:p>
      <w:pPr>
        <w:pStyle w:val="ArticleScripture"/>
        <w:jc w:val="left"/>
      </w:pPr>
      <w:r>
        <w:rPr>
          <w:rFonts w:ascii="Times New Roman" w:hAnsi="Times New Roman" w:eastAsia="Times New Roman" w:cs="Times New Roman"/>
        </w:rPr>
        <w:t>«غوښتل شوې چې ناوخته باران د خدای پر قوم نازل شي. یو زورور فرښته به له آسمان څخه راکوزه شي، او ټوله ځمکه به د هغه په جلال روښانه شي.» Review and Herald, April 21, 1891.</w:t>
      </w:r>
    </w:p>
    <w:p>
      <w:pPr>
        <w:pStyle w:val="ArticleBody"/>
        <w:jc w:val="left"/>
      </w:pPr>
      <w:r>
        <w:rPr>
          <w:rFonts w:ascii="Times New Roman" w:hAnsi="Times New Roman" w:eastAsia="Times New Roman" w:cs="Times New Roman"/>
        </w:rPr>
        <w:t>کله چې د نيويارک ښار سترې ودانۍ د خدای په يوه لمس راونړېدې، نو وروستی باران په شيندلو پيل وکړ. کله چې د ۲۰۰۱ کال د سپتمبر ۱۱ راورسېد، د پاپۍ اصولو د ورخلاصو بندونو سېلاب خوشې شو.</w:t>
      </w:r>
    </w:p>
    <w:p>
      <w:pPr>
        <w:pStyle w:val="ArticleScripture"/>
        <w:jc w:val="left"/>
      </w:pPr>
      <w:r>
        <w:rPr>
          <w:rFonts w:ascii="Times New Roman" w:hAnsi="Times New Roman" w:eastAsia="Times New Roman" w:cs="Times New Roman"/>
        </w:rPr>
        <w:t>“Itihaas hii keessa hamminni ol aantummaa argate kana keessatti, waldoonni Pirootestaantii warri ‘Waaqayyo akkana jedhu’ jedhu didan, haala ajaa’ibaatti ni ga’u. Isaan biyya lafaatti ni geeddaramu. Adda isaanii Waaqayyoo irraa baafatan keessatti, sobaa fi gantummaa Waaqayyo irraa fagaachuu seera saba sanaa akka ta’u gochuuf ni barbaadu. Bulchitoota biyya sanaa irratti ni hojjetu, seerota mootummaa sanaa baasuudhaan ol aantummaa badde nama cubbuu sanaa deebisanii dhaabuuf; inni mana qulqullummaa Waaqayyoo keessa taa’ee, ofii isaa Waaqayyo akka ta’e agarsiisa. Qajeelfamoonni Roomaa Kaatooleekii eegumsa mootummaa jalatti ni fudhatamu. Mormiin dhugaa Macaafa Qulqulluu warra seera Waaqayyoo akka seera jireenya isaanii hin godhatin biratti kana booda hin danda’amu.” Review and Herald, December 21, 1897.</w:t>
      </w:r>
    </w:p>
    <w:p>
      <w:pPr>
        <w:pStyle w:val="ArticleBody"/>
        <w:jc w:val="left"/>
      </w:pPr>
      <w:r>
        <w:rPr>
          <w:rFonts w:ascii="Times New Roman" w:hAnsi="Times New Roman" w:eastAsia="Times New Roman" w:cs="Times New Roman"/>
        </w:rPr>
        <w:t>Loi sur le patriotisme marque le commencement de la protection des principes catholiques romains, laquelle conduit progressivement à la loi dominicale qui doit bientôt venir. Le 11 septembre 2001, les quatre vents qui représentent l’islam du troisième malheur commencèrent à souffler.</w:t>
      </w:r>
    </w:p>
    <w:p>
      <w:pPr>
        <w:pStyle w:val="ArticleScripture"/>
        <w:jc w:val="left"/>
      </w:pPr>
      <w:r>
        <w:rPr>
          <w:rFonts w:ascii="Times New Roman" w:hAnsi="Times New Roman" w:eastAsia="Times New Roman" w:cs="Times New Roman"/>
        </w:rPr>
        <w:t>« Les anges retiennent les quatre vents, représentés comme un cheval furieux cherchant à se déchaîner et à se précipiter sur toute la face de la terre, portant sur son passage la destruction et la mort. »</w:t>
      </w:r>
    </w:p>
    <w:p>
      <w:pPr>
        <w:pStyle w:val="ArticleScripture"/>
        <w:jc w:val="left"/>
      </w:pPr>
      <w:r>
        <w:rPr>
          <w:rFonts w:ascii="Times New Roman" w:hAnsi="Times New Roman" w:eastAsia="Times New Roman" w:cs="Times New Roman"/>
        </w:rPr>
        <w:t>«Вечната дүниенің дәл табалдырығында ұйықтап жата береміз бе? Енжар, суық әрі өлі боламыз ба? О, шіркеулерімізде Құдайдың Рухы мен тынысы Оның халқына үрленсе ғой, сонда олар аяқтарына тұрып, тірі болар еді. Біз жолдың тар, ал қақпаның қысаң екенін көруіміз керек. Бірақ біз сол қысаң қақпадан өткенде, оның кеңдігіне шек жоқ.» Manuscript Releases, 20-том, 217.</w:t>
      </w:r>
    </w:p>
    <w:p>
      <w:pPr>
        <w:pStyle w:val="ArticleBody"/>
        <w:jc w:val="left"/>
      </w:pPr>
      <w:r>
        <w:rPr>
          <w:rFonts w:ascii="Times New Roman" w:hAnsi="Times New Roman" w:eastAsia="Times New Roman" w:cs="Times New Roman"/>
        </w:rPr>
        <w:t>باران، باد، و سیلاب در ۱۱ سپتامبر ۲۰۰۱ فرا رسید، و کلیسای ادونتیست روز هفتمِ لائودیکیه آزموده شد، همان‌گونه که یهودیان در تعمید مسیح آزموده شدند، و همان‌گونه که پروتستان‌ها از ۱۱ اوت ۱۸۴۰ مورد آزمون قرار گرفتند. از آن زمان تا پیشگوییِ طغیانگرانهٔ ۱۸ ژوئیهٔ ۲۰۲۰، خانهٔ ادونتیست روز هفتمِ لائودیکیه به‌تدریج سقوط کرد؛ درست همان‌قدر یقینی که معبد یهود پیش از صلیب ویران و متروک اعلام شد، و همان‌گونه که پروتستان‌ها در نخستین نومیدیِ ۱۹ آوریل ۱۸۴۴ به پروتستانتیسمِ مرتد گذار کردند.</w:t>
      </w:r>
    </w:p>
    <w:p>
      <w:pPr>
        <w:pStyle w:val="ArticleBody"/>
        <w:jc w:val="left"/>
      </w:pPr>
      <w:r>
        <w:rPr>
          <w:rFonts w:ascii="Times New Roman" w:hAnsi="Times New Roman" w:eastAsia="Times New Roman" w:cs="Times New Roman"/>
        </w:rPr>
        <w:t>Na i sa qai curuma kina na nona i otioti ni cakacaka ni vakatovolei na i valavala ni Lotisiana ni ikatolu ni agilosi; ka me vaka ga na vakatovolei ka tekivu ena ika 11 ni Seviteba, 2001, era sa kacivi na goneyalewa bokoci me ra lesu tale ki na sala makawa, ia oqori na dina ni yavu, e sega walega ni nona i yavutu na valavala ni Millerite ni imatai kei na ikarua ni agilosi, ia talega na dina ni yavu ni valavala ni ikatolu ni agilosi.</w:t>
      </w:r>
    </w:p>
    <w:p>
      <w:pPr>
        <w:pStyle w:val="ArticleBody"/>
        <w:jc w:val="left"/>
      </w:pPr>
      <w:r>
        <w:rPr>
          <w:rFonts w:ascii="Times New Roman" w:hAnsi="Times New Roman" w:eastAsia="Times New Roman" w:cs="Times New Roman"/>
        </w:rPr>
        <w:t>Le symbole du rejet de ces vérités fondamentales dans le contexte de la puissante séduction est le message que Paul a consigné dans la Seconde Épître aux Thessaloniciens. Ce message est symbolisé par « le continuel » dans le livre de Daniel, car c’est dans le passage des Thessaloniciens que William Miller en vint à comprendre que « le continuel » dans le livre de Daniel représentait la Rome païenne.</w:t>
      </w:r>
    </w:p>
    <w:p>
      <w:pPr>
        <w:pStyle w:val="ArticleBody"/>
        <w:jc w:val="left"/>
      </w:pP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परिभाषासम्बन्धी</w:t>
      </w:r>
      <w:r>
        <w:rPr>
          <w:rFonts w:ascii="Times New Roman" w:hAnsi="Times New Roman" w:eastAsia="Times New Roman" w:cs="Times New Roman"/>
        </w:rPr>
        <w:t xml:space="preserve"> </w:t>
      </w:r>
      <w:r>
        <w:rPr>
          <w:rFonts w:ascii="Nirmala UI" w:hAnsi="Nirmala UI" w:eastAsia="Nirmala UI" w:cs="Nirmala UI"/>
        </w:rPr>
        <w:t>विषयलाई</w:t>
      </w:r>
      <w:r>
        <w:rPr>
          <w:rFonts w:ascii="Times New Roman" w:hAnsi="Times New Roman" w:eastAsia="Times New Roman" w:cs="Times New Roman"/>
        </w:rPr>
        <w:t xml:space="preserve"> </w:t>
      </w:r>
      <w:r>
        <w:rPr>
          <w:rFonts w:ascii="Nirmala UI" w:hAnsi="Nirmala UI" w:eastAsia="Nirmala UI" w:cs="Nirmala UI"/>
        </w:rPr>
        <w:t>समेटेर</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पुस्तकहरू</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तीमध्ये</w:t>
      </w:r>
      <w:r>
        <w:rPr>
          <w:rFonts w:ascii="Times New Roman" w:hAnsi="Times New Roman" w:eastAsia="Times New Roman" w:cs="Times New Roman"/>
        </w:rPr>
        <w:t xml:space="preserve"> </w:t>
      </w:r>
      <w:r>
        <w:rPr>
          <w:rFonts w:ascii="Nirmala UI" w:hAnsi="Nirmala UI" w:eastAsia="Nirmala UI" w:cs="Nirmala UI"/>
        </w:rPr>
        <w:t>अधिकांश</w:t>
      </w:r>
      <w:r>
        <w:rPr>
          <w:rFonts w:ascii="Times New Roman" w:hAnsi="Times New Roman" w:eastAsia="Times New Roman" w:cs="Times New Roman"/>
        </w:rPr>
        <w:t xml:space="preserve"> </w:t>
      </w:r>
      <w:r>
        <w:rPr>
          <w:rFonts w:ascii="Nirmala UI" w:hAnsi="Nirmala UI" w:eastAsia="Nirmala UI" w:cs="Nirmala UI"/>
        </w:rPr>
        <w:t>त्रुटिपूर्ण</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विषयलाई</w:t>
      </w:r>
      <w:r>
        <w:rPr>
          <w:rFonts w:ascii="Times New Roman" w:hAnsi="Times New Roman" w:eastAsia="Times New Roman" w:cs="Times New Roman"/>
        </w:rPr>
        <w:t xml:space="preserve"> </w:t>
      </w:r>
      <w:r>
        <w:rPr>
          <w:rFonts w:ascii="Nirmala UI" w:hAnsi="Nirmala UI" w:eastAsia="Nirmala UI" w:cs="Nirmala UI"/>
        </w:rPr>
        <w:t>ठीकसँग</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धर्मशास्त्रीद्वारा</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चाहनुहुन्छ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John W. Peters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The Mystery of the Daily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सक्नुहुन्छ।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लेखमा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पक्षलाई</w:t>
      </w:r>
      <w:r>
        <w:rPr>
          <w:rFonts w:ascii="Times New Roman" w:hAnsi="Times New Roman" w:eastAsia="Times New Roman" w:cs="Times New Roman"/>
        </w:rPr>
        <w:t xml:space="preserve"> </w:t>
      </w:r>
      <w:r>
        <w:rPr>
          <w:rFonts w:ascii="Nirmala UI" w:hAnsi="Nirmala UI" w:eastAsia="Nirmala UI" w:cs="Nirmala UI"/>
        </w:rPr>
        <w:t>सम्बोधन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राख्दिनँ।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पुस्तकहरू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दृष्टिकोण</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लाओडिसियाली</w:t>
      </w:r>
      <w:r>
        <w:rPr>
          <w:rFonts w:ascii="Times New Roman" w:hAnsi="Times New Roman" w:eastAsia="Times New Roman" w:cs="Times New Roman"/>
        </w:rPr>
        <w:t xml:space="preserve"> </w:t>
      </w:r>
      <w:r>
        <w:rPr>
          <w:rFonts w:ascii="Nirmala UI" w:hAnsi="Nirmala UI" w:eastAsia="Nirmala UI" w:cs="Nirmala UI"/>
        </w:rPr>
        <w:t>सेभेन्थ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एडभेन्टिज्मभित्र</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समेटेका</w:t>
      </w:r>
      <w:r>
        <w:rPr>
          <w:rFonts w:ascii="Times New Roman" w:hAnsi="Times New Roman" w:eastAsia="Times New Roman" w:cs="Times New Roman"/>
        </w:rPr>
        <w:t xml:space="preserve"> </w:t>
      </w:r>
      <w:r>
        <w:rPr>
          <w:rFonts w:ascii="Nirmala UI" w:hAnsi="Nirmala UI" w:eastAsia="Nirmala UI" w:cs="Nirmala UI"/>
        </w:rPr>
        <w:t>छन्।</w:t>
      </w:r>
    </w:p>
    <w:p>
      <w:pPr>
        <w:pStyle w:val="ArticleBody"/>
        <w:jc w:val="left"/>
      </w:pPr>
      <w:r>
        <w:rPr>
          <w:rFonts w:ascii="Times New Roman" w:hAnsi="Times New Roman" w:eastAsia="Times New Roman" w:cs="Times New Roman"/>
        </w:rPr>
        <w:t>La définition du mot hébreu traduit par « le continuel », ainsi que l’histoire de la rébellion contre la vérité fondamentale du « continuel », qui commença véritablement en 1901, ont été exposées à maintes reprises dans les Tables d’Habacuc ainsi que dans les articles récents sur le livre de Daniel.</w:t>
      </w:r>
    </w:p>
    <w:p>
      <w:pPr>
        <w:pStyle w:val="ArticleBody"/>
        <w:jc w:val="left"/>
      </w:pPr>
      <w:r>
        <w:rPr>
          <w:rFonts w:ascii="Times New Roman" w:hAnsi="Times New Roman" w:eastAsia="Times New Roman" w:cs="Times New Roman"/>
        </w:rPr>
        <w:t>Je me propose, dans cet article, de maintenir l’attention sur les caractéristiques prophétiques associées au symbole de Rome rejetée en ce qui concerne « le continuel ». Quiconque accepte sincèrement l’autorité des écrits d’Ellen White n’a qu’à lire ce qui suit pour savoir quelle est la juste compréhension de « le continuel ».</w:t>
      </w:r>
    </w:p>
    <w:p>
      <w:pPr>
        <w:pStyle w:val="ArticleScripture"/>
        <w:jc w:val="left"/>
      </w:pPr>
      <w:r>
        <w:rPr>
          <w:rFonts w:ascii="Times New Roman" w:hAnsi="Times New Roman" w:eastAsia="Times New Roman" w:cs="Times New Roman"/>
        </w:rPr>
        <w:t>« Kisha nikaona, kuhusiana na “ya Kila Siku,” kwamba neno “dhabihu” liliwekwa humo na hekima ya wanadamu, wala si la maandiko yenyewe; na kwamba Bwana aliwapa uelewa ulio sahihi juu yake wale walioitoa sauti ya saa ya hukumu. Wakati umoja ulikuwapo, kabla ya 1844, karibu wote walikuwa wameungana katika uelewa ulio sahihi wa “ya Kila Siku”; lakini tangu 1844, katika machafuko, maoni mengine yamekubaliwa, na giza na machafuko yamefuata. » Review and Herald, Novemba 1, 1850.</w:t>
      </w:r>
    </w:p>
    <w:p>
      <w:pPr>
        <w:pStyle w:val="ArticleBody"/>
        <w:jc w:val="left"/>
      </w:pPr>
      <w:r>
        <w:rPr>
          <w:rFonts w:ascii="Times New Roman" w:hAnsi="Times New Roman" w:eastAsia="Times New Roman" w:cs="Times New Roman"/>
        </w:rPr>
        <w:t>Ukwaliwa kwo kuba William Miller yali aitegeire “ekya bulijjo” kiba kitegeeza n’okuwakanya obuyinza bw’ebiwandiiko bya Ellen White, kubanga yalagibwa “nti Mukama yawa okutegeera okutuufu kwakyo eri abo abaabuulira okubalaaka kw’essaawa y’omusango.” Era yalagibwa nti endowooza endala ku “ekya bulijjo” zaaleeta “ekizikiza n’okutabulwa,” ebyo ebitali mpisa za Kristo. Miller yategeera “ekya bulijjo” nga Ruumi eky’obupagaani bwe yali asoma Abatesalonika Ekyokubiri.</w:t>
      </w:r>
    </w:p>
    <w:p>
      <w:pPr>
        <w:pStyle w:val="ArticleScripture"/>
        <w:jc w:val="left"/>
      </w:pPr>
      <w:r>
        <w:rPr>
          <w:rFonts w:ascii="Times New Roman" w:hAnsi="Times New Roman" w:eastAsia="Times New Roman" w:cs="Times New Roman"/>
        </w:rPr>
        <w:t>“Ndzi ya emahlweni ndzi hlaya, kambe a ndzi nga ha kumanga xiboho xin’wana lexi a xi katsa swona [swa siku ni siku], handle ka le ka Daniyele ntsena. Kutani ndzi [hi ku pfuniwa hi buku ya ku landzanisa marito ya Bibele] teka marito lawa a ma yimile ma hlanganile na swona, ‘susa;’ u ta susa swa siku ni siku; ‘ku sukela enkarhini lowu swa siku ni siku swi ta va swi susiwile,’ ni swin’wana. Ndzi ya emahlweni ndzi hlaya, ndzi ehleketa leswaku a ndzi nge kumi ku vonakala eka tsalwa rero; eku heteleleni ndzi fika eka 2 Vathesalonika 2:7, 8. ‘Hikuva xihundla xa vubihi se xa tirha; ntsena loyi sweswi a sivetaka u ta ya emahlweni a siveta, ku fikela loko a susiwa endleleni, kutani hi kona lowo homboloka a nga ta paluxiwa,’ ni swin’wana. Kutani loko ndzi fikile eka tsalwa rero, oho, ntiyiso wu vonakale wu ri erivaleni ngopfu ni ku vangama! Hi wona! Hi swona sweswo swa siku ni siku! Kutani ke, Pawulo u vula yini hi ‘loyi sweswi a sivetaka,’ kumbe loyi a sivelaka? Hi ‘munhu wa xidyoho,’ ni ‘lowo homboloka,’ ku kongomisiwe eka Vupapa. Kutani ke, i yini lexi sivelaka Vupapa leswaku byi nga paluxiwi? Hakunene, i Vugandzeri bya Vukhongeri bya Vayeni; kutani ke, ‘swa siku ni siku’ swi fanele swi vula Vugandzeri bya Vukhongeri bya Vayeni.”—William Miller, Second Advent Manual, pheji 66.” Advent Review and Sabbath Herald, January 6, 1853.</w:t>
      </w:r>
    </w:p>
    <w:p>
      <w:pPr>
        <w:pStyle w:val="ArticleBody"/>
        <w:jc w:val="left"/>
      </w:pP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লাওদিকেয়ান</w:t>
      </w:r>
      <w:r>
        <w:rPr>
          <w:rFonts w:ascii="Times New Roman" w:hAnsi="Times New Roman" w:eastAsia="Times New Roman" w:cs="Times New Roman"/>
        </w:rPr>
        <w:t xml:space="preserve"> </w:t>
      </w:r>
      <w:r>
        <w:rPr>
          <w:rFonts w:ascii="Nirmala UI" w:hAnsi="Nirmala UI" w:eastAsia="Nirmala UI" w:cs="Nirmala UI"/>
        </w:rPr>
        <w:t>অ্যাডভেন্টবাদ</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সঠিক</w:t>
      </w:r>
      <w:r>
        <w:rPr>
          <w:rFonts w:ascii="Times New Roman" w:hAnsi="Times New Roman" w:eastAsia="Times New Roman" w:cs="Times New Roman"/>
        </w:rPr>
        <w:t xml:space="preserve"> </w:t>
      </w:r>
      <w:r>
        <w:rPr>
          <w:rFonts w:ascii="Nirmala UI" w:hAnsi="Nirmala UI" w:eastAsia="Nirmala UI" w:cs="Nirmala UI"/>
        </w:rPr>
        <w:t>উপলব্ধিকে</w:t>
      </w:r>
      <w:r>
        <w:rPr>
          <w:rFonts w:ascii="Times New Roman" w:hAnsi="Times New Roman" w:eastAsia="Times New Roman" w:cs="Times New Roman"/>
        </w:rPr>
        <w:t xml:space="preserve"> </w:t>
      </w:r>
      <w:r>
        <w:rPr>
          <w:rFonts w:ascii="Nirmala UI" w:hAnsi="Nirmala UI" w:eastAsia="Nirmala UI" w:cs="Nirmala UI"/>
        </w:rPr>
        <w:t>পরিত্যাগ</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w:t>
      </w:r>
      <w:r>
        <w:rPr>
          <w:rFonts w:ascii="Nirmala UI" w:hAnsi="Nirmala UI" w:eastAsia="Nirmala UI" w:cs="Nirmala UI"/>
        </w:rPr>
        <w:t>ঘন্টার</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প্রদানকারীদের</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ধর্মত্যাগী</w:t>
      </w:r>
      <w:r>
        <w:rPr>
          <w:rFonts w:ascii="Times New Roman" w:hAnsi="Times New Roman" w:eastAsia="Times New Roman" w:cs="Times New Roman"/>
        </w:rPr>
        <w:t xml:space="preserve"> </w:t>
      </w:r>
      <w:r>
        <w:rPr>
          <w:rFonts w:ascii="Nirmala UI" w:hAnsi="Nirmala UI" w:eastAsia="Nirmala UI" w:cs="Nirmala UI"/>
        </w:rPr>
        <w:t>প্রোটেস্ট্যান্টবাদের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ধারণাকে</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“the daily” </w:t>
      </w:r>
      <w:r>
        <w:rPr>
          <w:rFonts w:ascii="Nirmala UI" w:hAnsi="Nirmala UI" w:eastAsia="Nirmala UI" w:cs="Nirmala UI"/>
        </w:rPr>
        <w:t>খ্রিস্টের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w:t>
      </w:r>
      <w:r>
        <w:rPr>
          <w:rFonts w:ascii="Nirmala UI" w:hAnsi="Nirmala UI" w:eastAsia="Nirmala UI" w:cs="Nirmala UI"/>
        </w:rPr>
        <w:t>পরিচর্যার</w:t>
      </w:r>
      <w:r>
        <w:rPr>
          <w:rFonts w:ascii="Times New Roman" w:hAnsi="Times New Roman" w:eastAsia="Times New Roman" w:cs="Times New Roman"/>
        </w:rPr>
        <w:t xml:space="preserve"> </w:t>
      </w:r>
      <w:r>
        <w:rPr>
          <w:rFonts w:ascii="Nirmala UI" w:hAnsi="Nirmala UI" w:eastAsia="Nirmala UI" w:cs="Nirmala UI"/>
        </w:rPr>
        <w:t>সেবাকার্যকে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উপলব্ধিটি</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অযৌক্তিক</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ভ্রান্তই</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দাবিও</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শয়তানীয়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খ্রিস্টের</w:t>
      </w:r>
      <w:r>
        <w:rPr>
          <w:rFonts w:ascii="Times New Roman" w:hAnsi="Times New Roman" w:eastAsia="Times New Roman" w:cs="Times New Roman"/>
        </w:rPr>
        <w:t xml:space="preserve"> </w:t>
      </w:r>
      <w:r>
        <w:rPr>
          <w:rFonts w:ascii="Nirmala UI" w:hAnsi="Nirmala UI" w:eastAsia="Nirmala UI" w:cs="Nirmala UI"/>
        </w:rPr>
        <w:t>প্রতীক।</w:t>
      </w:r>
    </w:p>
    <w:p>
      <w:pPr>
        <w:pStyle w:val="ArticleScripture"/>
        <w:jc w:val="left"/>
      </w:pPr>
      <w:r>
        <w:rPr>
          <w:rFonts w:ascii="Times New Roman" w:hAnsi="Times New Roman" w:eastAsia="Times New Roman" w:cs="Times New Roman"/>
        </w:rPr>
        <w:t>«Ainsi, tandis que le dragon représente, au premier chef, Satan, il est aussi, dans un sens secondaire, un symbole de la Rome païenne.» The Great Controversy, 439.</w:t>
      </w:r>
    </w:p>
    <w:p>
      <w:pPr>
        <w:pStyle w:val="ArticleBody"/>
        <w:jc w:val="left"/>
      </w:pPr>
      <w:r>
        <w:rPr>
          <w:rFonts w:ascii="Times New Roman" w:hAnsi="Times New Roman" w:eastAsia="Times New Roman" w:cs="Times New Roman"/>
        </w:rPr>
        <w:t>Miller a identifié « le continuel » comme la Rome païenne, le dragon, mais l’adventisme laodicéen a emprunté au protestantisme déchu l’idée qu’il représente le ministère céleste de Christ dans le sanctuaire. Le rejet de l’identification par Miller du « continuel » comme la Rome païenne constitue un rejet d’une vérité qui est représentée sur les deux cartes sacrées, lesquelles étaient un accomplissement du chapitre deux d’Habacuc. Il s’agit donc d’un rejet d’une vérité fondamentale, tout comme l’a été le rejet des sept temps de Lévitique vingt-six.</w:t>
      </w:r>
    </w:p>
    <w:p>
      <w:pPr>
        <w:pStyle w:val="ArticleBody"/>
        <w:jc w:val="left"/>
      </w:pP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समानांतर</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t>
      </w:r>
      <w:r>
        <w:rPr>
          <w:rFonts w:ascii="Nirmala UI" w:hAnsi="Nirmala UI" w:eastAsia="Nirmala UI" w:cs="Nirmala UI"/>
        </w:rPr>
        <w:t>क्राइस्टला</w:t>
      </w:r>
      <w:r>
        <w:rPr>
          <w:rFonts w:ascii="Times New Roman" w:hAnsi="Times New Roman" w:eastAsia="Times New Roman" w:cs="Times New Roman"/>
        </w:rPr>
        <w:t xml:space="preserve"> </w:t>
      </w:r>
      <w:r>
        <w:rPr>
          <w:rFonts w:ascii="Nirmala UI" w:hAnsi="Nirmala UI" w:eastAsia="Nirmala UI" w:cs="Nirmala UI"/>
        </w:rPr>
        <w:t>नाकारणाऱ्या</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अक्षम्य</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दयेच्या</w:t>
      </w:r>
      <w:r>
        <w:rPr>
          <w:rFonts w:ascii="Times New Roman" w:hAnsi="Times New Roman" w:eastAsia="Times New Roman" w:cs="Times New Roman"/>
        </w:rPr>
        <w:t xml:space="preserve"> </w:t>
      </w:r>
      <w:r>
        <w:rPr>
          <w:rFonts w:ascii="Nirmala UI" w:hAnsi="Nirmala UI" w:eastAsia="Nirmala UI" w:cs="Nirmala UI"/>
        </w:rPr>
        <w:t>आमंत्रणाला</w:t>
      </w:r>
      <w:r>
        <w:rPr>
          <w:rFonts w:ascii="Times New Roman" w:hAnsi="Times New Roman" w:eastAsia="Times New Roman" w:cs="Times New Roman"/>
        </w:rPr>
        <w:t xml:space="preserve"> </w:t>
      </w:r>
      <w:r>
        <w:rPr>
          <w:rFonts w:ascii="Nirmala UI" w:hAnsi="Nirmala UI" w:eastAsia="Nirmala UI" w:cs="Nirmala UI"/>
        </w:rPr>
        <w:t>नकार</w:t>
      </w:r>
      <w:r>
        <w:rPr>
          <w:rFonts w:ascii="Times New Roman" w:hAnsi="Times New Roman" w:eastAsia="Times New Roman" w:cs="Times New Roman"/>
        </w:rPr>
        <w:t xml:space="preserve"> </w:t>
      </w:r>
      <w:r>
        <w:rPr>
          <w:rFonts w:ascii="Nirmala UI" w:hAnsi="Nirmala UI" w:eastAsia="Nirmala UI" w:cs="Nirmala UI"/>
        </w:rPr>
        <w:t>देऊन</w:t>
      </w:r>
      <w:r>
        <w:rPr>
          <w:rFonts w:ascii="Times New Roman" w:hAnsi="Times New Roman" w:eastAsia="Times New Roman" w:cs="Times New Roman"/>
        </w:rPr>
        <w:t xml:space="preserve"> </w:t>
      </w:r>
      <w:r>
        <w:rPr>
          <w:rFonts w:ascii="Nirmala UI" w:hAnsi="Nirmala UI" w:eastAsia="Nirmala UI" w:cs="Nirmala UI"/>
        </w:rPr>
        <w:t>आपणही</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दूतांचे</w:t>
      </w:r>
      <w:r>
        <w:rPr>
          <w:rFonts w:ascii="Times New Roman" w:hAnsi="Times New Roman" w:eastAsia="Times New Roman" w:cs="Times New Roman"/>
        </w:rPr>
        <w:t xml:space="preserve"> </w:t>
      </w:r>
      <w:r>
        <w:rPr>
          <w:rFonts w:ascii="Nirmala UI" w:hAnsi="Nirmala UI" w:eastAsia="Nirmala UI" w:cs="Nirmala UI"/>
        </w:rPr>
        <w:t>ऐकण्यास</w:t>
      </w:r>
      <w:r>
        <w:rPr>
          <w:rFonts w:ascii="Times New Roman" w:hAnsi="Times New Roman" w:eastAsia="Times New Roman" w:cs="Times New Roman"/>
        </w:rPr>
        <w:t xml:space="preserve"> </w:t>
      </w:r>
      <w:r>
        <w:rPr>
          <w:rFonts w:ascii="Nirmala UI" w:hAnsi="Nirmala UI" w:eastAsia="Nirmala UI" w:cs="Nirmala UI"/>
        </w:rPr>
        <w:t>नकार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त्याऐवजी</w:t>
      </w:r>
      <w:r>
        <w:rPr>
          <w:rFonts w:ascii="Times New Roman" w:hAnsi="Times New Roman" w:eastAsia="Times New Roman" w:cs="Times New Roman"/>
        </w:rPr>
        <w:t xml:space="preserve"> </w:t>
      </w:r>
      <w:r>
        <w:rPr>
          <w:rFonts w:ascii="Nirmala UI" w:hAnsi="Nirmala UI" w:eastAsia="Nirmala UI" w:cs="Nirmala UI"/>
        </w:rPr>
        <w:t>सैतानाच्या</w:t>
      </w:r>
      <w:r>
        <w:rPr>
          <w:rFonts w:ascii="Times New Roman" w:hAnsi="Times New Roman" w:eastAsia="Times New Roman" w:cs="Times New Roman"/>
        </w:rPr>
        <w:t xml:space="preserve"> </w:t>
      </w:r>
      <w:r>
        <w:rPr>
          <w:rFonts w:ascii="Nirmala UI" w:hAnsi="Nirmala UI" w:eastAsia="Nirmala UI" w:cs="Nirmala UI"/>
        </w:rPr>
        <w:t>कारकांचे</w:t>
      </w:r>
      <w:r>
        <w:rPr>
          <w:rFonts w:ascii="Times New Roman" w:hAnsi="Times New Roman" w:eastAsia="Times New Roman" w:cs="Times New Roman"/>
        </w:rPr>
        <w:t xml:space="preserve"> </w:t>
      </w:r>
      <w:r>
        <w:rPr>
          <w:rFonts w:ascii="Nirmala UI" w:hAnsi="Nirmala UI" w:eastAsia="Nirmala UI" w:cs="Nirmala UI"/>
        </w:rPr>
        <w:t>ऐकतो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आत्म्याला</w:t>
      </w:r>
      <w:r>
        <w:rPr>
          <w:rFonts w:ascii="Times New Roman" w:hAnsi="Times New Roman" w:eastAsia="Times New Roman" w:cs="Times New Roman"/>
        </w:rPr>
        <w:t xml:space="preserve"> </w:t>
      </w:r>
      <w:r>
        <w:rPr>
          <w:rFonts w:ascii="Nirmala UI" w:hAnsi="Nirmala UI" w:eastAsia="Nirmala UI" w:cs="Nirmala UI"/>
        </w:rPr>
        <w:t>क्राइस्टपासून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ओढून</w:t>
      </w:r>
      <w:r>
        <w:rPr>
          <w:rFonts w:ascii="Times New Roman" w:hAnsi="Times New Roman" w:eastAsia="Times New Roman" w:cs="Times New Roman"/>
        </w:rPr>
        <w:t xml:space="preserve"> </w:t>
      </w:r>
      <w:r>
        <w:rPr>
          <w:rFonts w:ascii="Nirmala UI" w:hAnsi="Nirmala UI" w:eastAsia="Nirmala UI" w:cs="Nirmala UI"/>
        </w:rPr>
        <w:t>नेऊ</w:t>
      </w:r>
      <w:r>
        <w:rPr>
          <w:rFonts w:ascii="Times New Roman" w:hAnsi="Times New Roman" w:eastAsia="Times New Roman" w:cs="Times New Roman"/>
        </w:rPr>
        <w:t xml:space="preserve"> </w:t>
      </w:r>
      <w:r>
        <w:rPr>
          <w:rFonts w:ascii="Nirmala UI" w:hAnsi="Nirmala UI" w:eastAsia="Nirmala UI" w:cs="Nirmala UI"/>
        </w:rPr>
        <w:t>इच्छितात</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जीवनाच्या</w:t>
      </w:r>
      <w:r>
        <w:rPr>
          <w:rFonts w:ascii="Times New Roman" w:hAnsi="Times New Roman" w:eastAsia="Times New Roman" w:cs="Times New Roman"/>
        </w:rPr>
        <w:t xml:space="preserve"> </w:t>
      </w:r>
      <w:r>
        <w:rPr>
          <w:rFonts w:ascii="Nirmala UI" w:hAnsi="Nirmala UI" w:eastAsia="Nirmala UI" w:cs="Nirmala UI"/>
        </w:rPr>
        <w:t>राजपुत्राचा</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सैतानाच्या</w:t>
      </w:r>
      <w:r>
        <w:rPr>
          <w:rFonts w:ascii="Times New Roman" w:hAnsi="Times New Roman" w:eastAsia="Times New Roman" w:cs="Times New Roman"/>
        </w:rPr>
        <w:t xml:space="preserve"> </w:t>
      </w:r>
      <w:r>
        <w:rPr>
          <w:rFonts w:ascii="Nirmala UI" w:hAnsi="Nirmala UI" w:eastAsia="Nirmala UI" w:cs="Nirmala UI"/>
        </w:rPr>
        <w:t>सभास्थानासमोर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विश्वापुढे</w:t>
      </w:r>
      <w:r>
        <w:rPr>
          <w:rFonts w:ascii="Times New Roman" w:hAnsi="Times New Roman" w:eastAsia="Times New Roman" w:cs="Times New Roman"/>
        </w:rPr>
        <w:t xml:space="preserve"> </w:t>
      </w:r>
      <w:r>
        <w:rPr>
          <w:rFonts w:ascii="Nirmala UI" w:hAnsi="Nirmala UI" w:eastAsia="Nirmala UI" w:cs="Nirmala UI"/>
        </w:rPr>
        <w:t>त्याला</w:t>
      </w:r>
      <w:r>
        <w:rPr>
          <w:rFonts w:ascii="Times New Roman" w:hAnsi="Times New Roman" w:eastAsia="Times New Roman" w:cs="Times New Roman"/>
        </w:rPr>
        <w:t xml:space="preserve"> </w:t>
      </w:r>
      <w:r>
        <w:rPr>
          <w:rFonts w:ascii="Nirmala UI" w:hAnsi="Nirmala UI" w:eastAsia="Nirmala UI" w:cs="Nirmala UI"/>
        </w:rPr>
        <w:t>लाजिरवाणे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जोपर्यंत</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तोपर्यंत</w:t>
      </w:r>
      <w:r>
        <w:rPr>
          <w:rFonts w:ascii="Times New Roman" w:hAnsi="Times New Roman" w:eastAsia="Times New Roman" w:cs="Times New Roman"/>
        </w:rPr>
        <w:t xml:space="preserve"> </w:t>
      </w:r>
      <w:r>
        <w:rPr>
          <w:rFonts w:ascii="Nirmala UI" w:hAnsi="Nirmala UI" w:eastAsia="Nirmala UI" w:cs="Nirmala UI"/>
        </w:rPr>
        <w:t>त्याला</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क्षमा</w:t>
      </w:r>
      <w:r>
        <w:rPr>
          <w:rFonts w:ascii="Times New Roman" w:hAnsi="Times New Roman" w:eastAsia="Times New Roman" w:cs="Times New Roman"/>
        </w:rPr>
        <w:t xml:space="preserve"> </w:t>
      </w:r>
      <w:r>
        <w:rPr>
          <w:rFonts w:ascii="Nirmala UI" w:hAnsi="Nirmala UI" w:eastAsia="Nirmala UI" w:cs="Nirmala UI"/>
        </w:rPr>
        <w:t>मिळू</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देवाशी</w:t>
      </w:r>
      <w:r>
        <w:rPr>
          <w:rFonts w:ascii="Times New Roman" w:hAnsi="Times New Roman" w:eastAsia="Times New Roman" w:cs="Times New Roman"/>
        </w:rPr>
        <w:t xml:space="preserve"> </w:t>
      </w:r>
      <w:r>
        <w:rPr>
          <w:rFonts w:ascii="Nirmala UI" w:hAnsi="Nirmala UI" w:eastAsia="Nirmala UI" w:cs="Nirmala UI"/>
        </w:rPr>
        <w:t>समेट</w:t>
      </w:r>
      <w:r>
        <w:rPr>
          <w:rFonts w:ascii="Times New Roman" w:hAnsi="Times New Roman" w:eastAsia="Times New Roman" w:cs="Times New Roman"/>
        </w:rPr>
        <w:t xml:space="preserve"> </w:t>
      </w:r>
      <w:r>
        <w:rPr>
          <w:rFonts w:ascii="Nirmala UI" w:hAnsi="Nirmala UI" w:eastAsia="Nirmala UI" w:cs="Nirmala UI"/>
        </w:rPr>
        <w:t>होण्याची</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गमावून</w:t>
      </w:r>
      <w:r>
        <w:rPr>
          <w:rFonts w:ascii="Times New Roman" w:hAnsi="Times New Roman" w:eastAsia="Times New Roman" w:cs="Times New Roman"/>
        </w:rPr>
        <w:t xml:space="preserve"> </w:t>
      </w:r>
      <w:r>
        <w:rPr>
          <w:rFonts w:ascii="Nirmala UI" w:hAnsi="Nirmala UI" w:eastAsia="Nirmala UI" w:cs="Nirmala UI"/>
        </w:rPr>
        <w:t>बसेल</w:t>
      </w:r>
      <w:r>
        <w:rPr>
          <w:rFonts w:ascii="Times New Roman" w:hAnsi="Times New Roman" w:eastAsia="Times New Roman" w:cs="Times New Roman"/>
        </w:rPr>
        <w:t>.” The Desire of Ages, 324.</w:t>
      </w:r>
    </w:p>
    <w:p>
      <w:pPr>
        <w:pStyle w:val="ArticleBody"/>
        <w:jc w:val="left"/>
      </w:pPr>
      <w:r>
        <w:rPr>
          <w:rFonts w:ascii="Times New Roman" w:hAnsi="Times New Roman" w:eastAsia="Times New Roman" w:cs="Times New Roman"/>
        </w:rPr>
        <w:t>Lorsque l’adventisme laodicéen rejeta la compréhension fondamentale du « continuel » et des sept temps, il ne rejeta pas seulement l’autorité de l’Esprit de prophétie et les fondements, mais il rejeta aussi l’œuvre de William Miller, qui avait été conduit à ses compréhensions par l’ange Gabriel et d’autres anges.</w:t>
      </w:r>
    </w:p>
    <w:p>
      <w:pPr>
        <w:pStyle w:val="ArticleScripture"/>
        <w:jc w:val="left"/>
      </w:pPr>
      <w:r>
        <w:rPr>
          <w:rFonts w:ascii="Times New Roman" w:hAnsi="Times New Roman" w:eastAsia="Times New Roman" w:cs="Times New Roman"/>
        </w:rPr>
        <w:t>“Baba Mungu alimtuma malaika wake kuugusa moyo wa mkulima ambaye hakuwa ameliamini Biblia, ili kumwongoza achunguze unabii. Malaika wa Mungu walimtembelea huyo mteule mara kwa mara, ili kuuongoza akili yake na kufungua kwa ufahamu wake unabii ambao daima ulikuwa umefichika kwa watu wa Mungu. Mwanzo wa mnyororo wa kweli uliwekwa mikononi mwake, naye akaongozwa kuendelea kutafuta kiungo baada ya kiungo, hata akalitazama Neno la Mungu kwa mshangao na kuvutiwa. Humo aliona mnyororo mkamilifu wa kweli. Neno hilo ambalo alikuwa ameliona kuwa halikuvuviwa sasa lilifunguka mbele ya macho yake katika uzuri na utukufu wake. Aliona kwamba sehemu moja ya Maandiko hufafanua nyingine, na wakati kifungu kimoja kilipofungwa kwa ufahamu wake, alipata katika sehemu nyingine ya Neno kile kilichokifafanua. Alilichukulia Neno takatifu la Mungu kwa furaha na kwa heshima ya ndani kabisa na kicho.” Early Writings, 230.</w:t>
      </w:r>
    </w:p>
    <w:p>
      <w:pPr>
        <w:pStyle w:val="ArticleBody"/>
        <w:jc w:val="left"/>
      </w:pPr>
      <w:r>
        <w:rPr>
          <w:rFonts w:ascii="Times New Roman" w:hAnsi="Times New Roman" w:eastAsia="Times New Roman" w:cs="Times New Roman"/>
        </w:rPr>
        <w:t>« Son ange » est une expression qui désigne l’ange Gabriel.</w:t>
      </w:r>
    </w:p>
    <w:p>
      <w:pPr>
        <w:pStyle w:val="ArticleScripture"/>
        <w:jc w:val="left"/>
      </w:pPr>
      <w:r>
        <w:rPr>
          <w:rFonts w:ascii="Times New Roman" w:hAnsi="Times New Roman" w:eastAsia="Times New Roman" w:cs="Times New Roman"/>
        </w:rPr>
        <w:t>“Ngamazwi engelosi athi, ‘NdinguGabriyeli, omiyo phambi koThixo,’ kubonakala ukuba unesikhundla sokuqaqambela esikhulu ezinkundleni zasezulwini. Xa wafika enomyalezo kuDaniyeli, wathi, ‘Akukho namnye umi ngakum kwezi zinto, ingenguMikayeli [uKristu] iNkosana yenu kuphela.’ Daniyeli 10:21. NgoGabriyeli uMsindisi uthetha kwisiTyhilelo, esithi ‘Wawuthumela, wawubonakalisa ngengelosi yakhe kumkhonzi wakhe uYohane.’ ISityhilelo 1:1.” The Desire of Ages, 99.</w:t>
      </w:r>
    </w:p>
    <w:p>
      <w:pPr>
        <w:pStyle w:val="ArticleBody"/>
        <w:jc w:val="left"/>
      </w:pPr>
      <w:r>
        <w:rPr>
          <w:rFonts w:ascii="Times New Roman" w:hAnsi="Times New Roman" w:eastAsia="Times New Roman" w:cs="Times New Roman"/>
        </w:rPr>
        <w:t>Tës njoftosh një simbol satanik si simbol të Krishtit, jo vetëm që është një paralele me mëkatin e pafalshëm, por mëkati i pafalshëm lidhet gjithashtu me refuzimin e lajmëtarëve që dërgon Krishti. “E përditshmja”, atëherë, bëhet simboli i mëkatit të pafalshëm, dhe kur kuptohet se “i zgjedhuri”, William Miller, u udhëhoq drejt kuptimit të saktë të asaj të vërtete, dhe se ajo më pas u refuzua, kjo përputhet drejtpërdrejt me Thesalonikasve të Dytë, që është pikërisht pjesa e Shkrimit ku Milleri bëri zbulimin e tij. Të refuzosh atë të vërtetë është dëshmi se nuk e do të vërtetën, dhe ai rebelim prodhon tërheqjen e Frymës së Shenjtë dhe dorëzimin te fryma e pashenjtë e Satanit, të cilën Pali e përcakton si mashtrim të fortë.</w:t>
      </w:r>
    </w:p>
    <w:p>
      <w:pPr>
        <w:pStyle w:val="ArticleBody"/>
        <w:jc w:val="left"/>
      </w:pPr>
      <w:r>
        <w:rPr>
          <w:rFonts w:ascii="Times New Roman" w:hAnsi="Times New Roman" w:eastAsia="Times New Roman" w:cs="Times New Roman"/>
        </w:rPr>
        <w:t>De même que « les violents de ton peuple », qui « accomplissent la vision », « le continuel » est un symbole de la Rome païenne. Dans le contexte de Deuxième Thessaloniciens, Paul enseigne que le rejet du message du chapitre deux constitue la preuve que ceux qui agissent ainsi n’aiment pas la vérité. Parce qu’ils n’aiment pas la vérité présentée dans ce chapitre, ils reçoivent une puissance d’égarement.</w:t>
      </w:r>
    </w:p>
    <w:p>
      <w:pPr>
        <w:pStyle w:val="ArticleBody"/>
        <w:jc w:val="left"/>
      </w:pPr>
      <w:r>
        <w:rPr>
          <w:rFonts w:ascii="Times New Roman" w:hAnsi="Times New Roman" w:eastAsia="Times New Roman" w:cs="Times New Roman"/>
        </w:rPr>
        <w:t>Wabii raajotaa hundinuu guyyoota dhumaa irratti dubbachaa jiru; kutaan barruu kana keessatti duraaniin hafuuraan kakaafamanii dhiyaatanis dogoggorsaan jabaanaan yeroo Hafuuri Qulqulluun dhangalaafamu warra dhugaa hin jaallanne irratti akka dhufu ibsu. Gareen tokko zayitii argachaa jira; gareen kaan immoo dogoggorsaa jabaa argachaa jira.</w:t>
      </w:r>
    </w:p>
    <w:p>
      <w:pPr>
        <w:pStyle w:val="ArticleBody"/>
        <w:jc w:val="left"/>
      </w:pP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જલ્દી</w:t>
      </w:r>
      <w:r>
        <w:rPr>
          <w:rFonts w:ascii="Times New Roman" w:hAnsi="Times New Roman" w:eastAsia="Times New Roman" w:cs="Times New Roman"/>
        </w:rPr>
        <w:t xml:space="preserve"> </w:t>
      </w:r>
      <w:r>
        <w:rPr>
          <w:rFonts w:ascii="Nirmala UI" w:hAnsi="Nirmala UI" w:eastAsia="Nirmala UI" w:cs="Nirmala UI"/>
        </w:rPr>
        <w:t>આવનારા</w:t>
      </w:r>
      <w:r>
        <w:rPr>
          <w:rFonts w:ascii="Times New Roman" w:hAnsi="Times New Roman" w:eastAsia="Times New Roman" w:cs="Times New Roman"/>
        </w:rPr>
        <w:t xml:space="preserve"> </w:t>
      </w:r>
      <w:r>
        <w:rPr>
          <w:rFonts w:ascii="Nirmala UI" w:hAnsi="Nirmala UI" w:eastAsia="Nirmala UI" w:cs="Nirmala UI"/>
        </w:rPr>
        <w:t>કાનૂન</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11 </w:t>
      </w:r>
      <w:r>
        <w:rPr>
          <w:rFonts w:ascii="Nirmala UI" w:hAnsi="Nirmala UI" w:eastAsia="Nirmala UI" w:cs="Nirmala UI"/>
        </w:rPr>
        <w:t>સપ્ટેમ્બર</w:t>
      </w:r>
      <w:r>
        <w:rPr>
          <w:rFonts w:ascii="Times New Roman" w:hAnsi="Times New Roman" w:eastAsia="Times New Roman" w:cs="Times New Roman"/>
        </w:rPr>
        <w:t>, 2001</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સીલ</w:t>
      </w:r>
      <w:r>
        <w:rPr>
          <w:rFonts w:ascii="Times New Roman" w:hAnsi="Times New Roman" w:eastAsia="Times New Roman" w:cs="Times New Roman"/>
        </w:rPr>
        <w:t xml:space="preserve"> </w:t>
      </w:r>
      <w:r>
        <w:rPr>
          <w:rFonts w:ascii="Nirmala UI" w:hAnsi="Nirmala UI" w:eastAsia="Nirmala UI" w:cs="Nirmala UI"/>
        </w:rPr>
        <w:t>મૂકવાના</w:t>
      </w:r>
      <w:r>
        <w:rPr>
          <w:rFonts w:ascii="Times New Roman" w:hAnsi="Times New Roman" w:eastAsia="Times New Roman" w:cs="Times New Roman"/>
        </w:rPr>
        <w:t xml:space="preserve"> </w:t>
      </w:r>
      <w:r>
        <w:rPr>
          <w:rFonts w:ascii="Nirmala UI" w:hAnsi="Nirmala UI" w:eastAsia="Nirmala UI" w:cs="Nirmala UI"/>
        </w:rPr>
        <w:t>સમયના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પરીક્ષણકાળ</w:t>
      </w:r>
      <w:r>
        <w:rPr>
          <w:rFonts w:ascii="Times New Roman" w:hAnsi="Times New Roman" w:eastAsia="Times New Roman" w:cs="Times New Roman"/>
        </w:rPr>
        <w:t xml:space="preserve"> </w:t>
      </w:r>
      <w:r>
        <w:rPr>
          <w:rFonts w:ascii="Nirmala UI" w:hAnsi="Nirmala UI" w:eastAsia="Nirmala UI" w:cs="Nirmala UI"/>
        </w:rPr>
        <w:t>દરમિયાન</w:t>
      </w:r>
      <w:r>
        <w:rPr>
          <w:rFonts w:ascii="Times New Roman" w:hAnsi="Times New Roman" w:eastAsia="Times New Roman" w:cs="Times New Roman"/>
        </w:rPr>
        <w:t xml:space="preserve"> </w:t>
      </w:r>
      <w:r>
        <w:rPr>
          <w:rFonts w:ascii="Nirmala UI" w:hAnsi="Nirmala UI" w:eastAsia="Nirmala UI" w:cs="Nirmala UI"/>
        </w:rPr>
        <w:t>ખુલ્લું</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જ્ઞાનના</w:t>
      </w:r>
      <w:r>
        <w:rPr>
          <w:rFonts w:ascii="Times New Roman" w:hAnsi="Times New Roman" w:eastAsia="Times New Roman" w:cs="Times New Roman"/>
        </w:rPr>
        <w:t xml:space="preserve"> </w:t>
      </w:r>
      <w:r>
        <w:rPr>
          <w:rFonts w:ascii="Nirmala UI" w:hAnsi="Nirmala UI" w:eastAsia="Nirmala UI" w:cs="Nirmala UI"/>
        </w:rPr>
        <w:t>વૃદ્ધિને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પાસેથી</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આત્મા</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ઇતિહાસકાળમાં</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આત્મા</w:t>
      </w:r>
      <w:r>
        <w:rPr>
          <w:rFonts w:ascii="Times New Roman" w:hAnsi="Times New Roman" w:eastAsia="Times New Roman" w:cs="Times New Roman"/>
        </w:rPr>
        <w:t xml:space="preserve"> </w:t>
      </w:r>
      <w:r>
        <w:rPr>
          <w:rFonts w:ascii="Nirmala UI" w:hAnsi="Nirmala UI" w:eastAsia="Nirmala UI" w:cs="Nirmala UI"/>
        </w:rPr>
        <w:t>ઉંડેલવામાં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અગાઉના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અવતરણને</w:t>
      </w:r>
      <w:r>
        <w:rPr>
          <w:rFonts w:ascii="Times New Roman" w:hAnsi="Times New Roman" w:eastAsia="Times New Roman" w:cs="Times New Roman"/>
        </w:rPr>
        <w:t xml:space="preserve"> </w:t>
      </w:r>
      <w:r>
        <w:rPr>
          <w:rFonts w:ascii="Nirmala UI" w:hAnsi="Nirmala UI" w:eastAsia="Nirmala UI" w:cs="Nirmala UI"/>
        </w:rPr>
        <w:t>પુનરાવર્તિત</w:t>
      </w:r>
      <w:r>
        <w:rPr>
          <w:rFonts w:ascii="Times New Roman" w:hAnsi="Times New Roman" w:eastAsia="Times New Roman" w:cs="Times New Roman"/>
        </w:rPr>
        <w:t xml:space="preserve"> </w:t>
      </w:r>
      <w:r>
        <w:rPr>
          <w:rFonts w:ascii="Nirmala UI" w:hAnsi="Nirmala UI" w:eastAsia="Nirmala UI" w:cs="Nirmala UI"/>
        </w:rPr>
        <w:t>કરીએ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 tournant son regard vers les derniers jours, la même puissance infinie déclare, au sujet de ceux qui « n’ont pas reçu l’amour de la vérité pour être sauvés » : « C’est pourquoi Dieu leur enverra une puissance d’égarement, pour qu’ils croient au mensonge ; afin que tous ceux qui n’ont pas cru à la vérité, mais qui ont pris plaisir à l’injustice, soient condamnés. » Lorsqu’ils rejettent les enseignements de sa Parole, Dieu retire son Esprit et les abandonne aux séductions qu’ils aiment.” Early Writings, 46.</w:t>
      </w:r>
    </w:p>
    <w:p>
      <w:pPr>
        <w:pStyle w:val="ArticleBody"/>
        <w:jc w:val="left"/>
      </w:pPr>
      <w:r>
        <w:rPr>
          <w:rFonts w:ascii="Times New Roman" w:hAnsi="Times New Roman" w:eastAsia="Times New Roman" w:cs="Times New Roman"/>
        </w:rPr>
        <w:t>Line upon line, Daniel teaches that in the last days, it is the robbers of thy people, (a symbol of Rome) that establishes the vision. The robbers are also represented as “the daily.” Solomon teaches that in the last days those who do not have the vision, perish, which is to be naked. To be made naked is to be a Laodicean, and a Laodicean is a foolish virgin.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ស្ថានភាពនៃព្រះវិហារ</w:t>
      </w:r>
      <w:r>
        <w:rPr>
          <w:rFonts w:ascii="Times New Roman" w:hAnsi="Times New Roman" w:eastAsia="Times New Roman" w:cs="Times New Roman"/>
        </w:rPr>
        <w:t xml:space="preserve"> </w:t>
      </w:r>
      <w:r>
        <w:rPr>
          <w:rFonts w:ascii="Leelawadee UI" w:hAnsi="Leelawadee UI" w:eastAsia="Leelawadee UI" w:cs="Leelawadee UI"/>
        </w:rPr>
        <w:t>ដែលតំណាងដោយព្រហ្មចារីល្ងង់</w:t>
      </w:r>
      <w:r>
        <w:rPr>
          <w:rFonts w:ascii="Times New Roman" w:hAnsi="Times New Roman" w:eastAsia="Times New Roman" w:cs="Times New Roman"/>
        </w:rPr>
        <w:t xml:space="preserve"> </w:t>
      </w:r>
      <w:r>
        <w:rPr>
          <w:rFonts w:ascii="Leelawadee UI" w:hAnsi="Leelawadee UI" w:eastAsia="Leelawadee UI" w:cs="Leelawadee UI"/>
        </w:rPr>
        <w:t>ក៏ត្រូវបាននិយាយដែរថាជាស្ថានភាពឡៅឌីសេ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Review and Herald, August 19, 1890.</w:t>
      </w:r>
    </w:p>
    <w:p>
      <w:pPr>
        <w:pStyle w:val="ArticleBody"/>
        <w:jc w:val="left"/>
      </w:pPr>
      <w:r>
        <w:rPr>
          <w:rFonts w:ascii="Microsoft YaHei" w:hAnsi="Microsoft YaHei" w:eastAsia="Microsoft YaHei" w:cs="Microsoft YaHei"/>
        </w:rPr>
        <w:t>当半夜呼声的信息临到之时</w:t>
      </w:r>
      <w:r>
        <w:rPr>
          <w:rFonts w:ascii="Times New Roman" w:hAnsi="Times New Roman" w:eastAsia="Times New Roman" w:cs="Times New Roman"/>
        </w:rPr>
        <w:t>,</w:t>
      </w:r>
      <w:r>
        <w:rPr>
          <w:rFonts w:ascii="Microsoft YaHei" w:hAnsi="Microsoft YaHei" w:eastAsia="Microsoft YaHei" w:cs="Microsoft YaHei"/>
        </w:rPr>
        <w:t>若仍作愚拙的童女</w:t>
      </w:r>
      <w:r>
        <w:rPr>
          <w:rFonts w:ascii="Times New Roman" w:hAnsi="Times New Roman" w:eastAsia="Times New Roman" w:cs="Times New Roman"/>
        </w:rPr>
        <w:t>,</w:t>
      </w:r>
      <w:r>
        <w:rPr>
          <w:rFonts w:ascii="Microsoft YaHei" w:hAnsi="Microsoft YaHei" w:eastAsia="Microsoft YaHei" w:cs="Microsoft YaHei"/>
        </w:rPr>
        <w:t>便是显明约翰在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第十六章所记的</w:t>
      </w:r>
      <w:r>
        <w:rPr>
          <w:rFonts w:ascii="Times New Roman" w:hAnsi="Times New Roman" w:eastAsia="Times New Roman" w:cs="Times New Roman"/>
        </w:rPr>
        <w:t>“</w:t>
      </w:r>
      <w:r>
        <w:rPr>
          <w:rFonts w:ascii="Microsoft YaHei" w:hAnsi="Microsoft YaHei" w:eastAsia="Microsoft YaHei" w:cs="Microsoft YaHei"/>
        </w:rPr>
        <w:t>你赤身的羞耻</w:t>
      </w:r>
      <w:r>
        <w:rPr>
          <w:rFonts w:ascii="Times New Roman" w:hAnsi="Times New Roman" w:eastAsia="Times New Roman" w:cs="Times New Roman"/>
        </w:rPr>
        <w:t>”.</w:t>
      </w:r>
      <w:r>
        <w:rPr>
          <w:rFonts w:ascii="Microsoft YaHei" w:hAnsi="Microsoft YaHei" w:eastAsia="Microsoft YaHei" w:cs="Microsoft YaHei"/>
        </w:rPr>
        <w:t>约翰在第六灾中的警告</w:t>
      </w:r>
      <w:r>
        <w:rPr>
          <w:rFonts w:ascii="Times New Roman" w:hAnsi="Times New Roman" w:eastAsia="Times New Roman" w:cs="Times New Roman"/>
        </w:rPr>
        <w:t>,</w:t>
      </w:r>
      <w:r>
        <w:rPr>
          <w:rFonts w:ascii="Microsoft YaHei" w:hAnsi="Microsoft YaHei" w:eastAsia="Microsoft YaHei" w:cs="Microsoft YaHei"/>
        </w:rPr>
        <w:t>是针对那由龙、兽和假先知所构成的三重联合</w:t>
      </w:r>
      <w:r>
        <w:rPr>
          <w:rFonts w:ascii="Times New Roman" w:hAnsi="Times New Roman" w:eastAsia="Times New Roman" w:cs="Times New Roman"/>
        </w:rPr>
        <w:t>;</w:t>
      </w:r>
      <w:r>
        <w:rPr>
          <w:rFonts w:ascii="Microsoft YaHei" w:hAnsi="Microsoft YaHei" w:eastAsia="Microsoft YaHei" w:cs="Microsoft YaHei"/>
        </w:rPr>
        <w:t>自一九八九年以来</w:t>
      </w:r>
      <w:r>
        <w:rPr>
          <w:rFonts w:ascii="Times New Roman" w:hAnsi="Times New Roman" w:eastAsia="Times New Roman" w:cs="Times New Roman"/>
        </w:rPr>
        <w:t>,</w:t>
      </w:r>
      <w:r>
        <w:rPr>
          <w:rFonts w:ascii="Microsoft YaHei" w:hAnsi="Microsoft YaHei" w:eastAsia="Microsoft YaHei" w:cs="Microsoft YaHei"/>
        </w:rPr>
        <w:t>他们一直处于引领世界走向哈米吉多顿的进程之中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Ujumbe wa Paulo katika Wathesalonike wa Pili hauhusu tu Roma ya kipagani kuwakilishwa na Danieli kama “sadaka ya daima,” bali sura hiyo inasisitiza uhusiano wa Roma ya kipagani na Roma ya kipapa. Roma ya kipagani ilimzuia (“huzuia”) mtu wa dhambi asije kukalia kiti cha enzi cha dunia mwaka 538. Mara Roma ya kipagani ilipoondolewa, ndipo “siri ya uovu,” “yule mwovu” ambaye ni papa wa Roma, anafunuliwa. Katika sura hiyo Paulo anatambulisha uhusiano mahususi wa kinabii kati ya Roma ya kipagani na Roma ya kipapa. Kukataa mafundisho ya sura hiyo ni kuikataa kweli na kupokea upotovu wenye nguvu.</w:t>
      </w:r>
    </w:p>
    <w:p>
      <w:pPr>
        <w:pStyle w:val="ArticleScripture"/>
        <w:jc w:val="left"/>
      </w:pPr>
      <w:r>
        <w:rPr>
          <w:rFonts w:ascii="Times New Roman" w:hAnsi="Times New Roman" w:eastAsia="Times New Roman" w:cs="Times New Roman"/>
        </w:rPr>
        <w:t>Ne laissez personne vous séduire d’aucune manière; car ce jour-là ne viendra point, qu’auparavant ne soit arrivée l’apostasie, et que n’ait été révélé l’homme de péché, le fils de perdition, qui s’oppose et s’élève au-dessus de tout ce qu’on appelle Dieu ou de tout ce qu’on adore; jusqu’à s’asseoir, comme Dieu, dans le temple de Dieu, se présentant lui-même comme étant Dieu. Ne vous souvenez-vous pas que, lorsque j’étais encore auprès de vous, je vous disais ces choses? Et maintenant vous savez ce qui le retient, afin qu’il ne soit révélé qu’en son temps. Car le mystère de l’iniquité agit déjà; il faut seulement que celui qui le retient encore ait disparu. Et alors sera révélé l’Impie, que le Seigneur consumera par le souffle de sa bouche et qu’il détruira par l’éclat de son avènement. L’apparition de cet impie se fera, par la puissance de Satan, avec toutes sortes de miracles, de signes et de prodiges mensongers, et avec toutes les séductions de l’iniquité pour ceux qui périssent, parce qu’ils n’ont pas reçu l’amour de la vérité pour être sauvés. Aussi Dieu leur envoie une puissance d’égarement, pour qu’ils croient au mensonge, afin que tous ceux qui n’ont pas cru à la vérité, mais qui ont pris plaisir à l’injustice, soient condamnés. 2 Thessaloniciens 2:3–12.</w:t>
      </w:r>
    </w:p>
    <w:p>
      <w:pPr>
        <w:pStyle w:val="ArticleBody"/>
        <w:jc w:val="left"/>
      </w:pPr>
      <w:r>
        <w:rPr>
          <w:rFonts w:ascii="MS Gothic" w:hAnsi="MS Gothic" w:eastAsia="MS Gothic" w:cs="MS Gothic"/>
        </w:rPr>
        <w:t>なぜこれらの</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w:t>
      </w:r>
      <w:r>
        <w:rPr>
          <w:rFonts w:ascii="MS Gothic" w:hAnsi="MS Gothic" w:eastAsia="MS Gothic" w:cs="MS Gothic"/>
        </w:rPr>
        <w:t>の</w:t>
      </w:r>
      <w:r>
        <w:rPr>
          <w:rFonts w:ascii="Microsoft YaHei" w:hAnsi="Microsoft YaHei" w:eastAsia="Microsoft YaHei" w:cs="Microsoft YaHei"/>
        </w:rPr>
        <w:t>人々</w:t>
      </w:r>
      <w:r>
        <w:rPr>
          <w:rFonts w:ascii="MS Gothic" w:hAnsi="MS Gothic" w:eastAsia="MS Gothic" w:cs="MS Gothic"/>
        </w:rPr>
        <w:t>は</w:t>
      </w:r>
      <w:r>
        <w:rPr>
          <w:rFonts w:ascii="Microsoft YaHei" w:hAnsi="Microsoft YaHei" w:eastAsia="Microsoft YaHei" w:cs="Microsoft YaHei"/>
        </w:rPr>
        <w:t>「罪</w:t>
      </w:r>
      <w:r>
        <w:rPr>
          <w:rFonts w:ascii="MS Gothic" w:hAnsi="MS Gothic" w:eastAsia="MS Gothic" w:cs="MS Gothic"/>
        </w:rPr>
        <w:t>に</w:t>
      </w:r>
      <w:r>
        <w:rPr>
          <w:rFonts w:ascii="Microsoft YaHei" w:hAnsi="Microsoft YaHei" w:eastAsia="Microsoft YaHei" w:cs="Microsoft YaHei"/>
        </w:rPr>
        <w:t>定</w:t>
      </w:r>
      <w:r>
        <w:rPr>
          <w:rFonts w:ascii="MS Gothic" w:hAnsi="MS Gothic" w:eastAsia="MS Gothic" w:cs="MS Gothic"/>
        </w:rPr>
        <w:t>められる</w:t>
      </w:r>
      <w:r>
        <w:rPr>
          <w:rFonts w:ascii="Microsoft YaHei" w:hAnsi="Microsoft YaHei" w:eastAsia="Microsoft YaHei" w:cs="Microsoft YaHei"/>
        </w:rPr>
        <w:t>」</w:t>
      </w:r>
      <w:r>
        <w:rPr>
          <w:rFonts w:ascii="MS Gothic" w:hAnsi="MS Gothic" w:eastAsia="MS Gothic" w:cs="MS Gothic"/>
        </w:rPr>
        <w:t>のであろうか</w:t>
      </w:r>
      <w:r>
        <w:rPr>
          <w:rFonts w:ascii="Times New Roman" w:hAnsi="Times New Roman" w:eastAsia="Times New Roman" w:cs="Times New Roman"/>
        </w:rPr>
        <w:t>.</w:t>
      </w:r>
      <w:r>
        <w:rPr>
          <w:rFonts w:ascii="MS Gothic" w:hAnsi="MS Gothic" w:eastAsia="MS Gothic" w:cs="MS Gothic"/>
        </w:rPr>
        <w:t>なぜ</w:t>
      </w:r>
      <w:r>
        <w:rPr>
          <w:rFonts w:ascii="Microsoft YaHei" w:hAnsi="Microsoft YaHei" w:eastAsia="Microsoft YaHei" w:cs="Microsoft YaHei"/>
        </w:rPr>
        <w:t>彼</w:t>
      </w:r>
      <w:r>
        <w:rPr>
          <w:rFonts w:ascii="MS Gothic" w:hAnsi="MS Gothic" w:eastAsia="MS Gothic" w:cs="MS Gothic"/>
        </w:rPr>
        <w:t>らには</w:t>
      </w:r>
      <w:r>
        <w:rPr>
          <w:rFonts w:ascii="Microsoft YaHei" w:hAnsi="Microsoft YaHei" w:eastAsia="Microsoft YaHei" w:cs="Microsoft YaHei"/>
        </w:rPr>
        <w:t>「強</w:t>
      </w:r>
      <w:r>
        <w:rPr>
          <w:rFonts w:ascii="MS Gothic" w:hAnsi="MS Gothic" w:eastAsia="MS Gothic" w:cs="MS Gothic"/>
        </w:rPr>
        <w:t>い</w:t>
      </w:r>
      <w:r>
        <w:rPr>
          <w:rFonts w:ascii="Microsoft YaHei" w:hAnsi="Microsoft YaHei" w:eastAsia="Microsoft YaHei" w:cs="Microsoft YaHei"/>
        </w:rPr>
        <w:t>惑</w:t>
      </w:r>
      <w:r>
        <w:rPr>
          <w:rFonts w:ascii="MS Gothic" w:hAnsi="MS Gothic" w:eastAsia="MS Gothic" w:cs="MS Gothic"/>
        </w:rPr>
        <w:t>わし</w:t>
      </w:r>
      <w:r>
        <w:rPr>
          <w:rFonts w:ascii="Microsoft YaHei" w:hAnsi="Microsoft YaHei" w:eastAsia="Microsoft YaHei" w:cs="Microsoft YaHei"/>
        </w:rPr>
        <w:t>」</w:t>
      </w:r>
      <w:r>
        <w:rPr>
          <w:rFonts w:ascii="MS Gothic" w:hAnsi="MS Gothic" w:eastAsia="MS Gothic" w:cs="MS Gothic"/>
        </w:rPr>
        <w:t>が</w:t>
      </w:r>
      <w:r>
        <w:rPr>
          <w:rFonts w:ascii="Microsoft YaHei" w:hAnsi="Microsoft YaHei" w:eastAsia="Microsoft YaHei" w:cs="Microsoft YaHei"/>
        </w:rPr>
        <w:t>送</w:t>
      </w:r>
      <w:r>
        <w:rPr>
          <w:rFonts w:ascii="MS Gothic" w:hAnsi="MS Gothic" w:eastAsia="MS Gothic" w:cs="MS Gothic"/>
        </w:rPr>
        <w:t>られるのであろうか</w:t>
      </w:r>
      <w:r>
        <w:rPr>
          <w:rFonts w:ascii="Times New Roman" w:hAnsi="Times New Roman" w:eastAsia="Times New Roman" w:cs="Times New Roman"/>
        </w:rPr>
        <w:t>.</w:t>
      </w:r>
      <w:r>
        <w:rPr>
          <w:rFonts w:ascii="MS Gothic" w:hAnsi="MS Gothic" w:eastAsia="MS Gothic" w:cs="MS Gothic"/>
        </w:rPr>
        <w:t>なぜ</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「滅</w:t>
      </w:r>
      <w:r>
        <w:rPr>
          <w:rFonts w:ascii="MS Gothic" w:hAnsi="MS Gothic" w:eastAsia="MS Gothic" w:cs="MS Gothic"/>
        </w:rPr>
        <w:t>び</w:t>
      </w:r>
      <w:r>
        <w:rPr>
          <w:rFonts w:ascii="Microsoft YaHei" w:hAnsi="Microsoft YaHei" w:eastAsia="Microsoft YaHei" w:cs="Microsoft YaHei"/>
        </w:rPr>
        <w:t>」、</w:t>
      </w:r>
      <w:r>
        <w:rPr>
          <w:rFonts w:ascii="MS Gothic" w:hAnsi="MS Gothic" w:eastAsia="MS Gothic" w:cs="MS Gothic"/>
        </w:rPr>
        <w:t>こうして</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裸</w:t>
      </w:r>
      <w:r>
        <w:rPr>
          <w:rFonts w:ascii="MS Gothic" w:hAnsi="MS Gothic" w:eastAsia="MS Gothic" w:cs="MS Gothic"/>
        </w:rPr>
        <w:t>の</w:t>
      </w:r>
      <w:r>
        <w:rPr>
          <w:rFonts w:ascii="Microsoft YaHei" w:hAnsi="Microsoft YaHei" w:eastAsia="Microsoft YaHei" w:cs="Microsoft YaHei"/>
        </w:rPr>
        <w:t>恥</w:t>
      </w:r>
      <w:r>
        <w:rPr>
          <w:rFonts w:ascii="MS Gothic" w:hAnsi="MS Gothic" w:eastAsia="MS Gothic" w:cs="MS Gothic"/>
        </w:rPr>
        <w:t>を</w:t>
      </w:r>
      <w:r>
        <w:rPr>
          <w:rFonts w:ascii="Microsoft YaHei" w:hAnsi="Microsoft YaHei" w:eastAsia="Microsoft YaHei" w:cs="Microsoft YaHei"/>
        </w:rPr>
        <w:t>現</w:t>
      </w:r>
      <w:r>
        <w:rPr>
          <w:rFonts w:ascii="MS Gothic" w:hAnsi="MS Gothic" w:eastAsia="MS Gothic" w:cs="MS Gothic"/>
        </w:rPr>
        <w:t>すのであろうか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箇所</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理由</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真理</w:t>
      </w:r>
      <w:r>
        <w:rPr>
          <w:rFonts w:ascii="MS Gothic" w:hAnsi="MS Gothic" w:eastAsia="MS Gothic" w:cs="MS Gothic"/>
        </w:rPr>
        <w:t>を</w:t>
      </w:r>
      <w:r>
        <w:rPr>
          <w:rFonts w:ascii="Microsoft YaHei" w:hAnsi="Microsoft YaHei" w:eastAsia="Microsoft YaHei" w:cs="Microsoft YaHei"/>
        </w:rPr>
        <w:t>愛</w:t>
      </w:r>
      <w:r>
        <w:rPr>
          <w:rFonts w:ascii="MS Gothic" w:hAnsi="MS Gothic" w:eastAsia="MS Gothic" w:cs="MS Gothic"/>
        </w:rPr>
        <w:t>さないからであると</w:t>
      </w:r>
      <w:r>
        <w:rPr>
          <w:rFonts w:ascii="Microsoft YaHei" w:hAnsi="Microsoft YaHei" w:eastAsia="Microsoft YaHei" w:cs="Microsoft YaHei"/>
        </w:rPr>
        <w:t>述</w:t>
      </w:r>
      <w:r>
        <w:rPr>
          <w:rFonts w:ascii="MS Gothic" w:hAnsi="MS Gothic" w:eastAsia="MS Gothic" w:cs="MS Gothic"/>
        </w:rPr>
        <w:t>べている</w:t>
      </w:r>
      <w:r>
        <w:rPr>
          <w:rFonts w:ascii="Times New Roman" w:hAnsi="Times New Roman" w:eastAsia="Times New Roman" w:cs="Times New Roman"/>
        </w:rPr>
        <w:t>.</w:t>
      </w:r>
      <w:r>
        <w:rPr>
          <w:rFonts w:ascii="MS Gothic" w:hAnsi="MS Gothic" w:eastAsia="MS Gothic" w:cs="MS Gothic"/>
        </w:rPr>
        <w:t>そしてその</w:t>
      </w:r>
      <w:r>
        <w:rPr>
          <w:rFonts w:ascii="Microsoft YaHei" w:hAnsi="Microsoft YaHei" w:eastAsia="Microsoft YaHei" w:cs="Microsoft YaHei"/>
        </w:rPr>
        <w:t>章</w:t>
      </w:r>
      <w:r>
        <w:rPr>
          <w:rFonts w:ascii="MS Gothic" w:hAnsi="MS Gothic" w:eastAsia="MS Gothic" w:cs="MS Gothic"/>
        </w:rPr>
        <w:t>に</w:t>
      </w:r>
      <w:r>
        <w:rPr>
          <w:rFonts w:ascii="Microsoft YaHei" w:hAnsi="Microsoft YaHei" w:eastAsia="Microsoft YaHei" w:cs="Microsoft YaHei"/>
        </w:rPr>
        <w:t>示</w:t>
      </w:r>
      <w:r>
        <w:rPr>
          <w:rFonts w:ascii="MS Gothic" w:hAnsi="MS Gothic" w:eastAsia="MS Gothic" w:cs="MS Gothic"/>
        </w:rPr>
        <w:t>されている</w:t>
      </w:r>
      <w:r>
        <w:rPr>
          <w:rFonts w:ascii="Microsoft YaHei" w:hAnsi="Microsoft YaHei" w:eastAsia="Microsoft YaHei" w:cs="Microsoft YaHei"/>
        </w:rPr>
        <w:t>真理</w:t>
      </w:r>
      <w:r>
        <w:rPr>
          <w:rFonts w:ascii="MS Gothic" w:hAnsi="MS Gothic" w:eastAsia="MS Gothic" w:cs="MS Gothic"/>
        </w:rPr>
        <w:t>とは</w:t>
      </w:r>
      <w:r>
        <w:rPr>
          <w:rFonts w:ascii="Microsoft YaHei" w:hAnsi="Microsoft YaHei" w:eastAsia="Microsoft YaHei" w:cs="Microsoft YaHei"/>
        </w:rPr>
        <w:t>、異教</w:t>
      </w:r>
      <w:r>
        <w:rPr>
          <w:rFonts w:ascii="MS Gothic" w:hAnsi="MS Gothic" w:eastAsia="MS Gothic" w:cs="MS Gothic"/>
        </w:rPr>
        <w:t>ローマ</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聖書預言</w:t>
      </w:r>
      <w:r>
        <w:rPr>
          <w:rFonts w:ascii="MS Gothic" w:hAnsi="MS Gothic" w:eastAsia="MS Gothic" w:cs="MS Gothic"/>
        </w:rPr>
        <w:t>における</w:t>
      </w:r>
      <w:r>
        <w:rPr>
          <w:rFonts w:ascii="Microsoft YaHei" w:hAnsi="Microsoft YaHei" w:eastAsia="Microsoft YaHei" w:cs="Microsoft YaHei"/>
        </w:rPr>
        <w:t>第四</w:t>
      </w:r>
      <w:r>
        <w:rPr>
          <w:rFonts w:ascii="MS Gothic" w:hAnsi="MS Gothic" w:eastAsia="MS Gothic" w:cs="MS Gothic"/>
        </w:rPr>
        <w:t>の</w:t>
      </w:r>
      <w:r>
        <w:rPr>
          <w:rFonts w:ascii="Microsoft YaHei" w:hAnsi="Microsoft YaHei" w:eastAsia="Microsoft YaHei" w:cs="Microsoft YaHei"/>
        </w:rPr>
        <w:t>王国</w:t>
      </w:r>
      <w:r>
        <w:rPr>
          <w:rFonts w:ascii="MS Gothic" w:hAnsi="MS Gothic" w:eastAsia="MS Gothic" w:cs="MS Gothic"/>
        </w:rPr>
        <w:t>が</w:t>
      </w:r>
      <w:r>
        <w:rPr>
          <w:rFonts w:ascii="Microsoft YaHei" w:hAnsi="Microsoft YaHei" w:eastAsia="Microsoft YaHei" w:cs="Microsoft YaHei"/>
        </w:rPr>
        <w:t>、異教主義</w:t>
      </w:r>
      <w:r>
        <w:rPr>
          <w:rFonts w:ascii="MS Gothic" w:hAnsi="MS Gothic" w:eastAsia="MS Gothic" w:cs="MS Gothic"/>
        </w:rPr>
        <w:t>が</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除</w:t>
      </w:r>
      <w:r>
        <w:rPr>
          <w:rFonts w:ascii="MS Gothic" w:hAnsi="MS Gothic" w:eastAsia="MS Gothic" w:cs="MS Gothic"/>
        </w:rPr>
        <w:t>かれるまでは</w:t>
      </w:r>
      <w:r>
        <w:rPr>
          <w:rFonts w:ascii="Microsoft YaHei" w:hAnsi="Microsoft YaHei" w:eastAsia="Microsoft YaHei" w:cs="Microsoft YaHei"/>
        </w:rPr>
        <w:t>、教皇制</w:t>
      </w:r>
      <w:r>
        <w:rPr>
          <w:rFonts w:ascii="MS Gothic" w:hAnsi="MS Gothic" w:eastAsia="MS Gothic" w:cs="MS Gothic"/>
        </w:rPr>
        <w:t>ローマ</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聖書預言</w:t>
      </w:r>
      <w:r>
        <w:rPr>
          <w:rFonts w:ascii="MS Gothic" w:hAnsi="MS Gothic" w:eastAsia="MS Gothic" w:cs="MS Gothic"/>
        </w:rPr>
        <w:t>における</w:t>
      </w:r>
      <w:r>
        <w:rPr>
          <w:rFonts w:ascii="Microsoft YaHei" w:hAnsi="Microsoft YaHei" w:eastAsia="Microsoft YaHei" w:cs="Microsoft YaHei"/>
        </w:rPr>
        <w:t>第五</w:t>
      </w:r>
      <w:r>
        <w:rPr>
          <w:rFonts w:ascii="MS Gothic" w:hAnsi="MS Gothic" w:eastAsia="MS Gothic" w:cs="MS Gothic"/>
        </w:rPr>
        <w:t>の</w:t>
      </w:r>
      <w:r>
        <w:rPr>
          <w:rFonts w:ascii="Microsoft YaHei" w:hAnsi="Microsoft YaHei" w:eastAsia="Microsoft YaHei" w:cs="Microsoft YaHei"/>
        </w:rPr>
        <w:t>王国</w:t>
      </w:r>
      <w:r>
        <w:rPr>
          <w:rFonts w:ascii="MS Gothic" w:hAnsi="MS Gothic" w:eastAsia="MS Gothic" w:cs="MS Gothic"/>
        </w:rPr>
        <w:t>が</w:t>
      </w:r>
      <w:r>
        <w:rPr>
          <w:rFonts w:ascii="Microsoft YaHei" w:hAnsi="Microsoft YaHei" w:eastAsia="Microsoft YaHei" w:cs="Microsoft YaHei"/>
        </w:rPr>
        <w:t>王座</w:t>
      </w:r>
      <w:r>
        <w:rPr>
          <w:rFonts w:ascii="MS Gothic" w:hAnsi="MS Gothic" w:eastAsia="MS Gothic" w:cs="MS Gothic"/>
        </w:rPr>
        <w:t>に</w:t>
      </w:r>
      <w:r>
        <w:rPr>
          <w:rFonts w:ascii="Microsoft YaHei" w:hAnsi="Microsoft YaHei" w:eastAsia="Microsoft YaHei" w:cs="Microsoft YaHei"/>
        </w:rPr>
        <w:t>上</w:t>
      </w:r>
      <w:r>
        <w:rPr>
          <w:rFonts w:ascii="MS Gothic" w:hAnsi="MS Gothic" w:eastAsia="MS Gothic" w:cs="MS Gothic"/>
        </w:rPr>
        <w:t>ることを</w:t>
      </w:r>
      <w:r>
        <w:rPr>
          <w:rFonts w:ascii="Microsoft YaHei" w:hAnsi="Microsoft YaHei" w:eastAsia="Microsoft YaHei" w:cs="Microsoft YaHei"/>
        </w:rPr>
        <w:t>妨</w:t>
      </w:r>
      <w:r>
        <w:rPr>
          <w:rFonts w:ascii="MS Gothic" w:hAnsi="MS Gothic" w:eastAsia="MS Gothic" w:cs="MS Gothic"/>
        </w:rPr>
        <w:t>げるであろう</w:t>
      </w:r>
      <w:r>
        <w:rPr>
          <w:rFonts w:ascii="Microsoft YaHei" w:hAnsi="Microsoft YaHei" w:eastAsia="Microsoft YaHei" w:cs="Microsoft YaHei"/>
        </w:rPr>
        <w:t>、</w:t>
      </w:r>
      <w:r>
        <w:rPr>
          <w:rFonts w:ascii="MS Gothic" w:hAnsi="MS Gothic" w:eastAsia="MS Gothic" w:cs="MS Gothic"/>
        </w:rPr>
        <w:t>ということである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Daande cakkitii hakkunde Rooma hethenaa e Rooma paapaawaa, tan e sura ndee annditinaa, Yohaana maa annditinii nde e cakkitii hakkunde ekklesiya Pergamos e ekklesiya Tiyaatira. Pergamos ina waafii e Rooma hethenaa, tee Tiyaatira ko Rooma paapaawaa. Bulus e Yohaana ina ndokkan seedeeji ɗiɗi e cakkitii hakkunde baawɗe ɗen ɗiɗi, no deftere Daniyeela maa waɗiri non.</w:t>
      </w:r>
    </w:p>
    <w:p>
      <w:pPr>
        <w:pStyle w:val="ArticleBody"/>
        <w:jc w:val="left"/>
      </w:pPr>
      <w:r>
        <w:rPr>
          <w:rFonts w:ascii="Times New Roman" w:hAnsi="Times New Roman" w:eastAsia="Times New Roman" w:cs="Times New Roman"/>
        </w:rPr>
        <w:t>Ndani ya kitabu cha Danieli, uhusiano wa Rumi ya kipagani na Rumi ya kipapa unawekwa wazi mara kwa mara. Katika Danieli 2, unaonyeshwa kwa mchanganyiko wa chuma na udongo wa tope. Katika Danieli 7, Rumi ya kipagani na Rumi ya kipapa zote mbili ni falme “zilizo tofauti”; na ingawa Danieli 2 inaonyesha mamlaka hizo mbili kama mchanganyiko, sura ya 7 hutambulisha kwamba mamlaka ya kipapa hutokea kutoka katika ufalme wa pembe kumi wa Rumi ya kipagani. Katika Danieli 8, pembe ndogo ya aya ya 9 hadi 12 ni Rumi katika hatua zake zote mbili. Aya ya 9 na 11 zinaitaja pembe ndogo katika jinsia ya kiume, hivyo kuitambulisha Rumi ya kipagani, na aya ya 10 na 12 zinaitaja pembe ndogo katika jinsia ya kike, hivyo kuitambulisha Rumi ya kipapa.</w:t>
      </w:r>
    </w:p>
    <w:p>
      <w:pPr>
        <w:pStyle w:val="ArticleBody"/>
        <w:jc w:val="left"/>
      </w:pPr>
      <w:r>
        <w:rPr>
          <w:rFonts w:ascii="Times New Roman" w:hAnsi="Times New Roman" w:eastAsia="Times New Roman" w:cs="Times New Roman"/>
        </w:rPr>
        <w:t>Dans Daniel, chapitre huit, verset treize, la Rome païenne et la Rome papale sont dépeintes comme deux puissances dévastatrices. La Rome païenne est la puissance dévastatrice du « perpétuel », et la Rome papale est la transgression dévastatrice. Au chapitre onze, verset trente et un, la puissance dévastatrice du « perpétuel » de la Rome païenne établit la puissance dévastatrice de l’abomination, qui est la puissance papale. Au chapitre douze, verset onze, la puissance dévastatrice du « perpétuel » de la Rome païenne est ôtée afin d’établir la puissance dévastatrice de l’abomination de la papauté.</w:t>
      </w:r>
    </w:p>
    <w:p>
      <w:pPr>
        <w:pStyle w:val="ArticleBody"/>
        <w:jc w:val="left"/>
      </w:pPr>
      <w:r>
        <w:rPr>
          <w:rFonts w:ascii="Times New Roman" w:hAnsi="Times New Roman" w:eastAsia="Times New Roman" w:cs="Times New Roman"/>
        </w:rPr>
        <w:t>Sosii aanganyoo ammu humna diigumsaa Roomaa lamaanii bu’uura kitaabota Daani’elii fi Mul’ataa keessaa isa guddaa ta’eedha; hariiroo sana immoo Phaawulos akka nama tokko soba amanuudhaan jallina cimaa irratti bu’u irraa of qusachuuf dhugaa jaallachuu qabuutti ibsa. Waaqayyo gonkumaa irra deddeebii hin qabu; fakkeenyi kamiyyuu hariiroo Roomaa warraaqsaa fi Roomaa paappaasummaa gidduu jiru irratti dhiyaatu, dhimma kana irratti dhuga-baatummaa addaa ofii isaa qaba. Garuu mallattoo Roomaa kan guyyoota dhumaa keessatti dhiyaatu yoo namni tokko didde, bokkaa boodaa ni dida; iddoo isaa immoo jallina cimaa ni fudhata. Kunis akka Laa’odiiqeyaa qullaa ta’etti bara baraan beekamuu dha.</w:t>
      </w:r>
    </w:p>
    <w:p>
      <w:pPr>
        <w:pStyle w:val="ArticleBody"/>
        <w:jc w:val="left"/>
      </w:pPr>
      <w:r>
        <w:rPr>
          <w:rFonts w:ascii="Times New Roman" w:hAnsi="Times New Roman" w:eastAsia="Times New Roman" w:cs="Times New Roman"/>
        </w:rPr>
        <w:t>Les historiens adventistes laodicéens, bien qu’ils ne manifestent aucun respect sacré pour le rôle et l’œuvre de William Miller, reconnaissent néanmoins que ce fut sa compréhension du rapport entre la Rome païenne et la Rome papale qui constitua la structure prophétique sur laquelle il bâtit « toutes » ses applications prophétiques. Gabriel et les autres anges conduisirent Miller à comprendre le rapport entre la Rome païenne et la Rome papale, mais, dans son étude de l’histoire, il ne vit pas Rome comme une entité triple composée du dragon, de la bête et du faux prophète.</w:t>
      </w:r>
    </w:p>
    <w:p>
      <w:pPr>
        <w:pStyle w:val="ArticleBody"/>
        <w:jc w:val="left"/>
      </w:pPr>
      <w:r>
        <w:rPr>
          <w:rFonts w:ascii="Times New Roman" w:hAnsi="Times New Roman" w:eastAsia="Times New Roman" w:cs="Times New Roman"/>
        </w:rPr>
        <w:t>Ni lui e a vakaitavi mada na Iunaiteki Siteiti ena nona itavi me parofita lasu, ni ra a sega ni yaco na Porotesano ni Iunaiteki Siteiti me ra luve-ni-gone ni Roma me yacova na 1844, ka sa tu oti e na sireti ni 1843 na cakacaka vakatevoro ni iVakatakila nei Miller, ka a tabaki e na Me ni 1842.</w:t>
      </w:r>
    </w:p>
    <w:p>
      <w:pPr>
        <w:pStyle w:val="ArticleBody"/>
        <w:jc w:val="left"/>
      </w:pPr>
      <w:r>
        <w:rPr>
          <w:rFonts w:ascii="Times New Roman" w:hAnsi="Times New Roman" w:eastAsia="Times New Roman" w:cs="Times New Roman"/>
        </w:rPr>
        <w:t>En 1989, los últimos seis versículos de Daniel capítulo once fueron desellados, y el mensajero para aquel período de tiempo reconoció que había tres poderes cuyas actividades proféticas se extienden a través de los versículos cuarenta al cuarenta y cinco del capítulo once. El rey del sur en el versículo cuarenta es el poder del dragón; el rey del norte es el poder papal, que al comienzo del versículo, en 1798, había recibido su herida mortal a manos del poder del dragón de la Francia napoleónica. En el versículo, el poder papal comienza la obra de sanar su herida mortal. En 1989, el rey del norte toma represalias contra el poder del dragón de la Unión Soviética, que entonces había llegado a ser el rey del sur. Cuando la bestia del catolicismo tomó represalias contra la Unión Soviética, vino con el ejército intermediario de los Estados Unidos, el falso profeta de Apocalipsis capítulo dieciséis. El rey dragón del sur, el rey bestia del norte y el falso profeta de carros, jinetes y naves, todos están ilustrados en el versículo cuarenta, y la línea profética termina en el versículo cuarenta y cinco, cuando el poder papal “llega a su fin, y no tendrá quien le ayude”.</w:t>
      </w:r>
    </w:p>
    <w:p>
      <w:pPr>
        <w:pStyle w:val="ArticleBody"/>
        <w:jc w:val="left"/>
      </w:pPr>
      <w:r>
        <w:rPr>
          <w:rFonts w:ascii="Times New Roman" w:hAnsi="Times New Roman" w:eastAsia="Times New Roman" w:cs="Times New Roman"/>
        </w:rPr>
        <w:t>Armageddon, in Revelation sixteen is a symbolic geographical area identifying the rebellion of mankind that precedes the return of Christ. Armageddon est un symbole; le mot est formé de deux termes, « Har », signifiant montagne, et « Megiddo », qui est la vallée de Jizreel. Le fait que Jean ait associé une montagne à Megiddo, alors que Megiddo est une vallée, indique à l’étudiant de la prophétie qu’Armageddon est un symbole comportant une référence géographique, car il n’y a pas de montagne dans la vallée de Jizreel.</w:t>
      </w:r>
    </w:p>
    <w:p>
      <w:pPr>
        <w:pStyle w:val="ArticleBody"/>
        <w:jc w:val="left"/>
      </w:pPr>
      <w:r>
        <w:rPr>
          <w:rFonts w:ascii="Times New Roman" w:hAnsi="Times New Roman" w:eastAsia="Times New Roman" w:cs="Times New Roman"/>
        </w:rPr>
        <w:t>Езреелската долина се намира между трите морета (Средиземно море, Галилейско море и Мъртво море) и Йерусалим. Тя е сравнително централно разположена в северен Израил, като тези три водни басейна и Йерусалим се намират около нея в различни посоки. Четиридесет и пети стих на Даниил единадесета глава е мястото, където северният цар достига своя край, без никой да му помогне, и стихът определя географския край на неговото господство като между моретата и славната свята планина на Йерусалим. Четиридесети стих на Даниил единадесета глава въвежда трите сили, които са предмет на изцеляването на смъртоносната рана на папската власт и на нейния окончателен край.</w:t>
      </w:r>
    </w:p>
    <w:p>
      <w:pPr>
        <w:pStyle w:val="ArticleBody"/>
        <w:jc w:val="left"/>
      </w:pPr>
      <w:r>
        <w:rPr>
          <w:rFonts w:ascii="Times New Roman" w:hAnsi="Times New Roman" w:eastAsia="Times New Roman" w:cs="Times New Roman"/>
        </w:rPr>
        <w:t>Ang unang parirala ng mga talata ay tumutukoy sa panahon ng kawakasan noong 1798, nang tanggapin ng kapapahan ang nakamamatay nitong sugat, at ang talata apatnapu’t lima ay tumutukoy sa permanente nitong nakamamatay na sugat. Ang makahulang kasaysayan sa pagitan ng una at huling kamatayan ng kapangyarihang papal ay nagpapakilala sa paghihimagsik ng sangkatauhan habang kanilang ibinabalik ang pangingibabaw ng kapangyarihang papal, kapag ang nakamamatay nitong sugat ay pinagagaling bago ang ganap na pagkapahamak ng kapangyarihang papal. Taglay ng anim na talata ang tatak ng katotohanan, sapagkat ang simula at wakas ay kapuwa kamatayan ng kapangyarihang papal, at ang mga talata sa gitna ay ang paghihimagsik ng sangkatauhan habang ang unang nakamamatay na sugat ay pinagagaling.</w:t>
      </w:r>
    </w:p>
    <w:p>
      <w:pPr>
        <w:pStyle w:val="ArticleBody"/>
        <w:jc w:val="left"/>
      </w:pPr>
      <w:r>
        <w:rPr>
          <w:rFonts w:ascii="Times New Roman" w:hAnsi="Times New Roman" w:eastAsia="Times New Roman" w:cs="Times New Roman"/>
        </w:rPr>
        <w:t>Миллеру был дан свет от небесных ангелов относительно взаимосвязи языческого и папского Рима. Ключом к пониманию Миллером пророческой модели, которую он применял во всех своих пророческих истолкованиях, было «ежедневное» во Втором послании к Фессалоникийцам. «Ежедневное» в той главе — это языческий Рим, и именно это утвердило видение, которое Уильям Миллер пришёл к пониманию; ибо именно Рим, грабители народа твоего в четырнадцатом стихе одиннадцатой главы, утверждает видение.</w:t>
      </w:r>
    </w:p>
    <w:p>
      <w:pPr>
        <w:pStyle w:val="ArticleBody"/>
        <w:jc w:val="left"/>
      </w:pPr>
      <w:r>
        <w:rPr>
          <w:rFonts w:ascii="Times New Roman" w:hAnsi="Times New Roman" w:eastAsia="Times New Roman" w:cs="Times New Roman"/>
        </w:rPr>
        <w:t>Die in 1989 erweckte Botenperson, um die Zunahme der Erkenntnis zu verstehen, gelangte zum Verständnis der dreifachen Natur Roms. Miller war der Bote des ersten und des zweiten Engels, und er verstand die erste und die zweite Erscheinungsform Roms, um die Vision zu begründen, die er der Welt vorlegte. Der Bote des dritten Engels gelangte zum Verständnis aller drei Erscheinungsformen Roms, um die Vision zu begründen, die ihm gegeben wurde, der Welt zu verkündigen.</w:t>
      </w:r>
    </w:p>
    <w:p>
      <w:pPr>
        <w:pStyle w:val="ArticleBody"/>
        <w:jc w:val="left"/>
      </w:pPr>
      <w:r>
        <w:rPr>
          <w:rFonts w:ascii="Times New Roman" w:hAnsi="Times New Roman" w:eastAsia="Times New Roman" w:cs="Times New Roman"/>
        </w:rPr>
        <w:t>La première manifestation de Rome fut la Rome païenne. De la Rome païenne est issue la Rome papale, la deuxième manifestation. Des deux premières manifestations est issue la Rome moderne, la triple alliance du dragon, de la bête et du faux prophète.</w:t>
      </w:r>
    </w:p>
    <w:p>
      <w:pPr>
        <w:pStyle w:val="ArticleBody"/>
        <w:jc w:val="left"/>
      </w:pPr>
      <w:r>
        <w:rPr>
          <w:rFonts w:ascii="Times New Roman" w:hAnsi="Times New Roman" w:eastAsia="Times New Roman" w:cs="Times New Roman"/>
        </w:rPr>
        <w:t>Nous poursuivrons, dans le prochain article, le fil de la controverse au sujet du « perpétuel » dans l’histoire adventiste.</w:t>
      </w:r>
    </w:p>
    <w:p>
      <w:pPr>
        <w:pStyle w:val="ArticleScripture"/>
        <w:jc w:val="left"/>
      </w:pPr>
      <w:r>
        <w:rPr>
          <w:rFonts w:ascii="Times New Roman" w:hAnsi="Times New Roman" w:eastAsia="Times New Roman" w:cs="Times New Roman"/>
        </w:rPr>
        <w:t>“</w:t>
      </w:r>
      <w:r>
        <w:rPr>
          <w:rFonts w:ascii="Nirmala UI" w:hAnsi="Nirmala UI" w:eastAsia="Nirmala UI" w:cs="Nirmala UI"/>
        </w:rPr>
        <w:t>ඉහළින්</w:t>
      </w:r>
      <w:r>
        <w:rPr>
          <w:rFonts w:ascii="Times New Roman" w:hAnsi="Times New Roman" w:eastAsia="Times New Roman" w:cs="Times New Roman"/>
        </w:rPr>
        <w:t xml:space="preserve"> </w:t>
      </w:r>
      <w:r>
        <w:rPr>
          <w:rFonts w:ascii="Nirmala UI" w:hAnsi="Nirmala UI" w:eastAsia="Nirmala UI" w:cs="Nirmala UI"/>
        </w:rPr>
        <w:t>පෙනෙන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යයන්ගේ</w:t>
      </w:r>
      <w:r>
        <w:rPr>
          <w:rFonts w:ascii="Times New Roman" w:hAnsi="Times New Roman" w:eastAsia="Times New Roman" w:cs="Times New Roman"/>
        </w:rPr>
        <w:t xml:space="preserve"> </w:t>
      </w:r>
      <w:r>
        <w:rPr>
          <w:rFonts w:ascii="Nirmala UI" w:hAnsi="Nirmala UI" w:eastAsia="Nirmala UI" w:cs="Nirmala UI"/>
        </w:rPr>
        <w:t>හෘදයන්</w:t>
      </w:r>
      <w:r>
        <w:rPr>
          <w:rFonts w:ascii="Times New Roman" w:hAnsi="Times New Roman" w:eastAsia="Times New Roman" w:cs="Times New Roman"/>
        </w:rPr>
        <w:t xml:space="preserve"> </w:t>
      </w:r>
      <w:r>
        <w:rPr>
          <w:rFonts w:ascii="Nirmala UI" w:hAnsi="Nirmala UI" w:eastAsia="Nirmala UI" w:cs="Nirmala UI"/>
        </w:rPr>
        <w:t>කියවන්නා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තැනැත්තා</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පවසයි</w:t>
      </w:r>
      <w:r>
        <w:rPr>
          <w:rFonts w:ascii="Times New Roman" w:hAnsi="Times New Roman" w:eastAsia="Times New Roman" w:cs="Times New Roman"/>
        </w:rPr>
        <w:t>: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නෛතික</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ආත්මික</w:t>
      </w:r>
      <w:r>
        <w:rPr>
          <w:rFonts w:ascii="Times New Roman" w:hAnsi="Times New Roman" w:eastAsia="Times New Roman" w:cs="Times New Roman"/>
        </w:rPr>
        <w:t xml:space="preserve"> </w:t>
      </w:r>
      <w:r>
        <w:rPr>
          <w:rFonts w:ascii="Nirmala UI" w:hAnsi="Nirmala UI" w:eastAsia="Nirmala UI" w:cs="Nirmala UI"/>
        </w:rPr>
        <w:t>තත්ත්වය</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පීඩිතද</w:t>
      </w:r>
      <w:r>
        <w:rPr>
          <w:rFonts w:ascii="Times New Roman" w:hAnsi="Times New Roman" w:eastAsia="Times New Roman" w:cs="Times New Roman"/>
        </w:rPr>
        <w:t xml:space="preserve"> </w:t>
      </w:r>
      <w:r>
        <w:rPr>
          <w:rFonts w:ascii="Nirmala UI" w:hAnsi="Nirmala UI" w:eastAsia="Nirmala UI" w:cs="Nirmala UI"/>
        </w:rPr>
        <w:t>විස්මිතද</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එසේය</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තමන්ගේම</w:t>
      </w:r>
      <w:r>
        <w:rPr>
          <w:rFonts w:ascii="Times New Roman" w:hAnsi="Times New Roman" w:eastAsia="Times New Roman" w:cs="Times New Roman"/>
        </w:rPr>
        <w:t xml:space="preserve"> </w:t>
      </w:r>
      <w:r>
        <w:rPr>
          <w:rFonts w:ascii="Nirmala UI" w:hAnsi="Nirmala UI" w:eastAsia="Nirmala UI" w:cs="Nirmala UI"/>
        </w:rPr>
        <w:t>මාර්ග</w:t>
      </w:r>
      <w:r>
        <w:rPr>
          <w:rFonts w:ascii="Times New Roman" w:hAnsi="Times New Roman" w:eastAsia="Times New Roman" w:cs="Times New Roman"/>
        </w:rPr>
        <w:t xml:space="preserve"> </w:t>
      </w:r>
      <w:r>
        <w:rPr>
          <w:rFonts w:ascii="Nirmala UI" w:hAnsi="Nirmala UI" w:eastAsia="Nirmala UI" w:cs="Nirmala UI"/>
        </w:rPr>
        <w:t>තෝරාගෙන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ආත්මය</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අපවිත්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w:t>
      </w:r>
      <w:r>
        <w:rPr>
          <w:rFonts w:ascii="Nirmala UI" w:hAnsi="Nirmala UI" w:eastAsia="Nirmala UI" w:cs="Nirmala UI"/>
        </w:rPr>
        <w:t>මමද</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මෝහයන්</w:t>
      </w:r>
      <w:r>
        <w:rPr>
          <w:rFonts w:ascii="Times New Roman" w:hAnsi="Times New Roman" w:eastAsia="Times New Roman" w:cs="Times New Roman"/>
        </w:rPr>
        <w:t xml:space="preserve"> </w:t>
      </w:r>
      <w:r>
        <w:rPr>
          <w:rFonts w:ascii="Nirmala UI" w:hAnsi="Nirmala UI" w:eastAsia="Nirmala UI" w:cs="Nirmala UI"/>
        </w:rPr>
        <w:t>තෝරාගන්නෙමි</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බියවන්නාවූ</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පිටට</w:t>
      </w:r>
      <w:r>
        <w:rPr>
          <w:rFonts w:ascii="Times New Roman" w:hAnsi="Times New Roman" w:eastAsia="Times New Roman" w:cs="Times New Roman"/>
        </w:rPr>
        <w:t xml:space="preserve"> </w:t>
      </w:r>
      <w:r>
        <w:rPr>
          <w:rFonts w:ascii="Nirmala UI" w:hAnsi="Nirmala UI" w:eastAsia="Nirmala UI" w:cs="Nirmala UI"/>
        </w:rPr>
        <w:t>ගෙනෙන්නෙමි</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කැඳවූ</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කිසිවෙක්</w:t>
      </w:r>
      <w:r>
        <w:rPr>
          <w:rFonts w:ascii="Times New Roman" w:hAnsi="Times New Roman" w:eastAsia="Times New Roman" w:cs="Times New Roman"/>
        </w:rPr>
        <w:t xml:space="preserve"> </w:t>
      </w:r>
      <w:r>
        <w:rPr>
          <w:rFonts w:ascii="Nirmala UI" w:hAnsi="Nirmala UI" w:eastAsia="Nirmala UI" w:cs="Nirmala UI"/>
        </w:rPr>
        <w:t>පිළිතුරු</w:t>
      </w:r>
      <w:r>
        <w:rPr>
          <w:rFonts w:ascii="Times New Roman" w:hAnsi="Times New Roman" w:eastAsia="Times New Roman" w:cs="Times New Roman"/>
        </w:rPr>
        <w:t xml:space="preserve"> </w:t>
      </w:r>
      <w:r>
        <w:rPr>
          <w:rFonts w:ascii="Nirmala UI" w:hAnsi="Nirmala UI" w:eastAsia="Nirmala UI" w:cs="Nirmala UI"/>
        </w:rPr>
        <w:t>දුන්නේ</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නොඇසූහ</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ඇස්</w:t>
      </w:r>
      <w:r>
        <w:rPr>
          <w:rFonts w:ascii="Times New Roman" w:hAnsi="Times New Roman" w:eastAsia="Times New Roman" w:cs="Times New Roman"/>
        </w:rPr>
        <w:t xml:space="preserve"> </w:t>
      </w:r>
      <w:r>
        <w:rPr>
          <w:rFonts w:ascii="Nirmala UI" w:hAnsi="Nirmala UI" w:eastAsia="Nirmala UI" w:cs="Nirmala UI"/>
        </w:rPr>
        <w:t>ඉදිරියේ</w:t>
      </w:r>
      <w:r>
        <w:rPr>
          <w:rFonts w:ascii="Times New Roman" w:hAnsi="Times New Roman" w:eastAsia="Times New Roman" w:cs="Times New Roman"/>
        </w:rPr>
        <w:t xml:space="preserve"> </w:t>
      </w:r>
      <w:r>
        <w:rPr>
          <w:rFonts w:ascii="Nirmala UI" w:hAnsi="Nirmala UI" w:eastAsia="Nirmala UI" w:cs="Nirmala UI"/>
        </w:rPr>
        <w:t>නපුර</w:t>
      </w:r>
      <w:r>
        <w:rPr>
          <w:rFonts w:ascii="Times New Roman" w:hAnsi="Times New Roman" w:eastAsia="Times New Roman" w:cs="Times New Roman"/>
        </w:rPr>
        <w:t xml:space="preserve"> </w:t>
      </w:r>
      <w:r>
        <w:rPr>
          <w:rFonts w:ascii="Nirmala UI" w:hAnsi="Nirmala UI" w:eastAsia="Nirmala UI" w:cs="Nirmala UI"/>
        </w:rPr>
        <w:t>කළහ</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xml:space="preserve"> </w:t>
      </w:r>
      <w:r>
        <w:rPr>
          <w:rFonts w:ascii="Nirmala UI" w:hAnsi="Nirmala UI" w:eastAsia="Nirmala UI" w:cs="Nirmala UI"/>
        </w:rPr>
        <w:t>තෝරාගත්හ</w:t>
      </w:r>
      <w:r>
        <w:rPr>
          <w:rFonts w:ascii="Times New Roman" w:hAnsi="Times New Roman" w:eastAsia="Times New Roman" w:cs="Times New Roman"/>
        </w:rPr>
        <w:t>.’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ගැළවීමට</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පිළිගත්තේ</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w:t>
      </w:r>
      <w:r>
        <w:rPr>
          <w:rFonts w:ascii="Nirmala UI" w:hAnsi="Nirmala UI" w:eastAsia="Nirmala UI" w:cs="Nirmala UI"/>
        </w:rPr>
        <w:t>අධර්මිෂ්ඨකම</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සතුටු</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බලවත්</w:t>
      </w:r>
      <w:r>
        <w:rPr>
          <w:rFonts w:ascii="Times New Roman" w:hAnsi="Times New Roman" w:eastAsia="Times New Roman" w:cs="Times New Roman"/>
        </w:rPr>
        <w:t xml:space="preserve"> </w:t>
      </w:r>
      <w:r>
        <w:rPr>
          <w:rFonts w:ascii="Nirmala UI" w:hAnsi="Nirmala UI" w:eastAsia="Nirmala UI" w:cs="Nirmala UI"/>
        </w:rPr>
        <w:t>මෝහයක්</w:t>
      </w:r>
      <w:r>
        <w:rPr>
          <w:rFonts w:ascii="Times New Roman" w:hAnsi="Times New Roman" w:eastAsia="Times New Roman" w:cs="Times New Roman"/>
        </w:rPr>
        <w:t xml:space="preserve"> </w:t>
      </w:r>
      <w:r>
        <w:rPr>
          <w:rFonts w:ascii="Nirmala UI" w:hAnsi="Nirmala UI" w:eastAsia="Nirmala UI" w:cs="Nirmala UI"/>
        </w:rPr>
        <w:t>එවනු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බොරුවක්</w:t>
      </w:r>
      <w:r>
        <w:rPr>
          <w:rFonts w:ascii="Times New Roman" w:hAnsi="Times New Roman" w:eastAsia="Times New Roman" w:cs="Times New Roman"/>
        </w:rPr>
        <w:t xml:space="preserve"> </w:t>
      </w:r>
      <w:r>
        <w:rPr>
          <w:rFonts w:ascii="Nirmala UI" w:hAnsi="Nirmala UI" w:eastAsia="Nirmala UI" w:cs="Nirmala UI"/>
        </w:rPr>
        <w:t>විශ්වාස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පිණිස</w:t>
      </w:r>
      <w:r>
        <w:rPr>
          <w:rFonts w:ascii="Times New Roman" w:hAnsi="Times New Roman" w:eastAsia="Times New Roman" w:cs="Times New Roman"/>
        </w:rPr>
        <w:t xml:space="preserve">.’ </w:t>
      </w:r>
      <w:r>
        <w:rPr>
          <w:rFonts w:ascii="Nirmala UI" w:hAnsi="Nirmala UI" w:eastAsia="Nirmala UI" w:cs="Nirmala UI"/>
        </w:rPr>
        <w:t>යෙසායා</w:t>
      </w:r>
      <w:r>
        <w:rPr>
          <w:rFonts w:ascii="Times New Roman" w:hAnsi="Times New Roman" w:eastAsia="Times New Roman" w:cs="Times New Roman"/>
        </w:rPr>
        <w:t xml:space="preserve"> 66:3, 4; 2 </w:t>
      </w:r>
      <w:r>
        <w:rPr>
          <w:rFonts w:ascii="Nirmala UI" w:hAnsi="Nirmala UI" w:eastAsia="Nirmala UI" w:cs="Nirmala UI"/>
        </w:rPr>
        <w:t>තෙසලෝනික</w:t>
      </w:r>
      <w:r>
        <w:rPr>
          <w:rFonts w:ascii="Times New Roman" w:hAnsi="Times New Roman" w:eastAsia="Times New Roman" w:cs="Times New Roman"/>
        </w:rPr>
        <w:t xml:space="preserve"> 2:11, 10, 12.</w:t>
      </w:r>
    </w:p>
    <w:p>
      <w:pPr>
        <w:pStyle w:val="ArticleScripture"/>
        <w:jc w:val="left"/>
      </w:pPr>
      <w:r>
        <w:rPr>
          <w:rFonts w:ascii="Times New Roman" w:hAnsi="Times New Roman" w:eastAsia="Times New Roman" w:cs="Times New Roman"/>
        </w:rPr>
        <w:t>„In der Himmel Lehrer fragte: ,Welch stärkerer Trug kann den Verstand betören als der Vorwand, daß ihr auf dem rechten Grund baut und daß Gott eure Werke annimmt, während ihr in Wirklichkeit vieles nach weltlicher Klugheit ausführt und gegen Jehova sündigt? O, es ist eine große Täuschung, ein fesselnder Wahn, der von den Gemütern Besitz ergreift, wenn Menschen, die einst die Wahrheit erkannt haben, die Form der Gottseligkeit mit ihrem Geist und ihrer Kraft verwechseln; wenn sie meinen, sie seien reich und hätten Überfluß an Gütern und bedürften nichts, während sie in Wahrheit alles bedürfen.‘“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តាមចំពោះអ្នកបម្រើស្មោះត្រង់របស់ទ្រង់</w:t>
      </w:r>
      <w:r>
        <w:rPr>
          <w:rFonts w:ascii="Times New Roman" w:hAnsi="Times New Roman" w:eastAsia="Times New Roman" w:cs="Times New Roman"/>
        </w:rPr>
        <w:t xml:space="preserve"> </w:t>
      </w:r>
      <w:r>
        <w:rPr>
          <w:rFonts w:ascii="Leelawadee UI" w:hAnsi="Leelawadee UI" w:eastAsia="Leelawadee UI" w:cs="Leelawadee UI"/>
        </w:rPr>
        <w:t>ដែលកំពុងរក្សាសម្លៀកបំពាក់របស់ខ្លួនឲ្យឥតស្នាមប្រឡាក់</w:t>
      </w:r>
      <w:r>
        <w:rPr>
          <w:rFonts w:ascii="Times New Roman" w:hAnsi="Times New Roman" w:eastAsia="Times New Roman" w:cs="Times New Roman"/>
        </w:rPr>
        <w:t xml:space="preserve"> </w:t>
      </w:r>
      <w:r>
        <w:rPr>
          <w:rFonts w:ascii="Leelawadee UI" w:hAnsi="Leelawadee UI" w:eastAsia="Leelawadee UI" w:cs="Leelawadee UI"/>
        </w:rPr>
        <w:t>ព្រះមិនបានផ្លាស់ប្តូរឡើយ។</w:t>
      </w:r>
      <w:r>
        <w:rPr>
          <w:rFonts w:ascii="Times New Roman" w:hAnsi="Times New Roman" w:eastAsia="Times New Roman" w:cs="Times New Roman"/>
        </w:rPr>
        <w:t xml:space="preserve"> </w:t>
      </w:r>
      <w:r>
        <w:rPr>
          <w:rFonts w:ascii="Leelawadee UI" w:hAnsi="Leelawadee UI" w:eastAsia="Leelawadee UI" w:cs="Leelawadee UI"/>
        </w:rPr>
        <w:t>ប៉ុន្តែមនុស្សជាច្រើនកំពុងស្រែកថា</w:t>
      </w:r>
      <w:r>
        <w:rPr>
          <w:rFonts w:ascii="Times New Roman" w:hAnsi="Times New Roman" w:eastAsia="Times New Roman" w:cs="Times New Roman"/>
        </w:rPr>
        <w:t xml:space="preserve"> “</w:t>
      </w:r>
      <w:r>
        <w:rPr>
          <w:rFonts w:ascii="Leelawadee UI" w:hAnsi="Leelawadee UI" w:eastAsia="Leelawadee UI" w:cs="Leelawadee UI"/>
        </w:rPr>
        <w:t>សុខសាន្ត</w:t>
      </w:r>
      <w:r>
        <w:rPr>
          <w:rFonts w:ascii="Times New Roman" w:hAnsi="Times New Roman" w:eastAsia="Times New Roman" w:cs="Times New Roman"/>
        </w:rPr>
        <w:t xml:space="preserve"> </w:t>
      </w:r>
      <w:r>
        <w:rPr>
          <w:rFonts w:ascii="Leelawadee UI" w:hAnsi="Leelawadee UI" w:eastAsia="Leelawadee UI" w:cs="Leelawadee UI"/>
        </w:rPr>
        <w:t>និងសុវត្ថិភាព</w:t>
      </w:r>
      <w:r>
        <w:rPr>
          <w:rFonts w:ascii="Times New Roman" w:hAnsi="Times New Roman" w:eastAsia="Times New Roman" w:cs="Times New Roman"/>
        </w:rPr>
        <w:t xml:space="preserve">” </w:t>
      </w:r>
      <w:r>
        <w:rPr>
          <w:rFonts w:ascii="Leelawadee UI" w:hAnsi="Leelawadee UI" w:eastAsia="Leelawadee UI" w:cs="Leelawadee UI"/>
        </w:rPr>
        <w:t>ខណៈដែលសេចក្តីវិនាសភ្លាមៗកំពុងមកលើពួកគេ។</w:t>
      </w:r>
      <w:r>
        <w:rPr>
          <w:rFonts w:ascii="Times New Roman" w:hAnsi="Times New Roman" w:eastAsia="Times New Roman" w:cs="Times New Roman"/>
        </w:rPr>
        <w:t xml:space="preserve"> </w:t>
      </w:r>
      <w:r>
        <w:rPr>
          <w:rFonts w:ascii="Leelawadee UI" w:hAnsi="Leelawadee UI" w:eastAsia="Leelawadee UI" w:cs="Leelawadee UI"/>
        </w:rPr>
        <w:t>លុះត្រាតែមានការប្រែចិត្តយ៉ាងជ្រាលជ្រៅ</w:t>
      </w:r>
      <w:r>
        <w:rPr>
          <w:rFonts w:ascii="Times New Roman" w:hAnsi="Times New Roman" w:eastAsia="Times New Roman" w:cs="Times New Roman"/>
        </w:rPr>
        <w:t xml:space="preserve"> </w:t>
      </w:r>
      <w:r>
        <w:rPr>
          <w:rFonts w:ascii="Leelawadee UI" w:hAnsi="Leelawadee UI" w:eastAsia="Leelawadee UI" w:cs="Leelawadee UI"/>
        </w:rPr>
        <w:t>លុះត្រាតែមនុស្សបន្ទាបចិត្តរបស់ខ្លួនដោយការសារភាព</w:t>
      </w:r>
      <w:r>
        <w:rPr>
          <w:rFonts w:ascii="Times New Roman" w:hAnsi="Times New Roman" w:eastAsia="Times New Roman" w:cs="Times New Roman"/>
        </w:rPr>
        <w:t xml:space="preserve"> </w:t>
      </w:r>
      <w:r>
        <w:rPr>
          <w:rFonts w:ascii="Leelawadee UI" w:hAnsi="Leelawadee UI" w:eastAsia="Leelawadee UI" w:cs="Leelawadee UI"/>
        </w:rPr>
        <w:t>ហើយទទួលយកសេចក្តីពិតដូចដែលវាមាននៅក្នុងព្រះយេស៊ូវ</w:t>
      </w:r>
      <w:r>
        <w:rPr>
          <w:rFonts w:ascii="Times New Roman" w:hAnsi="Times New Roman" w:eastAsia="Times New Roman" w:cs="Times New Roman"/>
        </w:rPr>
        <w:t xml:space="preserve"> </w:t>
      </w:r>
      <w:r>
        <w:rPr>
          <w:rFonts w:ascii="Leelawadee UI" w:hAnsi="Leelawadee UI" w:eastAsia="Leelawadee UI" w:cs="Leelawadee UI"/>
        </w:rPr>
        <w:t>ពួកគេនឹងមិនអាចចូលនគរស្ថានសួគ៌បានឡើយ។</w:t>
      </w:r>
      <w:r>
        <w:rPr>
          <w:rFonts w:ascii="Times New Roman" w:hAnsi="Times New Roman" w:eastAsia="Times New Roman" w:cs="Times New Roman"/>
        </w:rPr>
        <w:t xml:space="preserve"> </w:t>
      </w:r>
      <w:r>
        <w:rPr>
          <w:rFonts w:ascii="Leelawadee UI" w:hAnsi="Leelawadee UI" w:eastAsia="Leelawadee UI" w:cs="Leelawadee UI"/>
        </w:rPr>
        <w:t>នៅពេលការសម្អាតបរិសុទ្ធកើតមានឡើងនៅក្នុងជួររបស់យើង</w:t>
      </w:r>
      <w:r>
        <w:rPr>
          <w:rFonts w:ascii="Times New Roman" w:hAnsi="Times New Roman" w:eastAsia="Times New Roman" w:cs="Times New Roman"/>
        </w:rPr>
        <w:t xml:space="preserve"> </w:t>
      </w:r>
      <w:r>
        <w:rPr>
          <w:rFonts w:ascii="Leelawadee UI" w:hAnsi="Leelawadee UI" w:eastAsia="Leelawadee UI" w:cs="Leelawadee UI"/>
        </w:rPr>
        <w:t>នោះយើងនឹងមិនសម្រាកដោយអារម្មណ៍សុខសាន្តទៀតឡើយ</w:t>
      </w:r>
      <w:r>
        <w:rPr>
          <w:rFonts w:ascii="Times New Roman" w:hAnsi="Times New Roman" w:eastAsia="Times New Roman" w:cs="Times New Roman"/>
        </w:rPr>
        <w:t xml:space="preserve"> </w:t>
      </w:r>
      <w:r>
        <w:rPr>
          <w:rFonts w:ascii="Leelawadee UI" w:hAnsi="Leelawadee UI" w:eastAsia="Leelawadee UI" w:cs="Leelawadee UI"/>
        </w:rPr>
        <w:t>ទាំងអួតអាងថាខ្លួនមានទ្រព្យសម្បត្តិ</w:t>
      </w:r>
      <w:r>
        <w:rPr>
          <w:rFonts w:ascii="Times New Roman" w:hAnsi="Times New Roman" w:eastAsia="Times New Roman" w:cs="Times New Roman"/>
        </w:rPr>
        <w:t xml:space="preserve"> </w:t>
      </w:r>
      <w:r>
        <w:rPr>
          <w:rFonts w:ascii="Leelawadee UI" w:hAnsi="Leelawadee UI" w:eastAsia="Leelawadee UI" w:cs="Leelawadee UI"/>
        </w:rPr>
        <w:t>មានសម្បូរបែបនៃរបស់របរ</w:t>
      </w:r>
      <w:r>
        <w:rPr>
          <w:rFonts w:ascii="Times New Roman" w:hAnsi="Times New Roman" w:eastAsia="Times New Roman" w:cs="Times New Roman"/>
        </w:rPr>
        <w:t xml:space="preserve"> </w:t>
      </w:r>
      <w:r>
        <w:rPr>
          <w:rFonts w:ascii="Leelawadee UI" w:hAnsi="Leelawadee UI" w:eastAsia="Leelawadee UI" w:cs="Leelawadee UI"/>
        </w:rPr>
        <w:t>ហើយមិនខ្វះអ្វីសោះ។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“Cine poate spune cu adevărat: ‘Aurul nostru este încercat în foc; veșmintele noastre sunt nepătate de lume’? L-am văzut pe Instructorul nostru arătând spre veșmintele așa-zisei neprihăniri. Dezbrăcându-le, El a dat pe față întinăciunea de dedesubt. Apoi mi-a spus: ‘Nu poți vedea cum și-au acoperit în chip prefăcut întinăciunea și putreziciunea caracterului? «Cum a ajuns cetatea credincioasă o curvă!» Casa Tatălui Meu a fost făcută o casă de negustorie, un loc de unde prezența și slava divină au plecat! Din această pricină este slăbiciune și puterea lipsește.’” Testimonies, volumul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रोम दर्शन स्थापित करता है — संख्या आठ</dc:title>
  <dc:subject>Temelleri Kumdan: Laodikya Adventizmi’nde Peygamberlik Gerçeğinin Reddedilişi</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