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रोम</w:t>
      </w:r>
      <w:r>
        <w:rPr>
          <w:rFonts w:ascii="Arial" w:hAnsi="Arial" w:eastAsia="Arial" w:cs="Arial"/>
        </w:rPr>
        <w:t xml:space="preserve"> </w:t>
      </w:r>
      <w:r>
        <w:rPr>
          <w:rFonts w:ascii="Nirmala UI" w:hAnsi="Nirmala UI" w:eastAsia="Nirmala UI" w:cs="Nirmala UI"/>
        </w:rPr>
        <w:t>दर्शन</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स्थापित</w:t>
      </w:r>
      <w:r>
        <w:rPr>
          <w:rFonts w:ascii="Arial" w:hAnsi="Arial" w:eastAsia="Arial" w:cs="Arial"/>
        </w:rPr>
        <w:t xml:space="preserve"> </w:t>
      </w:r>
      <w:r>
        <w:rPr>
          <w:rFonts w:ascii="Nirmala UI" w:hAnsi="Nirmala UI" w:eastAsia="Nirmala UI" w:cs="Nirmala UI"/>
        </w:rPr>
        <w:t>करता</w:t>
      </w:r>
      <w:r>
        <w:rPr>
          <w:rFonts w:ascii="Arial" w:hAnsi="Arial" w:eastAsia="Arial" w:cs="Arial"/>
        </w:rPr>
        <w:t xml:space="preserve"> </w:t>
      </w:r>
      <w:r>
        <w:rPr>
          <w:rFonts w:ascii="Nirmala UI" w:hAnsi="Nirmala UI" w:eastAsia="Nirmala UI" w:cs="Nirmala UI"/>
        </w:rPr>
        <w:t>है</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दस</w:t>
      </w:r>
    </w:p>
    <w:p>
      <w:pPr>
        <w:pStyle w:val="ArticleSubtitle"/>
        <w:jc w:val="left"/>
      </w:pPr>
      <w:r>
        <w:rPr>
          <w:rFonts w:ascii="Nirmala UI" w:hAnsi="Nirmala UI" w:eastAsia="Nirmala UI" w:cs="Nirmala UI"/>
        </w:rPr>
        <w:t>अंतिम</w:t>
      </w:r>
      <w:r>
        <w:rPr>
          <w:rFonts w:ascii="Arial" w:hAnsi="Arial" w:eastAsia="Arial" w:cs="Arial"/>
        </w:rPr>
        <w:t xml:space="preserve"> </w:t>
      </w:r>
      <w:r>
        <w:rPr>
          <w:rFonts w:ascii="Nirmala UI" w:hAnsi="Nirmala UI" w:eastAsia="Nirmala UI" w:cs="Nirmala UI"/>
        </w:rPr>
        <w:t>विवाद</w:t>
      </w:r>
      <w:r>
        <w:rPr>
          <w:rFonts w:ascii="Arial" w:hAnsi="Arial" w:eastAsia="Arial" w:cs="Arial"/>
        </w:rPr>
        <w:t xml:space="preserve">: </w:t>
      </w:r>
      <w:r>
        <w:rPr>
          <w:rFonts w:ascii="Nirmala UI" w:hAnsi="Nirmala UI" w:eastAsia="Nirmala UI" w:cs="Nirmala UI"/>
        </w:rPr>
        <w:t>योएल</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w:t>
      </w:r>
      <w:r>
        <w:rPr>
          <w:rFonts w:ascii="Nirmala UI" w:hAnsi="Nirmala UI" w:eastAsia="Nirmala UI" w:cs="Nirmala UI"/>
        </w:rPr>
        <w:t>न्यूयॉर्क</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पतन</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एडवेंट</w:t>
      </w:r>
      <w:r>
        <w:rPr>
          <w:rFonts w:ascii="Arial" w:hAnsi="Arial" w:eastAsia="Arial" w:cs="Arial"/>
        </w:rPr>
        <w:t xml:space="preserve"> </w:t>
      </w:r>
      <w:r>
        <w:rPr>
          <w:rFonts w:ascii="Nirmala UI" w:hAnsi="Nirmala UI" w:eastAsia="Nirmala UI" w:cs="Nirmala UI"/>
        </w:rPr>
        <w:t>इतिहास</w:t>
      </w:r>
      <w:r>
        <w:rPr>
          <w:rFonts w:ascii="Arial" w:hAnsi="Arial" w:eastAsia="Arial" w:cs="Arial"/>
        </w:rPr>
        <w:t xml:space="preserve"> </w:t>
      </w:r>
      <w:r>
        <w:rPr>
          <w:rFonts w:ascii="Nirmala UI" w:hAnsi="Nirmala UI" w:eastAsia="Nirmala UI" w:cs="Nirmala UI"/>
        </w:rPr>
        <w:t>में</w:t>
      </w:r>
      <w:r>
        <w:rPr>
          <w:rFonts w:ascii="Arial" w:hAnsi="Arial" w:eastAsia="Arial" w:cs="Arial"/>
        </w:rPr>
        <w:t xml:space="preserve"> </w:t>
      </w:r>
      <w:r>
        <w:rPr>
          <w:rFonts w:ascii="Nirmala UI" w:hAnsi="Nirmala UI" w:eastAsia="Nirmala UI" w:cs="Nirmala UI"/>
        </w:rPr>
        <w:t>रोम</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प्रतीक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La controverse finale que je souhaite mettre en relation avec les autres arguments historiques concernant le symbole de Rome dans l’histoire adventiste est le livre de Joël. Cette controverse eut lieu après le 11 septembre 2001, et, sans tenir compte des circonstances de cette période, quelques points subtils pourraient fort bien échapper. Pour replacer ces circonstances dans leur contexte, il faut considérer l’histoire millérite. Le 11 août 1840, la prophétie de temps d’Apocalypse, chapitre neuf, verset quinze, s’accomplit.</w:t>
      </w:r>
    </w:p>
    <w:p>
      <w:pPr>
        <w:pStyle w:val="ArticleScripture"/>
        <w:jc w:val="left"/>
      </w:pP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놓였으니</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사람의</w:t>
      </w:r>
      <w:r>
        <w:rPr>
          <w:rFonts w:ascii="Times New Roman" w:hAnsi="Times New Roman" w:eastAsia="Times New Roman" w:cs="Times New Roman"/>
        </w:rPr>
        <w:t xml:space="preserve"> </w:t>
      </w:r>
      <w:r>
        <w:rPr>
          <w:rFonts w:ascii="Malgun Gothic" w:hAnsi="Malgun Gothic" w:eastAsia="Malgun Gothic" w:cs="Malgun Gothic"/>
        </w:rPr>
        <w:t>삼분의</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죽이기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달과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해를</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예비된</w:t>
      </w:r>
      <w:r>
        <w:rPr>
          <w:rFonts w:ascii="Times New Roman" w:hAnsi="Times New Roman" w:eastAsia="Times New Roman" w:cs="Times New Roman"/>
        </w:rPr>
        <w:t xml:space="preserve"> </w:t>
      </w:r>
      <w:r>
        <w:rPr>
          <w:rFonts w:ascii="Malgun Gothic" w:hAnsi="Malgun Gothic" w:eastAsia="Malgun Gothic" w:cs="Malgun Gothic"/>
        </w:rPr>
        <w:t>자들이더라</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9:15.</w:t>
      </w:r>
    </w:p>
    <w:p>
      <w:pPr>
        <w:pStyle w:val="ArticleBody"/>
        <w:jc w:val="left"/>
      </w:pPr>
      <w:r>
        <w:rPr>
          <w:rFonts w:ascii="Leelawadee UI" w:hAnsi="Leelawadee UI" w:eastAsia="Leelawadee UI" w:cs="Leelawadee UI"/>
        </w:rPr>
        <w:t>ข้อพระคัมภีร์นี้ระบุว่า</w:t>
      </w:r>
      <w:r>
        <w:rPr>
          <w:rFonts w:ascii="Times New Roman" w:hAnsi="Times New Roman" w:eastAsia="Times New Roman" w:cs="Times New Roman"/>
        </w:rPr>
        <w:t xml:space="preserve"> “</w:t>
      </w:r>
      <w:r>
        <w:rPr>
          <w:rFonts w:ascii="Leelawadee UI" w:hAnsi="Leelawadee UI" w:eastAsia="Leelawadee UI" w:cs="Leelawadee UI"/>
        </w:rPr>
        <w:t>ชั่วโมงหนึ่ง</w:t>
      </w:r>
      <w:r>
        <w:rPr>
          <w:rFonts w:ascii="Times New Roman" w:hAnsi="Times New Roman" w:eastAsia="Times New Roman" w:cs="Times New Roman"/>
        </w:rPr>
        <w:t xml:space="preserve"> </w:t>
      </w:r>
      <w:r>
        <w:rPr>
          <w:rFonts w:ascii="Leelawadee UI" w:hAnsi="Leelawadee UI" w:eastAsia="Leelawadee UI" w:cs="Leelawadee UI"/>
        </w:rPr>
        <w:t>วันหนึ่ง</w:t>
      </w:r>
      <w:r>
        <w:rPr>
          <w:rFonts w:ascii="Times New Roman" w:hAnsi="Times New Roman" w:eastAsia="Times New Roman" w:cs="Times New Roman"/>
        </w:rPr>
        <w:t xml:space="preserve"> </w:t>
      </w:r>
      <w:r>
        <w:rPr>
          <w:rFonts w:ascii="Leelawadee UI" w:hAnsi="Leelawadee UI" w:eastAsia="Leelawadee UI" w:cs="Leelawadee UI"/>
        </w:rPr>
        <w:t>เดือนหนึ่ง</w:t>
      </w:r>
      <w:r>
        <w:rPr>
          <w:rFonts w:ascii="Times New Roman" w:hAnsi="Times New Roman" w:eastAsia="Times New Roman" w:cs="Times New Roman"/>
        </w:rPr>
        <w:t xml:space="preserve"> </w:t>
      </w:r>
      <w:r>
        <w:rPr>
          <w:rFonts w:ascii="Leelawadee UI" w:hAnsi="Leelawadee UI" w:eastAsia="Leelawadee UI" w:cs="Leelawadee UI"/>
        </w:rPr>
        <w:t>และปีหนึ่ง</w:t>
      </w:r>
      <w:r>
        <w:rPr>
          <w:rFonts w:ascii="Times New Roman" w:hAnsi="Times New Roman" w:eastAsia="Times New Roman" w:cs="Times New Roman"/>
        </w:rPr>
        <w:t xml:space="preserve">” </w:t>
      </w:r>
      <w:r>
        <w:rPr>
          <w:rFonts w:ascii="Leelawadee UI" w:hAnsi="Leelawadee UI" w:eastAsia="Leelawadee UI" w:cs="Leelawadee UI"/>
        </w:rPr>
        <w:t>เท่ากับสามร้อยเก้าสิบเอ็ดปีสิบห้าวัน</w:t>
      </w:r>
      <w:r>
        <w:rPr>
          <w:rFonts w:ascii="Times New Roman" w:hAnsi="Times New Roman" w:eastAsia="Times New Roman" w:cs="Times New Roman"/>
        </w:rPr>
        <w:t xml:space="preserve"> </w:t>
      </w:r>
      <w:r>
        <w:rPr>
          <w:rFonts w:ascii="Leelawadee UI" w:hAnsi="Leelawadee UI" w:eastAsia="Leelawadee UI" w:cs="Leelawadee UI"/>
        </w:rPr>
        <w:t>ทูตสวรรค์ทั้งสี่นั้นเป็นสัญลักษณ์ของช่วงเวลาที่อิสลามขึ้นสู่อำนาจและนำสงครามมาต่อสู้กับกรุงโรม</w:t>
      </w:r>
      <w:r>
        <w:rPr>
          <w:rFonts w:ascii="Times New Roman" w:hAnsi="Times New Roman" w:eastAsia="Times New Roman" w:cs="Times New Roman"/>
        </w:rPr>
        <w:t xml:space="preserve"> </w:t>
      </w:r>
      <w:r>
        <w:rPr>
          <w:rFonts w:ascii="Leelawadee UI" w:hAnsi="Leelawadee UI" w:eastAsia="Leelawadee UI" w:cs="Leelawadee UI"/>
        </w:rPr>
        <w:t>โดยเริ่มต้นในวันที่</w:t>
      </w:r>
      <w:r>
        <w:rPr>
          <w:rFonts w:ascii="Times New Roman" w:hAnsi="Times New Roman" w:eastAsia="Times New Roman" w:cs="Times New Roman"/>
        </w:rPr>
        <w:t xml:space="preserve"> 27 </w:t>
      </w:r>
      <w:r>
        <w:rPr>
          <w:rFonts w:ascii="Leelawadee UI" w:hAnsi="Leelawadee UI" w:eastAsia="Leelawadee UI" w:cs="Leelawadee UI"/>
        </w:rPr>
        <w:t>กรกฎาคม</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1449 </w:t>
      </w:r>
      <w:r>
        <w:rPr>
          <w:rFonts w:ascii="Leelawadee UI" w:hAnsi="Leelawadee UI" w:eastAsia="Leelawadee UI" w:cs="Leelawadee UI"/>
        </w:rPr>
        <w:t>จุดเริ่มต้นนี้กำหนดขึ้นโดยอาศัยจุดสิ้นสุดของคำพยากรณ์เรื่องเวลาอีกบทหนึ่งซึ่งมีระยะเวลาหนึ่งร้อยห้าสิบปี</w:t>
      </w:r>
      <w:r>
        <w:rPr>
          <w:rFonts w:ascii="Times New Roman" w:hAnsi="Times New Roman" w:eastAsia="Times New Roman" w:cs="Times New Roman"/>
        </w:rPr>
        <w:t xml:space="preserve"> </w:t>
      </w:r>
      <w:r>
        <w:rPr>
          <w:rFonts w:ascii="Leelawadee UI" w:hAnsi="Leelawadee UI" w:eastAsia="Leelawadee UI" w:cs="Leelawadee UI"/>
        </w:rPr>
        <w:t>คำพยากรณ์เรื่องเวลาแรกซึ่งมีระยะเวลาหนึ่งร้อยห้าสิบปีนั้นได้ถูกนำเสนอไว้ในประวัติศาสตร์ของวิบัติประการแรก</w:t>
      </w:r>
      <w:r>
        <w:rPr>
          <w:rFonts w:ascii="Times New Roman" w:hAnsi="Times New Roman" w:eastAsia="Times New Roman" w:cs="Times New Roman"/>
        </w:rPr>
        <w:t xml:space="preserve"> </w:t>
      </w:r>
      <w:r>
        <w:rPr>
          <w:rFonts w:ascii="Leelawadee UI" w:hAnsi="Leelawadee UI" w:eastAsia="Leelawadee UI" w:cs="Leelawadee UI"/>
        </w:rPr>
        <w:t>ซึ่งก็คือแตรใบที่ห้าในวิวรณ์บทที่เก้า</w:t>
      </w:r>
      <w:r>
        <w:rPr>
          <w:rFonts w:ascii="Times New Roman" w:hAnsi="Times New Roman" w:eastAsia="Times New Roman" w:cs="Times New Roman"/>
        </w:rPr>
        <w:t xml:space="preserve"> </w:t>
      </w:r>
      <w:r>
        <w:rPr>
          <w:rFonts w:ascii="Leelawadee UI" w:hAnsi="Leelawadee UI" w:eastAsia="Leelawadee UI" w:cs="Leelawadee UI"/>
        </w:rPr>
        <w:t>เมื่อคำพยากรณ์หนึ่งร้อยห้าสิบปีสิ้นสุดลงในวันที่</w:t>
      </w:r>
      <w:r>
        <w:rPr>
          <w:rFonts w:ascii="Times New Roman" w:hAnsi="Times New Roman" w:eastAsia="Times New Roman" w:cs="Times New Roman"/>
        </w:rPr>
        <w:t xml:space="preserve"> 27 </w:t>
      </w:r>
      <w:r>
        <w:rPr>
          <w:rFonts w:ascii="Leelawadee UI" w:hAnsi="Leelawadee UI" w:eastAsia="Leelawadee UI" w:cs="Leelawadee UI"/>
        </w:rPr>
        <w:t>กรกฎาคม</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1449 </w:t>
      </w:r>
      <w:r>
        <w:rPr>
          <w:rFonts w:ascii="Leelawadee UI" w:hAnsi="Leelawadee UI" w:eastAsia="Leelawadee UI" w:cs="Leelawadee UI"/>
        </w:rPr>
        <w:t>คำพยากรณ์เรื่องเวลาที่เรากำลังพิจารณาอยู่นี้ก็เริ่มต้นขึ้น</w:t>
      </w:r>
      <w:r>
        <w:rPr>
          <w:rFonts w:ascii="Times New Roman" w:hAnsi="Times New Roman" w:eastAsia="Times New Roman" w:cs="Times New Roman"/>
        </w:rPr>
        <w:t xml:space="preserve"> </w:t>
      </w:r>
      <w:r>
        <w:rPr>
          <w:rFonts w:ascii="Leelawadee UI" w:hAnsi="Leelawadee UI" w:eastAsia="Leelawadee UI" w:cs="Leelawadee UI"/>
        </w:rPr>
        <w:t>และอีกสามร้อยเก้าสิบเอ็ดปีสิบห้าวันต่อมา</w:t>
      </w:r>
      <w:r>
        <w:rPr>
          <w:rFonts w:ascii="Times New Roman" w:hAnsi="Times New Roman" w:eastAsia="Times New Roman" w:cs="Times New Roman"/>
        </w:rPr>
        <w:t xml:space="preserve"> </w:t>
      </w:r>
      <w:r>
        <w:rPr>
          <w:rFonts w:ascii="Leelawadee UI" w:hAnsi="Leelawadee UI" w:eastAsia="Leelawadee UI" w:cs="Leelawadee UI"/>
        </w:rPr>
        <w:t>คำพยากรณ์นั้นก็สิ้นสุดลงในวันที่</w:t>
      </w:r>
      <w:r>
        <w:rPr>
          <w:rFonts w:ascii="Times New Roman" w:hAnsi="Times New Roman" w:eastAsia="Times New Roman" w:cs="Times New Roman"/>
        </w:rPr>
        <w:t xml:space="preserve"> 11 </w:t>
      </w:r>
      <w:r>
        <w:rPr>
          <w:rFonts w:ascii="Leelawadee UI" w:hAnsi="Leelawadee UI" w:eastAsia="Leelawadee UI" w:cs="Leelawadee UI"/>
        </w:rPr>
        <w:t>สิงหาคม</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1840</w:t>
      </w:r>
    </w:p>
    <w:p>
      <w:pPr>
        <w:pStyle w:val="ArticleBody"/>
        <w:jc w:val="left"/>
      </w:pPr>
      <w:r>
        <w:rPr>
          <w:rFonts w:ascii="Times New Roman" w:hAnsi="Times New Roman" w:eastAsia="Times New Roman" w:cs="Times New Roman"/>
        </w:rPr>
        <w:t>William Miller avait compris que les puissances d’Apocalypse 9 représentaient l’islam, et, avant la date du 11 août 1840, un millérite nommé Josiah Litch formula une prédiction fondée sur la prophétie, selon laquelle, en 1840, la suprématie ottomane prendrait fin. Dix jours avant le 11 août 1840, Litch affina et actualisa sa prédiction afin d’indiquer non seulement l’année où la prophétie s’accomplirait, mais l’année, le jour et le mois mêmes. Sœur White commente l’effet de la prédiction de Litch sur le monde religieux des millérites lorsque l’événement s’accomplit.</w:t>
      </w:r>
    </w:p>
    <w:p>
      <w:pPr>
        <w:pStyle w:val="ArticleScripture"/>
        <w:jc w:val="left"/>
      </w:pPr>
      <w:r>
        <w:rPr>
          <w:rFonts w:ascii="Times New Roman" w:hAnsi="Times New Roman" w:eastAsia="Times New Roman" w:cs="Times New Roman"/>
        </w:rPr>
        <w:t>“Mnamo mwaka 1840 utimizo mwingine wa ajabu wa unabii uliamsha hamu kubwa kote. Miaka miwili kabla ya hapo, Josiah Litch, mmoja wa wahudumu wakuu waliokuwa wakihubiri ujio wa pili, alichapisha ufafanuzi wa Ufunuo 9, akitabiri kuanguka kwa Milki ya Ottoman. Kulingana na hesabu zake, mamlaka hii ilipaswa kupinduliwa... tarehe 11 Agosti, 1840, wakati ambapo mamlaka ya Ottoman huko Konstantinopoli yaweza kutarajiwa kuvunjwa. Na hili, naamini, litaonekana kuwa ndivyo ilivyo.”</w:t>
      </w:r>
    </w:p>
    <w:p>
      <w:pPr>
        <w:pStyle w:val="ArticleScripture"/>
        <w:jc w:val="left"/>
      </w:pPr>
      <w:r>
        <w:rPr>
          <w:rFonts w:ascii="Times New Roman" w:hAnsi="Times New Roman" w:eastAsia="Times New Roman" w:cs="Times New Roman"/>
        </w:rPr>
        <w:t>“Na exact tempu specificádu, Turkiya, através di ses embaixadoris, aseitâ pruteçon di poderis aliadus di Europa, i asim el pôs-sê baxu kontrolu di naçonis kriston. E eventu kumpri exatamenti a prediçon. Kandu es fikô konxidu, multidonis fikô konvensidus di korreçon di prinsípius di interpretaçon profétiku adotadus pa Miller i ses asosiadus, i un impulsu admirável foi dadu ao movimentu adventista. Ômis di sabedori i di pozison uní-sê a Miller, tantu na pregaçon komu na publikaçon di ses pontu di vista, i di 1840 a 1844 e obra estendê-rápidamenti.” The Great Controversy, 334, 335.</w:t>
      </w:r>
    </w:p>
    <w:p>
      <w:pPr>
        <w:pStyle w:val="ArticleBody"/>
        <w:jc w:val="left"/>
      </w:pPr>
      <w:r>
        <w:rPr>
          <w:rFonts w:ascii="Times New Roman" w:hAnsi="Times New Roman" w:eastAsia="Times New Roman" w:cs="Times New Roman"/>
        </w:rPr>
        <w:t>Lakou aprouval ti dispela hapening i bin kisim planti taim pinis na ol Laodisia Sevendei Adventis i bin pait long en gen na gen long kainkain rot. Wankain olsem long ol seven times na “the daily”, long pait long dispela tru em i minim long sakim ol asples bilong bilip olsem ol i makim long tupela tabu tebol, na tu long sakim namba bilong Spirit of Prophecy. As bilong wanem Seitan i bin wok long bagarapim bilip long dispela histri i gat planti sait.</w:t>
      </w:r>
    </w:p>
    <w:p>
      <w:pPr>
        <w:pStyle w:val="ArticleBody"/>
        <w:jc w:val="left"/>
      </w:pPr>
      <w:r>
        <w:rPr>
          <w:rFonts w:ascii="Times New Roman" w:hAnsi="Times New Roman" w:eastAsia="Times New Roman" w:cs="Times New Roman"/>
        </w:rPr>
        <w:t>تشتی پیش‌گوییِ لیچ از «اصولِ تفسیرِ نبویِ پذیرفته‌شده توسط میلر» بهره می‌گرفت. به میلر بصیرتی نسبت به عنصرِ زمانِ نبوی عطا شده بود، و هر کس که تردید دارد پیامِ میلر بر زمانِ نبوی مبتنی بود، فقط کافی است نمودارهای پیشگامانِ ۱۸۴۳ و ۱۸۵۰ را بازبینی کند تا تأیید شود که چنین بود. پیش از ۱۱ اوت ۱۸۴۰، کسانی که با پیش‌بینیِ میلر دربارهٔ بازگشتِ مسیح مخالفت می‌کردند، استدلال می‌نمودند که زمانِ نبوی را نمی‌توان برای فهمِ این‌که مسیح چه هنگام بازخواهد گشت به کار برد. آنان غالباً از بیانِ کتاب‌مقدس دربارهٔ این‌که روز و ساعت را کسی نمی‌داند، برای مقاومت در برابر پیام و کارِ او استفاده می‌کردند.</w:t>
      </w:r>
    </w:p>
    <w:p>
      <w:pPr>
        <w:pStyle w:val="ArticleScripture"/>
        <w:jc w:val="left"/>
      </w:pPr>
      <w:r>
        <w:rPr>
          <w:rFonts w:ascii="Times New Roman" w:hAnsi="Times New Roman" w:eastAsia="Times New Roman" w:cs="Times New Roman"/>
        </w:rPr>
        <w:t>Tetapi tentang hari dan saat itu tidak seorang pun yang tahu, bahkan malaikat-malaikat di sorga tidak, hanya Bapa-Ku sendiri. Tetapi sama seperti pada zaman Nuh, demikian pula kedatangan Anak Manusia akan terjadi. Sebab sebagaimana pada hari-hari sebelum air bah mereka makan dan minum, kawin dan mengawinkan, sampai pada hari Nuh masuk ke dalam bahtera, dan mereka tidak mengetahuinya sampai air bah itu datang dan melenyapkan mereka semua; demikian pula kedatangan Anak Manusia akan terjadi. Pada waktu itu dua orang akan berada di ladang; yang seorang akan diambil, dan yang lain akan ditinggalkan. Matius 24:36–40.</w:t>
      </w:r>
    </w:p>
    <w:p>
      <w:pPr>
        <w:pStyle w:val="ArticleBody"/>
        <w:jc w:val="left"/>
      </w:pPr>
      <w:r>
        <w:rPr>
          <w:rFonts w:ascii="Times New Roman" w:hAnsi="Times New Roman" w:eastAsia="Times New Roman" w:cs="Times New Roman"/>
        </w:rPr>
        <w:t>Malgré ce passage, les millérites trouvèrent dans la Bible trop de preuves à l’appui de leurs prédictions et poursuivirent leur œuvre, agissant selon un principe que Sœur White identifia plus tard.</w:t>
      </w:r>
    </w:p>
    <w:p>
      <w:pPr>
        <w:pStyle w:val="ArticleScripture"/>
        <w:jc w:val="left"/>
      </w:pPr>
      <w:r>
        <w:rPr>
          <w:rFonts w:ascii="Times New Roman" w:hAnsi="Times New Roman" w:eastAsia="Times New Roman" w:cs="Times New Roman"/>
        </w:rPr>
        <w:t>“‘Je, hakuna ajuaye siku wala saa’ ilikuwa hoja iliyotolewa mara nyingi zaidi na wale waliokataa imani ya ujio. Andiko ni hili: ‘Lakini habari ya siku ile na saa ile hakuna ajuaye, hata malaika wa mbinguni, ila Baba yangu peke yake.’ Mathayo 24:36. Ufafanuzi ulio wazi na wenye upatano wa andiko hili ulitolewa na wale waliokuwa wakimtazamia Bwana, na matumizi yake yasiyo sahihi yaliyofanywa na wapinzani wao yalionyeshwa waziwazi. Maneno hayo yalisemwa na Kristo katika mazungumzo yale ya kukumbukwa pamoja na wanafunzi Wake juu ya Mlima wa Mizeituni baada ya Yeye kuondoka hekaluni kwa mara ya mwisho. Wanafunzi walikuwa wameuliza swali hili: ‘Ishara ya kuja Kwako na ya mwisho wa dunia itakuwa nini?’ Yesu akawapa ishara, akasema: ‘Basi mtakapoona hayo yote, jueni ya kuwa imekaribia, mlangoni.’ Mistari ya 3, 33. Neno moja la Mwokozi halipaswi kufanywa liangamize jingine. Ijapokuwa hakuna mtu ajuaye siku wala saa ya kuja Kwake, tumeelezwa na kutakiwa kujua wakati ulipo karibu. Tena tunafundishwa kwamba kupuuza onyo Lake, na kukataa au kuacha kujua wakati ujio Wake ulipo karibu, kutakuwa kwa maangamizi kwetu kama ilivyokuwa kwa wale walioishi siku za Nuhu kutokujua wakati gharika ilipokuwa inakuja. Na mfano katika sura iyo hiyo, unaoweka tofauti kati ya mtumwa mwaminifu na asiye mwaminifu, na kutoa hukumu ya yule aliyesema moyoni mwake, ‘Bwana wangu anakawia kuja,’ huonyesha ni kwa jinsi gani Kristo atakavyowaona na kuwathawabisha wale atakaowakuta wakikesha, na wakifundisha kuja Kwake, na wale wanaokukana. ‘Kesheni basi,’ asema. ‘Heri mtumwa yule ambaye bwana wake ajapo atamkuta akifanya hivyo.’ Mistari ya 42, 46. ‘Basi usipokesha, nitakuja juu yako kama mwivi, wala hutajua saa nitakayokuja juu yako.’ Ufunuo 3:3.” Pambano Kuu, 370.</w:t>
      </w:r>
    </w:p>
    <w:p>
      <w:pPr>
        <w:pStyle w:val="ArticleBody"/>
        <w:jc w:val="left"/>
      </w:pPr>
      <w:r>
        <w:rPr>
          <w:rFonts w:ascii="Times New Roman" w:hAnsi="Times New Roman" w:eastAsia="Times New Roman" w:cs="Times New Roman"/>
        </w:rPr>
        <w:t>Litters forutsigelse gikk i oppfyllelse, og menn «av lærdom og anseelse sluttet seg til Miller, både i forkynnelsen og i utgivelsen av hans synspunkter, og fra 1840 til 1844 ble verket hurtig utvidet.» Millers budskap ble gitt kraft da hans regler for profetisk fortolkning ble bekreftet som gyldige regler. Som følge av oppfyllelsen av tidsprofetien ble ikke bare Millers regler bekreftet, og mange sluttet seg da til millerittbevegelsen, men like profetisk betydningsfullt var det at det var den fremste regelen blant Millers regler som var blitt bekreftet. Videre var det av betydning at bekreftelsen ble tilveiebrakt ved anvendelsen av en profeti om den andre av de tre veene, som også er den femte, sjette og sjuende basun.</w:t>
      </w:r>
    </w:p>
    <w:p>
      <w:pPr>
        <w:pStyle w:val="ArticleBody"/>
        <w:jc w:val="left"/>
      </w:pPr>
      <w:r>
        <w:rPr>
          <w:rFonts w:ascii="Times New Roman" w:hAnsi="Times New Roman" w:eastAsia="Times New Roman" w:cs="Times New Roman"/>
        </w:rPr>
        <w:t>El fortalecimiento del mensaje de Miller llegó a ser uno de los hitos más significativos del movimiento reformador millerita. Había sido tipificado por el bautismo de Jesús. Señaló que había comenzado el proceso final de prueba del antiguo pueblo del pacto (los protestantes). Llegó a ser el blanco del ataque de Satanás contra el movimiento y el mensaje milleritas en su conjunto.</w:t>
      </w:r>
    </w:p>
    <w:p>
      <w:pPr>
        <w:pStyle w:val="ArticleScripture"/>
        <w:jc w:val="left"/>
      </w:pPr>
      <w:r>
        <w:rPr>
          <w:rFonts w:ascii="Times New Roman" w:hAnsi="Times New Roman" w:eastAsia="Times New Roman" w:cs="Times New Roman"/>
        </w:rPr>
        <w:t>“Kaɓe ƴamde ko Seytaane waawi umminde e hakkillo ngam waɗude sikki e dow mawnde tarihii yaasiiji ɓennduɗi ɓe yimɓe Alla, maa welnan ɓurɗo mum Seytaane, tee ɗum ko bonnere yeeso Alla. Habaru garol jooni ngal Joomiraaɗo maa arto e baawɗe e tedduŋgal mawngal zuwa aduna meeɗen ɗum ko goonga, e e 1840 ɗuuɗe sawruuji njiɗaaɗi ummii e waajugol mayri.” Manuscript Releases, volume 9, 134.</w:t>
      </w:r>
    </w:p>
    <w:p>
      <w:pPr>
        <w:pStyle w:val="ArticleBody"/>
        <w:jc w:val="left"/>
      </w:pPr>
      <w:r>
        <w:rPr>
          <w:rFonts w:ascii="Times New Roman" w:hAnsi="Times New Roman" w:eastAsia="Times New Roman" w:cs="Times New Roman"/>
        </w:rPr>
        <w:t>Ni tarehe 11 Septemba, 2001 ndipo ole wa tatu ulipoingia katika historia ya kinabii. Tukio hilo lilithibitisha kanuni kuu ya utafsiri wa unabii iliyokubaliwa na vuguvugu la malaika wa tatu lililoanza mwaka 1989. Ukweli wa kwanza uliofunuliwa kwa mjumbe wa vuguvugu hilo la matengenezo ulifunuliwa mwaka 1989, nao haukuwa aya sita za mwisho za Danieli kumi na moja. Ulikuwa ni ukweli kwamba vuguvugu zote za matengenezo huenda sambamba zenyewe kwa zenyewe, na zinapaswa kuletwa pamoja mstari juu ya mstari ili kubainisha sifa za vuguvugu la wale mia moja arobaini na nne elfu, ambalo ndilo vuguvugu la malaika wa tatu. Uwasilishaji wa kwanza wa hadhara niliowahi kutoa ulikuwa katika mkutano wa kambi mwaka 1994, au pengine 1995. Uwasilishaji huo haukuwa juu ya aya sita za mwisho za Danieli kumi na moja; ulikuwa juu ya mistari ya matengenezo inayoenda sambamba yenyewe kwa yenyewe.</w:t>
      </w:r>
    </w:p>
    <w:p>
      <w:pPr>
        <w:pStyle w:val="ArticleBody"/>
        <w:jc w:val="left"/>
      </w:pPr>
      <w:r>
        <w:rPr>
          <w:rFonts w:ascii="Times New Roman" w:hAnsi="Times New Roman" w:eastAsia="Times New Roman" w:cs="Times New Roman"/>
        </w:rPr>
        <w:t>Mi si Islam ho nkɔmhyɛ a ɛfa amanehunu a ɛto so abiɛsa ho baa mu wɔ September 11, 2001 no, ɛne August 11, 1840 hyiae. Wɔ 1840 mu no, nkɔmhyɛ bi a ɛfa amanehunu a edi kan ne nea ɛto so abien ho sii Millerfo nkrasɛm no so dua, na wɔ September 11, 2001 no, nkɔmhyɛ bi a ɛfa amanehunu a ɛto so abiɛsa ho sii Future for America nkrasɛm no so dua. Saa nokwasɛm no ho nhumu no de nnipadɔm pii baa saa kuw no mu, bere a ansa na ɛreyɛ titiriw onipa baako pɛ dea no. Afei kuw no nkrasɛm ne ɔsomafo no bɛyɛɛ nea wɔtow hyɛɛ so, sɛnea 1840 abakɔsɛm no nso bɛyɛɛ Satan ntua a wɔde tow hyɛɛ so no ade titiriw wɔ mfe a edi hɔ no mu.</w:t>
      </w:r>
    </w:p>
    <w:p>
      <w:pPr>
        <w:pStyle w:val="ArticleBody"/>
        <w:jc w:val="left"/>
      </w:pPr>
      <w:r>
        <w:rPr>
          <w:rFonts w:ascii="Times New Roman" w:hAnsi="Times New Roman" w:eastAsia="Times New Roman" w:cs="Times New Roman"/>
        </w:rPr>
        <w:t>Mereka yang bergabung dengan gerakan Future for America menerima kaidah-kaidah penafsiran nubuatan yang dihimpun oleh utusan bagi sejarah itu. Salah satu dari kaidah-kaidah tersebut, barangkali yang paling penting di antaranya, dahulu dan sekarang adalah penerapan rangkap tiga atas nubuatan. Sang utusan telah sampai pada pemahaman bahwa kebenaran-kebenaran nubuatan tertentu digambarkan melalui tiga penggenapan yang khusus. Dengan meyakini bahwa sejarah Millerite diulangi dalam sejarah seratus empat puluh empat ribu orang, tampaklah bahwa 11 Agustus 1840 melambangkan 11 September 2001, dan bahwa garis-garis reformasi suci yang lain juga memiliki tanda jalan yang sama itu.</w:t>
      </w:r>
    </w:p>
    <w:p>
      <w:pPr>
        <w:pStyle w:val="ArticleBody"/>
        <w:jc w:val="left"/>
      </w:pPr>
      <w:r>
        <w:rPr>
          <w:rFonts w:ascii="Times New Roman" w:hAnsi="Times New Roman" w:eastAsia="Times New Roman" w:cs="Times New Roman"/>
        </w:rPr>
        <w:t>תָּאדַגּוּאָל־אִכְּבָּת תִכְרַאר כָּל־קַו אִצְלַאח מֻקַדַּס פִי קַו אִלְמַלַאכּ אִלְתַּאלִת קַד קֻשִפַת חִינַئִדְ עַלַא יַד אַרְיַה מִן סִבְט יְהוּדָה. וַתַבַּיַּן אַז כַּמַא אַז תָּארִיך' אִלְמִלֵּירִיִּין קַד אַתַמַּ מַתַ'ל אִלְעַשְר עַ'דַ'ארַאאת חַרְפִיًّا אִלַא אַקְצַא דַקָּה, כַּדַ'לִכּ אַיְדַן אַתַמَّהּ תָּארִיך' Future for America.</w:t>
      </w:r>
    </w:p>
    <w:p>
      <w:pPr>
        <w:pStyle w:val="ArticleScripture"/>
        <w:jc w:val="left"/>
      </w:pPr>
      <w:r>
        <w:rPr>
          <w:rFonts w:ascii="Times New Roman" w:hAnsi="Times New Roman" w:eastAsia="Times New Roman" w:cs="Times New Roman"/>
        </w:rPr>
        <w:t>« On me renvoie souvent à la parabole des dix vierges, dont cinq étaient sages et cinq folles. Cette parabole s’est accomplie et s’accomplira jusque dans ses moindres détails, car elle a une application particulière pour notre époque et, comme le message du troisième ange, elle s’est accomplie et continuera d’être la vérité présente jusqu’à la fin des temps. » Review and Herald, 19 août 1890.</w:t>
      </w:r>
    </w:p>
    <w:p>
      <w:pPr>
        <w:pStyle w:val="ArticleBody"/>
        <w:jc w:val="left"/>
      </w:pPr>
      <w:r>
        <w:rPr>
          <w:rFonts w:ascii="Times New Roman" w:hAnsi="Times New Roman" w:eastAsia="Times New Roman" w:cs="Times New Roman"/>
        </w:rPr>
        <w:t>Mheni mibvumo ya nkombo ya khume ya Nduvho dza Nzumbululo yo dzhielwa nṱha u talusa uri ndi tshenzhelo ya VhaMillerite u bva nga 11 Ṱhangule 1840 u swika nga 22 Tshimedzi 1844, nahone-vho ndi ḓivhazwakale ya 11 Khubvumedzi 2001 u swika kha mulayo wa Swondaha une wa khou ḓa nga u tavhanya.</w:t>
      </w:r>
    </w:p>
    <w:p>
      <w:pPr>
        <w:pStyle w:val="ArticleScripture"/>
        <w:jc w:val="left"/>
      </w:pPr>
      <w:r>
        <w:rPr>
          <w:rFonts w:ascii="Times New Roman" w:hAnsi="Times New Roman" w:eastAsia="Times New Roman" w:cs="Times New Roman"/>
        </w:rPr>
        <w:t>“Ima ‘svjetlost’ koja je dana Ivanu, a koja je bila izražena u sedam gromova, bila je prikaz događaja koji će se zbiti pod porukama prvoga i drugoga anđela....”</w:t>
      </w:r>
    </w:p>
    <w:p>
      <w:pPr>
        <w:pStyle w:val="ArticleScripture"/>
        <w:jc w:val="left"/>
      </w:pPr>
      <w:r>
        <w:rPr>
          <w:rFonts w:ascii="Times New Roman" w:hAnsi="Times New Roman" w:eastAsia="Times New Roman" w:cs="Times New Roman"/>
        </w:rPr>
        <w:t>« Après que ces sept tonnerres eurent fait entendre leurs voix, l’injonction est adressée à Jean, comme à Daniel, au sujet du petit livre : “Scelle ce qu’ont dit les sept tonnerres.” Cela se rapporte à des événements futurs qui seront révélés en leur temps. » The Seventh-day Adventist Bible Commentary, volume 7, 971.</w:t>
      </w:r>
    </w:p>
    <w:p>
      <w:pPr>
        <w:pStyle w:val="ArticleBody"/>
        <w:jc w:val="left"/>
      </w:pPr>
      <w:r>
        <w:rPr>
          <w:rFonts w:ascii="Times New Roman" w:hAnsi="Times New Roman" w:eastAsia="Times New Roman" w:cs="Times New Roman"/>
        </w:rPr>
        <w:t>Kuṇ nkɔsɛm yi ase sɛ Onua Bea White kae no tẽẽ pefee sɛ ɔbɔfo a ɔto so abiɛsa no dwumadibea no ne ɔbɔfo a odi kan ne nea ɔto so abien no dwumadibea no tu mmirika bom.</w:t>
      </w:r>
    </w:p>
    <w:p>
      <w:pPr>
        <w:pStyle w:val="ArticleScripture"/>
        <w:jc w:val="left"/>
      </w:pPr>
      <w:r>
        <w:rPr>
          <w:rFonts w:ascii="Times New Roman" w:hAnsi="Times New Roman" w:eastAsia="Times New Roman" w:cs="Times New Roman"/>
        </w:rPr>
        <w:t>Bože je porukama iz Otkrivenja 14 dao njihovo mjesto u nizu proročanstva, i njihovo djelo ne smije prestati sve do završetka povijesti ove zemlje. Poruke prvog i drugog anđela još su uvijek istina za ovo vrijeme i trebaju teći usporedno s ovom koja slijedi. Treći anđeo objavljuje svoje upozorenje silnim glasom. „Poslije ovoga”, rekao je Ivan, „vidjeh drugoga anđela gdje silazi s neba, koji ima veliku vlast, i zemlja se rasvijetli od njegove slave.” U tom prosvjetljenju sjedinjena je svjetlost sve tri poruke.” The 1888 Materials, 803, 804.</w:t>
      </w:r>
    </w:p>
    <w:p>
      <w:pPr>
        <w:pStyle w:val="ArticleBody"/>
        <w:jc w:val="left"/>
      </w:pPr>
      <w:r>
        <w:rPr>
          <w:rFonts w:ascii="Times New Roman" w:hAnsi="Times New Roman" w:eastAsia="Times New Roman" w:cs="Times New Roman"/>
        </w:rPr>
        <w:t>Le mouvement des premier et deuxième anges est parallèle au mouvement du troisième ange. La prophétie qui a donné sa puissance au mouvement des premier et deuxième anges a été rendue effective par l’accomplissement d’une prophétie de temps relative au premier et au deuxième malheur, et la mise en puissance du mouvement du troisième ange l’a été par l’accomplissement d’une prophétie concernant le troisième malheur.</w:t>
      </w:r>
    </w:p>
    <w:p>
      <w:pPr>
        <w:pStyle w:val="ArticleBody"/>
        <w:jc w:val="left"/>
      </w:pPr>
      <w:r>
        <w:rPr>
          <w:rFonts w:ascii="Times New Roman" w:hAnsi="Times New Roman" w:eastAsia="Times New Roman" w:cs="Times New Roman"/>
        </w:rPr>
        <w:t>Comme au 11 août 1840, lorsque le message de Future for America fut confirmé, « des multitudes furent convaincues de la justesse des principes d’interprétation prophétique adoptés » par Future for America, et « une merveilleuse impulsion fut donnée au mouvement adventiste ». « Des hommes instruits et de haut rang s’unirent » à Future for America, « tant pour prêcher que pour publier » le message prophétique de Future for America. La règle particulière de Future for America qui confirma clairement le 11 septembre 2001 comme un accomplissement de la prophétie était une « triple application de la prophétie ».</w:t>
      </w:r>
    </w:p>
    <w:p>
      <w:pPr>
        <w:pStyle w:val="ArticleBody"/>
        <w:jc w:val="left"/>
      </w:pPr>
      <w:r>
        <w:rPr>
          <w:rFonts w:ascii="Times New Roman" w:hAnsi="Times New Roman" w:eastAsia="Times New Roman" w:cs="Times New Roman"/>
        </w:rPr>
        <w:t>Kapag ating tinatanggap ang saligang pananaw hinggil sa Islam tungkol sa una at ikalawang kapighatian, gaya ng inilarawan sa kapuwa banal na mga tsart, kaugnay ng nakasulat na patotoo ng mga nagturo ng mensahe, kinikilala natin ang mga tiyak na katangiang propetiko na kaugnay ng unang kapighatian at ng ikalawang kapighatian. Paulit-ulit na itinuturo ng Biblia, sa iba’t ibang paraan, na ang katotohanan ay pinagtitibay sa pamamagitan ng patotoo ng dalawa. Ang mga katangiang propetiko ng unang kapighatian, na pinagsama sa mga katangiang propetiko ng ikalawang kapighatian, ay nagtatatag ng mga katangiang propetiko ng ikatlong kapighatian. Ang tatluhang paglalapat ng Islam ay napakatiyak sa pagtukoy sa pagdating ng ikatlong kapighatian noong Setyembre 11, 2001, anupat imposibleng hindi ito makita, bagaman pinipili ng nakararami na ipikit ang kanilang mga mata sa harap ng katibayan.</w:t>
      </w:r>
    </w:p>
    <w:p>
      <w:pPr>
        <w:pStyle w:val="ArticleBody"/>
        <w:jc w:val="left"/>
      </w:pPr>
      <w:r>
        <w:rPr>
          <w:rFonts w:ascii="Times New Roman" w:hAnsi="Times New Roman" w:eastAsia="Times New Roman" w:cs="Times New Roman"/>
        </w:rPr>
        <w:t>L’application triple de la prophétie a fermement établi que le troisième malheur est arrivé le 11 septembre 2001. Il a alors été reconnu que cette règle était directement associée au message du deuxième ange, lequel, au temps des millérites comme au temps des cent quarante-quatre mille, correspond à la période où le Saint-Esprit est répandu. Ces deux histoires constituent un accomplissement de la parabole des dix vierges, et, dans la parabole, c’est au message du Cri de Minuit que se manifeste la distinction entre les sages et les insensées, et c’est là que le message du deuxième ange reçoit sa puissance.</w:t>
      </w:r>
    </w:p>
    <w:p>
      <w:pPr>
        <w:pStyle w:val="ArticleScripture"/>
        <w:jc w:val="left"/>
      </w:pPr>
      <w:r>
        <w:rPr>
          <w:rFonts w:ascii="Times New Roman" w:hAnsi="Times New Roman" w:eastAsia="Times New Roman" w:cs="Times New Roman"/>
        </w:rPr>
        <w:t>« Vers la fin du message du deuxième ange, je vis une grande lumière venant du ciel briller sur le peuple de Dieu. Les rayons de cette lumière paraissaient éclatants comme le soleil. Et j’entendis les voix des anges s’écriant : “Voici, l’Époux vient ; sortez à sa rencontre !”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នេះគឺជាសម្រែកកណ្តាលអធ្រាត្រ</w:t>
      </w:r>
      <w:r>
        <w:rPr>
          <w:rFonts w:ascii="Times New Roman" w:hAnsi="Times New Roman" w:eastAsia="Times New Roman" w:cs="Times New Roman"/>
        </w:rPr>
        <w:t xml:space="preserve"> </w:t>
      </w:r>
      <w:r>
        <w:rPr>
          <w:rFonts w:ascii="Leelawadee UI" w:hAnsi="Leelawadee UI" w:eastAsia="Leelawadee UI" w:cs="Leelawadee UI"/>
        </w:rPr>
        <w:t>ដែលត្រូវផ្តល់អំណាចដល់សាររបស់ទេវតាទីពីរ។</w:t>
      </w:r>
      <w:r>
        <w:rPr>
          <w:rFonts w:ascii="Times New Roman" w:hAnsi="Times New Roman" w:eastAsia="Times New Roman" w:cs="Times New Roman"/>
        </w:rPr>
        <w:t xml:space="preserve"> </w:t>
      </w:r>
      <w:r>
        <w:rPr>
          <w:rFonts w:ascii="Leelawadee UI" w:hAnsi="Leelawadee UI" w:eastAsia="Leelawadee UI" w:cs="Leelawadee UI"/>
        </w:rPr>
        <w:t>ទេវតាទាំងឡាយត្រូវបានចាត់ចេញពីស្ថានសួគ៌</w:t>
      </w:r>
      <w:r>
        <w:rPr>
          <w:rFonts w:ascii="Times New Roman" w:hAnsi="Times New Roman" w:eastAsia="Times New Roman" w:cs="Times New Roman"/>
        </w:rPr>
        <w:t xml:space="preserve"> </w:t>
      </w:r>
      <w:r>
        <w:rPr>
          <w:rFonts w:ascii="Leelawadee UI" w:hAnsi="Leelawadee UI" w:eastAsia="Leelawadee UI" w:cs="Leelawadee UI"/>
        </w:rPr>
        <w:t>ដើម្បីដាស់តឿនពួកបរិសុទ្ធដែលបាក់ទឹកចិត្ត</w:t>
      </w:r>
      <w:r>
        <w:rPr>
          <w:rFonts w:ascii="Times New Roman" w:hAnsi="Times New Roman" w:eastAsia="Times New Roman" w:cs="Times New Roman"/>
        </w:rPr>
        <w:t xml:space="preserve"> </w:t>
      </w:r>
      <w:r>
        <w:rPr>
          <w:rFonts w:ascii="Leelawadee UI" w:hAnsi="Leelawadee UI" w:eastAsia="Leelawadee UI" w:cs="Leelawadee UI"/>
        </w:rPr>
        <w:t>និងរៀបចំពួកគេសម្រាប់កិច្ចការដ៏ធំដែលស្ថិតនៅខាងមុខពួកគេ។</w:t>
      </w:r>
      <w:r>
        <w:rPr>
          <w:rFonts w:ascii="Times New Roman" w:hAnsi="Times New Roman" w:eastAsia="Times New Roman" w:cs="Times New Roman"/>
        </w:rPr>
        <w:t xml:space="preserve"> </w:t>
      </w:r>
      <w:r>
        <w:rPr>
          <w:rFonts w:ascii="Leelawadee UI" w:hAnsi="Leelawadee UI" w:eastAsia="Leelawadee UI" w:cs="Leelawadee UI"/>
        </w:rPr>
        <w:t>មនុស្សដែលមានទេពកោសល្យបំផុត</w:t>
      </w:r>
      <w:r>
        <w:rPr>
          <w:rFonts w:ascii="Times New Roman" w:hAnsi="Times New Roman" w:eastAsia="Times New Roman" w:cs="Times New Roman"/>
        </w:rPr>
        <w:t xml:space="preserve"> </w:t>
      </w:r>
      <w:r>
        <w:rPr>
          <w:rFonts w:ascii="Leelawadee UI" w:hAnsi="Leelawadee UI" w:eastAsia="Leelawadee UI" w:cs="Leelawadee UI"/>
        </w:rPr>
        <w:t>មិនមែនជាអ្នកដំបូងដែលទទួលសារនេះទេ។</w:t>
      </w:r>
      <w:r>
        <w:rPr>
          <w:rFonts w:ascii="Times New Roman" w:hAnsi="Times New Roman" w:eastAsia="Times New Roman" w:cs="Times New Roman"/>
        </w:rPr>
        <w:t xml:space="preserve"> </w:t>
      </w:r>
      <w:r>
        <w:rPr>
          <w:rFonts w:ascii="Leelawadee UI" w:hAnsi="Leelawadee UI" w:eastAsia="Leelawadee UI" w:cs="Leelawadee UI"/>
        </w:rPr>
        <w:t>ទេវតាទាំងឡាយត្រូវបានចាត់ទៅរកពួកអ្នកដែលសុភាពរាបសារ</w:t>
      </w:r>
      <w:r>
        <w:rPr>
          <w:rFonts w:ascii="Times New Roman" w:hAnsi="Times New Roman" w:eastAsia="Times New Roman" w:cs="Times New Roman"/>
        </w:rPr>
        <w:t xml:space="preserve"> </w:t>
      </w:r>
      <w:r>
        <w:rPr>
          <w:rFonts w:ascii="Leelawadee UI" w:hAnsi="Leelawadee UI" w:eastAsia="Leelawadee UI" w:cs="Leelawadee UI"/>
        </w:rPr>
        <w:t>និងមានចិត្តថ្វាយខ្លួន</w:t>
      </w:r>
      <w:r>
        <w:rPr>
          <w:rFonts w:ascii="Times New Roman" w:hAnsi="Times New Roman" w:eastAsia="Times New Roman" w:cs="Times New Roman"/>
        </w:rPr>
        <w:t xml:space="preserve"> </w:t>
      </w:r>
      <w:r>
        <w:rPr>
          <w:rFonts w:ascii="Leelawadee UI" w:hAnsi="Leelawadee UI" w:eastAsia="Leelawadee UI" w:cs="Leelawadee UI"/>
        </w:rPr>
        <w:t>ហើយជំរុញពួកគេឲ្យបន្លឺសម្រែកថា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កូនកំលោះមកហើយ</w:t>
      </w:r>
      <w:r>
        <w:rPr>
          <w:rFonts w:ascii="Times New Roman" w:hAnsi="Times New Roman" w:eastAsia="Times New Roman" w:cs="Times New Roman"/>
        </w:rPr>
        <w:t xml:space="preserve">; </w:t>
      </w:r>
      <w:r>
        <w:rPr>
          <w:rFonts w:ascii="Leelawadee UI" w:hAnsi="Leelawadee UI" w:eastAsia="Leelawadee UI" w:cs="Leelawadee UI"/>
        </w:rPr>
        <w:t>ចូរចេញទៅទទួលទ្រង់</w:t>
      </w:r>
      <w:r>
        <w:rPr>
          <w:rFonts w:ascii="Times New Roman" w:hAnsi="Times New Roman" w:eastAsia="Times New Roman" w:cs="Times New Roman"/>
        </w:rPr>
        <w:t>!”» Early Writings, 238.</w:t>
      </w:r>
    </w:p>
    <w:p>
      <w:pPr>
        <w:pStyle w:val="ArticleBody"/>
        <w:jc w:val="left"/>
      </w:pP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ပထမကောင်းကင်တမန်နှင့်</w:t>
      </w:r>
      <w:r>
        <w:rPr>
          <w:rFonts w:ascii="Times New Roman" w:hAnsi="Times New Roman" w:eastAsia="Times New Roman" w:cs="Times New Roman"/>
        </w:rPr>
        <w:t xml:space="preserve"> </w:t>
      </w:r>
      <w:r>
        <w:rPr>
          <w:rFonts w:ascii="Myanmar Text" w:hAnsi="Myanmar Text" w:eastAsia="Myanmar Text" w:cs="Myanmar Text"/>
        </w:rPr>
        <w:t>ဒုတိယကောင်းကင်တမန်တို့၏</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သန့်ရှင်းသောဝိညာဉ်တော်၏</w:t>
      </w:r>
      <w:r>
        <w:rPr>
          <w:rFonts w:ascii="Times New Roman" w:hAnsi="Times New Roman" w:eastAsia="Times New Roman" w:cs="Times New Roman"/>
        </w:rPr>
        <w:t xml:space="preserve"> </w:t>
      </w:r>
      <w:r>
        <w:rPr>
          <w:rFonts w:ascii="Myanmar Text" w:hAnsi="Myanmar Text" w:eastAsia="Myanmar Text" w:cs="Myanmar Text"/>
        </w:rPr>
        <w:t>သွန်းလောင်းခြင်းသည်</w:t>
      </w:r>
      <w:r>
        <w:rPr>
          <w:rFonts w:ascii="Times New Roman" w:hAnsi="Times New Roman" w:eastAsia="Times New Roman" w:cs="Times New Roman"/>
        </w:rPr>
        <w:t xml:space="preserve"> </w:t>
      </w:r>
      <w:r>
        <w:rPr>
          <w:rFonts w:ascii="Myanmar Text" w:hAnsi="Myanmar Text" w:eastAsia="Myanmar Text" w:cs="Myanmar Text"/>
        </w:rPr>
        <w:t>သန်းခေါင်ယံအော်ဟစ်သံက</w:t>
      </w:r>
      <w:r>
        <w:rPr>
          <w:rFonts w:ascii="Times New Roman" w:hAnsi="Times New Roman" w:eastAsia="Times New Roman" w:cs="Times New Roman"/>
        </w:rPr>
        <w:t xml:space="preserve"> </w:t>
      </w:r>
      <w:r>
        <w:rPr>
          <w:rFonts w:ascii="Myanmar Text" w:hAnsi="Myanmar Text" w:eastAsia="Myanmar Text" w:cs="Myanmar Text"/>
        </w:rPr>
        <w:t>ဒုတိယကောင်းကင်တမန်၏</w:t>
      </w:r>
      <w:r>
        <w:rPr>
          <w:rFonts w:ascii="Times New Roman" w:hAnsi="Times New Roman" w:eastAsia="Times New Roman" w:cs="Times New Roman"/>
        </w:rPr>
        <w:t xml:space="preserve"> </w:t>
      </w:r>
      <w:r>
        <w:rPr>
          <w:rFonts w:ascii="Myanmar Text" w:hAnsi="Myanmar Text" w:eastAsia="Myanmar Text" w:cs="Myanmar Text"/>
        </w:rPr>
        <w:t>သတင်းစကားနှင့်</w:t>
      </w:r>
      <w:r>
        <w:rPr>
          <w:rFonts w:ascii="Times New Roman" w:hAnsi="Times New Roman" w:eastAsia="Times New Roman" w:cs="Times New Roman"/>
        </w:rPr>
        <w:t xml:space="preserve"> </w:t>
      </w:r>
      <w:r>
        <w:rPr>
          <w:rFonts w:ascii="Myanmar Text" w:hAnsi="Myanmar Text" w:eastAsia="Myanmar Text" w:cs="Myanmar Text"/>
        </w:rPr>
        <w:t>ပေါင်းစည်းခြင်းအားဖြင့်</w:t>
      </w:r>
      <w:r>
        <w:rPr>
          <w:rFonts w:ascii="Times New Roman" w:hAnsi="Times New Roman" w:eastAsia="Times New Roman" w:cs="Times New Roman"/>
        </w:rPr>
        <w:t xml:space="preserve"> </w:t>
      </w:r>
      <w:r>
        <w:rPr>
          <w:rFonts w:ascii="Myanmar Text" w:hAnsi="Myanmar Text" w:eastAsia="Myanmar Text" w:cs="Myanmar Text"/>
        </w:rPr>
        <w:t>ပြည့်စုံစေခြင်းဖြစ်သည်။</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သမိုင်း၌လည်း</w:t>
      </w:r>
      <w:r>
        <w:rPr>
          <w:rFonts w:ascii="Times New Roman" w:hAnsi="Times New Roman" w:eastAsia="Times New Roman" w:cs="Times New Roman"/>
        </w:rPr>
        <w:t xml:space="preserve"> </w:t>
      </w:r>
      <w:r>
        <w:rPr>
          <w:rFonts w:ascii="Myanmar Text" w:hAnsi="Myanmar Text" w:eastAsia="Myanmar Text" w:cs="Myanmar Text"/>
        </w:rPr>
        <w:t>ထပ်မံပြန်လည်ဖြစ်ပွားသည်။</w:t>
      </w:r>
    </w:p>
    <w:p>
      <w:pPr>
        <w:pStyle w:val="ArticleScripture"/>
        <w:jc w:val="left"/>
      </w:pPr>
      <w:r>
        <w:rPr>
          <w:rFonts w:ascii="Times New Roman" w:hAnsi="Times New Roman" w:eastAsia="Times New Roman" w:cs="Times New Roman"/>
        </w:rPr>
        <w:t>„Ingelii au fost trimiși să-l ajute pe îngerul puternic din cer, și am auzit glasuri care păreau să răsune pretutindeni: Ieșiți din ea, poporul Meu, ca să nu fiți părtași la păcatele ei și să nu primiți din plăgile ei; căci păcatele ei au ajuns până la cer, și Dumnezeu Și-a adus aminte de nelegiuirile ei. Acest mesaj părea să fie o adăugire la a treia solie și s-a unit cu ea, așa cum strigătul de la miezul nopții s-a unit cu solia celui de-al doilea înger în 1844. Slava lui Dumnezeu s-a odihnit asupra sfinților răbdători, care așteptau, iar ei au dat fără teamă ultima avertizare solemnă, vestind căderea Babilonului și chemând pe poporul lui Dumnezeu să iasă din ea, pentru ca să poată scăpa de înfricoșătoarea ei osândă.” Spiritual Gifts, volumul 1, 195.</w:t>
      </w:r>
    </w:p>
    <w:p>
      <w:pPr>
        <w:pStyle w:val="ArticleBody"/>
        <w:jc w:val="left"/>
      </w:pPr>
      <w:r>
        <w:rPr>
          <w:rFonts w:ascii="Times New Roman" w:hAnsi="Times New Roman" w:eastAsia="Times New Roman" w:cs="Times New Roman"/>
        </w:rPr>
        <w:t>Katika muktadha wa matumizi matatu ya unabii, ujumbe wa malaika wa pili unawakilisha matumizi matatu ya unabii, kwa maana ujumbe huo katika kila historia ni kwamba Babeli imeanguka mara mbili.</w:t>
      </w:r>
    </w:p>
    <w:p>
      <w:pPr>
        <w:pStyle w:val="ArticleScripture"/>
        <w:jc w:val="left"/>
      </w:pPr>
      <w:r>
        <w:rPr>
          <w:rFonts w:ascii="Times New Roman" w:hAnsi="Times New Roman" w:eastAsia="Times New Roman" w:cs="Times New Roman"/>
        </w:rPr>
        <w:t>Na akaja malaika mwingine, akisema, Umeanguka, umeanguka Babeli, mji ule mkuu; kwa maana ameyanywesha mataifa yote divai ya ghadhabu ya uasherati wake. Ufunuo 14:8.</w:t>
      </w:r>
    </w:p>
    <w:p>
      <w:pPr>
        <w:pStyle w:val="ArticleBody"/>
        <w:jc w:val="left"/>
      </w:pPr>
      <w:r>
        <w:rPr>
          <w:rFonts w:ascii="Times New Roman" w:hAnsi="Times New Roman" w:eastAsia="Times New Roman" w:cs="Times New Roman"/>
        </w:rPr>
        <w:t>Wamalaika mwenye nguvu wa Ufunuo kumi alishuka pamoja na kutimizwa kwa unabii wa ole wa kwanza na wa pili tarehe 11 Agosti, 1840, na kwa kufanya hivyo alifananisha kushuka kwa yule malaika mwenye nguvu wa Ufunuo sura ya kumi na nane tarehe 11 Septemba, 2001. Yule malaika ambaye huangaza dunia kwa utukufu Wake ndipo akatoa tangazo.</w:t>
      </w:r>
    </w:p>
    <w:p>
      <w:pPr>
        <w:pStyle w:val="ArticleScripture"/>
        <w:jc w:val="left"/>
      </w:pPr>
      <w:r>
        <w:rPr>
          <w:rFonts w:ascii="Times New Roman" w:hAnsi="Times New Roman" w:eastAsia="Times New Roman" w:cs="Times New Roman"/>
        </w:rPr>
        <w:t>Na akuan nafran den kmitoktoh mwe kandan ni kapasen, i apasa, Pabulon mi Lapalap a turu fan, a turu fan, nge a pwarata wia len manau en tiahk, o len katenen ahng koaros mi samin, o imwen pwepwer en manpir koaros mi samin o kalahngan. Kapalihpen Kadeik 18:2.</w:t>
      </w:r>
    </w:p>
    <w:p>
      <w:pPr>
        <w:pStyle w:val="ArticleBody"/>
        <w:jc w:val="left"/>
      </w:pP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চৌদ্দের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আঠারোর</w:t>
      </w:r>
      <w:r>
        <w:rPr>
          <w:rFonts w:ascii="Times New Roman" w:hAnsi="Times New Roman" w:eastAsia="Times New Roman" w:cs="Times New Roman"/>
        </w:rPr>
        <w:t xml:space="preserve"> </w:t>
      </w:r>
      <w:r>
        <w:rPr>
          <w:rFonts w:ascii="Nirmala UI" w:hAnsi="Nirmala UI" w:eastAsia="Nirmala UI" w:cs="Nirmala UI"/>
        </w:rPr>
        <w:t>পরাক্রান্ত</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বিষয়টিই</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দুইবার</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বার্তাই</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বাবিলকে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বাবিলকে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বাবিলের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দুইবার</w:t>
      </w:r>
      <w:r>
        <w:rPr>
          <w:rFonts w:ascii="Times New Roman" w:hAnsi="Times New Roman" w:eastAsia="Times New Roman" w:cs="Times New Roman"/>
        </w:rPr>
        <w:t xml:space="preserve"> </w:t>
      </w:r>
      <w:r>
        <w:rPr>
          <w:rFonts w:ascii="Nirmala UI" w:hAnsi="Nirmala UI" w:eastAsia="Nirmala UI" w:cs="Nirmala UI"/>
        </w:rPr>
        <w:t>পতন</w:t>
      </w:r>
      <w:r>
        <w:rPr>
          <w:rFonts w:ascii="Times New Roman" w:hAnsi="Times New Roman" w:eastAsia="Times New Roman" w:cs="Times New Roman"/>
        </w:rPr>
        <w:t xml:space="preserve"> </w:t>
      </w:r>
      <w:r>
        <w:rPr>
          <w:rFonts w:ascii="Nirmala UI" w:hAnsi="Nirmala UI" w:eastAsia="Nirmala UI" w:cs="Nirmala UI"/>
        </w:rPr>
        <w:t>ঘটেছিল</w:t>
      </w:r>
      <w:r>
        <w:rPr>
          <w:rFonts w:ascii="Times New Roman" w:hAnsi="Times New Roman" w:eastAsia="Times New Roman" w:cs="Times New Roman"/>
        </w:rPr>
        <w:t>—</w:t>
      </w:r>
      <w:r>
        <w:rPr>
          <w:rFonts w:ascii="Nirmala UI" w:hAnsi="Nirmala UI" w:eastAsia="Nirmala UI" w:cs="Nirmala UI"/>
        </w:rPr>
        <w:t>নিম্রোদের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নবূখদনিসর</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বেলশৎসর</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বেশ্যার</w:t>
      </w:r>
      <w:r>
        <w:rPr>
          <w:rFonts w:ascii="Times New Roman" w:hAnsi="Times New Roman" w:eastAsia="Times New Roman" w:cs="Times New Roman"/>
        </w:rPr>
        <w:t xml:space="preserve"> </w:t>
      </w:r>
      <w:r>
        <w:rPr>
          <w:rFonts w:ascii="Nirmala UI" w:hAnsi="Nirmala UI" w:eastAsia="Nirmala UI" w:cs="Nirmala UI"/>
        </w:rPr>
        <w:t>পতনের</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বৈশিষ্ট্যসমূহ</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কপালে</w:t>
      </w:r>
      <w:r>
        <w:rPr>
          <w:rFonts w:ascii="Times New Roman" w:hAnsi="Times New Roman" w:eastAsia="Times New Roman" w:cs="Times New Roman"/>
        </w:rPr>
        <w:t xml:space="preserve"> </w:t>
      </w:r>
      <w:r>
        <w:rPr>
          <w:rFonts w:ascii="Nirmala UI" w:hAnsi="Nirmala UI" w:eastAsia="Nirmala UI" w:cs="Nirmala UI"/>
        </w:rPr>
        <w:t>লিখিত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বাবিলের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পতনকে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বাবিলের</w:t>
      </w:r>
      <w:r>
        <w:rPr>
          <w:rFonts w:ascii="Times New Roman" w:hAnsi="Times New Roman" w:eastAsia="Times New Roman" w:cs="Times New Roman"/>
        </w:rPr>
        <w:t xml:space="preserve"> </w:t>
      </w:r>
      <w:r>
        <w:rPr>
          <w:rFonts w:ascii="Nirmala UI" w:hAnsi="Nirmala UI" w:eastAsia="Nirmala UI" w:cs="Nirmala UI"/>
        </w:rPr>
        <w:t>পূর্ববর্তী</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পতনের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সাক্ষীর</w:t>
      </w:r>
      <w:r>
        <w:rPr>
          <w:rFonts w:ascii="Times New Roman" w:hAnsi="Times New Roman" w:eastAsia="Times New Roman" w:cs="Times New Roman"/>
        </w:rPr>
        <w:t xml:space="preserve"> </w:t>
      </w:r>
      <w:r>
        <w:rPr>
          <w:rFonts w:ascii="Nirmala UI" w:hAnsi="Nirmala UI" w:eastAsia="Nirmala UI" w:cs="Nirmala UI"/>
        </w:rPr>
        <w:t>প্রয়োজন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পরাক্রান্ত</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অবতীর্ণ</w:t>
      </w:r>
      <w:r>
        <w:rPr>
          <w:rFonts w:ascii="Times New Roman" w:hAnsi="Times New Roman" w:eastAsia="Times New Roman" w:cs="Times New Roman"/>
        </w:rPr>
        <w:t xml:space="preserve"> </w:t>
      </w:r>
      <w:r>
        <w:rPr>
          <w:rFonts w:ascii="Nirmala UI" w:hAnsi="Nirmala UI" w:eastAsia="Nirmala UI" w:cs="Nirmala UI"/>
        </w:rPr>
        <w:t>হলেন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স্পর্শে</w:t>
      </w:r>
      <w:r>
        <w:rPr>
          <w:rFonts w:ascii="Times New Roman" w:hAnsi="Times New Roman" w:eastAsia="Times New Roman" w:cs="Times New Roman"/>
        </w:rPr>
        <w:t xml:space="preserve"> </w:t>
      </w:r>
      <w:r>
        <w:rPr>
          <w:rFonts w:ascii="Nirmala UI" w:hAnsi="Nirmala UI" w:eastAsia="Nirmala UI" w:cs="Nirmala UI"/>
        </w:rPr>
        <w:t>নিউ</w:t>
      </w:r>
      <w:r>
        <w:rPr>
          <w:rFonts w:ascii="Times New Roman" w:hAnsi="Times New Roman" w:eastAsia="Times New Roman" w:cs="Times New Roman"/>
        </w:rPr>
        <w:t xml:space="preserve"> </w:t>
      </w:r>
      <w:r>
        <w:rPr>
          <w:rFonts w:ascii="Nirmala UI" w:hAnsi="Nirmala UI" w:eastAsia="Nirmala UI" w:cs="Nirmala UI"/>
        </w:rPr>
        <w:t>ইয়র্ক</w:t>
      </w:r>
      <w:r>
        <w:rPr>
          <w:rFonts w:ascii="Times New Roman" w:hAnsi="Times New Roman" w:eastAsia="Times New Roman" w:cs="Times New Roman"/>
        </w:rPr>
        <w:t xml:space="preserve"> </w:t>
      </w:r>
      <w:r>
        <w:rPr>
          <w:rFonts w:ascii="Nirmala UI" w:hAnsi="Nirmala UI" w:eastAsia="Nirmala UI" w:cs="Nirmala UI"/>
        </w:rPr>
        <w:t>নগরের</w:t>
      </w:r>
      <w:r>
        <w:rPr>
          <w:rFonts w:ascii="Times New Roman" w:hAnsi="Times New Roman" w:eastAsia="Times New Roman" w:cs="Times New Roman"/>
        </w:rPr>
        <w:t xml:space="preserve"> </w:t>
      </w:r>
      <w:r>
        <w:rPr>
          <w:rFonts w:ascii="Nirmala UI" w:hAnsi="Nirmala UI" w:eastAsia="Nirmala UI" w:cs="Nirmala UI"/>
        </w:rPr>
        <w:t>মহৎ</w:t>
      </w:r>
      <w:r>
        <w:rPr>
          <w:rFonts w:ascii="Times New Roman" w:hAnsi="Times New Roman" w:eastAsia="Times New Roman" w:cs="Times New Roman"/>
        </w:rPr>
        <w:t xml:space="preserve"> </w:t>
      </w:r>
      <w:r>
        <w:rPr>
          <w:rFonts w:ascii="Nirmala UI" w:hAnsi="Nirmala UI" w:eastAsia="Nirmala UI" w:cs="Nirmala UI"/>
        </w:rPr>
        <w:t>অট্টালিকাসমূহ</w:t>
      </w:r>
      <w:r>
        <w:rPr>
          <w:rFonts w:ascii="Times New Roman" w:hAnsi="Times New Roman" w:eastAsia="Times New Roman" w:cs="Times New Roman"/>
        </w:rPr>
        <w:t xml:space="preserve"> </w:t>
      </w:r>
      <w:r>
        <w:rPr>
          <w:rFonts w:ascii="Nirmala UI" w:hAnsi="Nirmala UI" w:eastAsia="Nirmala UI" w:cs="Nirmala UI"/>
        </w:rPr>
        <w:t>ভূপতিত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ঘোষণার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প্রয়োগের</w:t>
      </w:r>
      <w:r>
        <w:rPr>
          <w:rFonts w:ascii="Times New Roman" w:hAnsi="Times New Roman" w:eastAsia="Times New Roman" w:cs="Times New Roman"/>
        </w:rPr>
        <w:t xml:space="preserve"> </w:t>
      </w:r>
      <w:r>
        <w:rPr>
          <w:rFonts w:ascii="Nirmala UI" w:hAnsi="Nirmala UI" w:eastAsia="Nirmala UI" w:cs="Nirmala UI"/>
        </w:rPr>
        <w:t>নিয়মকে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পরিপূর্তি</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দুর্দশার</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প্রয়োগ।</w:t>
      </w:r>
    </w:p>
    <w:p>
      <w:pPr>
        <w:pStyle w:val="ArticleBody"/>
        <w:jc w:val="left"/>
      </w:pPr>
      <w:r>
        <w:rPr>
          <w:rFonts w:ascii="Times New Roman" w:hAnsi="Times New Roman" w:eastAsia="Times New Roman" w:cs="Times New Roman"/>
        </w:rPr>
        <w:t>Nan bòn sa a, anpil moun te mete tèt yo ansanm ak mouvman Future for America, e yo te vin konvenki de prensip entèpretasyon pwofetik Future for America te itilize yo. 11 dawou 1840 te repete, e lè sa a repete konsa, repètisyon an pa t konfime règ prensipal Miller la, sètadi ke yon jou reprezante yon ane nan pwofesi biblik; paske règ prensipal Future for America se te ke istwa Millerit mesaj premye ak dezyèm zanj yo repete nan istwa mouvman twazyèm zanj lan.</w:t>
      </w:r>
    </w:p>
    <w:p>
      <w:pPr>
        <w:pStyle w:val="ArticleBody"/>
        <w:jc w:val="left"/>
      </w:pPr>
      <w:r>
        <w:rPr>
          <w:rFonts w:ascii="Times New Roman" w:hAnsi="Times New Roman" w:eastAsia="Times New Roman" w:cs="Times New Roman"/>
        </w:rPr>
        <w:t>Cela semble aller de soi que, si l’année 1840 devint la cible d’une attaque spécifique de sa majesté satanique, ainsi que Sister White identifie Satan, alors l’histoire du 11 septembre 2001 serait, elle aussi, sujette à une attaque semblable. Ainsi, nous trouvons des théories du complot qui attribuent un rôle aux mondialistes, ou aux Jésuites, ou à la CIA, ou aux Bush, ou à quelque combinaison de ces puissances. Ces théories, bien qu’elles contiennent certains éléments de vérité, sont conçues pour réfuter l’idée que ce fut une intervention de Dieu qui fit tomber les grands édifices de la ville de New York, marquant ainsi l’arrivée du troisième malheur dans l’histoire du mouvement des cent quarante-quatre mille.</w:t>
      </w:r>
    </w:p>
    <w:p>
      <w:pPr>
        <w:pStyle w:val="ArticleScripture"/>
        <w:jc w:val="left"/>
      </w:pPr>
      <w:r>
        <w:rPr>
          <w:rFonts w:ascii="Times New Roman" w:hAnsi="Times New Roman" w:eastAsia="Times New Roman" w:cs="Times New Roman"/>
        </w:rPr>
        <w:t>«آیا اکنون این سخن در میان است که من اعلام کرده‌ام نیویورک باید به‌وسیلهٔ موجی عظیم جارو شود؟ من هرگز چنین نگفته‌ام. من گفته‌ام، هنگامی که به ساختمان‌های عظیمی که در آنجا، طبقه بر طبقه، سر برمی‌آورند می‌نگریستم: “چه صحنه‌های هولناکی رخ خواهد داد، آن‌گاه که خداوند برخیزد تا زمین را به‌شدت بلرزاند! آن‌گاه کلمات مکاشفهٔ ۱۸:‏۱–۳ به انجام خواهد رسید.” تمام فصل هجدهم مکاشفه هشداری است از آنچه بر زمین خواهد آمد. اما من هیچ نوری به‌طور خاص دربارهٔ آنچه بر نیویورک خواهد آمد ندارم، جز این‌که می‌دانم روزی ساختمان‌های عظیم آنجا به‌وسیلهٔ گردش و واژگونیِ قدرت خدا فرو افکنده خواهند شد. از نوری که به من داده شده است، می‌دانم که هلاکت در جهان است. یک کلمه از سوی خداوند، یک لمس از قدرت عظیم او، و این بناهای سترگ فرو خواهند ریخت. صحنه‌هایی رخ خواهد داد که هراس‌انگیزیِ آن‌ها را نمی‌توانیم تصور کنیم.» Review and Herald, July 5, 1906.</w:t>
      </w:r>
    </w:p>
    <w:p>
      <w:pPr>
        <w:pStyle w:val="ArticleBody"/>
        <w:jc w:val="left"/>
      </w:pPr>
      <w:r>
        <w:rPr>
          <w:rFonts w:ascii="Times New Roman" w:hAnsi="Times New Roman" w:eastAsia="Times New Roman" w:cs="Times New Roman"/>
        </w:rPr>
        <w:t>Mu muvugishwamvugo z’ugushaka impamvu z’ibanga, zaba zitarimo ukuri na guke cyangwa zirimo ukuri ku rugero runaka, zose zisenya ukuri kw’uko ibyabaye kuri iyo tariki byazanywe n’igikorwa cy’Imana cy’ubuyobozi bwayo. Izo mvugishwamvugo zitandukanye z’ugushaka impamvu z’ibanga ni igitero cya Satani giturutse inyuma y’uwo mutwe kirwanya ukuri, ariko kandi yanakoze kugira ngo asenye ukuri avuye imbere muri uwo mutwe. Kimwe muri ibyo bitero byo mu imbere gishingiye ku kwanga ko Roma ari yo ngingo ivugwa mu gitabo cya Yoweli.</w:t>
      </w:r>
    </w:p>
    <w:p>
      <w:pPr>
        <w:pStyle w:val="ArticleBody"/>
        <w:jc w:val="left"/>
      </w:pPr>
      <w:r>
        <w:rPr>
          <w:rFonts w:ascii="Times New Roman" w:hAnsi="Times New Roman" w:eastAsia="Times New Roman" w:cs="Times New Roman"/>
        </w:rPr>
        <w:t>Nous examinerons cette controverse dans le prochain article.</w:t>
      </w:r>
    </w:p>
    <w:p>
      <w:pPr>
        <w:pStyle w:val="ArticleScripture"/>
        <w:jc w:val="left"/>
      </w:pPr>
      <w:r>
        <w:rPr>
          <w:rFonts w:ascii="Times New Roman" w:hAnsi="Times New Roman" w:eastAsia="Times New Roman" w:cs="Times New Roman"/>
        </w:rPr>
        <w:t>Pethuels sønn Joel fikk dette Herrens ord: Hør dette, dere gamle menn, og lytt, alle dere som bor i landet. Har noe slikt hendt i deres dager, eller i deres fedres dager? Fortell deres barn om det, og la deres barn fortelle sine barn, og deres barn en annen slekt. Det som gresshoppen lot bli tilbake, åt den vrimlende gresshoppen opp; og det som den vrimlende gresshoppen lot bli tilbake, åt larven opp; og det som larven lot bli tilbake, åt den gnagende gresshoppen opp. Våkn opp, dere drukkenbolter, og gråt; og klag, alle dere som drikker vin, over den nye vinen, for den er revet bort fra deres munn. For et folk er kommet opp over mitt land, mektig og uten tall; dets tenner er som løvens tenner, og det har jekslene til en stor løve. Joel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रोम दर्शन को स्थापित करता है — संख्या दस</dc:title>
  <dc:subject>अंतिम विवाद: योएल की पुस्तक, न्यूयॉर्क का पतन, और एडवेंट इतिहास में रोम का प्रतीक</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