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algun Gothic" w:hAnsi="Malgun Gothic" w:eastAsia="Malgun Gothic" w:cs="Malgun Gothic"/>
        </w:rPr>
        <w:t>로마는</w:t>
      </w:r>
      <w:r>
        <w:rPr>
          <w:rFonts w:ascii="Arial" w:hAnsi="Arial" w:eastAsia="Arial" w:cs="Arial"/>
        </w:rPr>
        <w:t xml:space="preserve"> </w:t>
      </w:r>
      <w:r>
        <w:rPr>
          <w:rFonts w:ascii="Malgun Gothic" w:hAnsi="Malgun Gothic" w:eastAsia="Malgun Gothic" w:cs="Malgun Gothic"/>
        </w:rPr>
        <w:t>그</w:t>
      </w:r>
      <w:r>
        <w:rPr>
          <w:rFonts w:ascii="Arial" w:hAnsi="Arial" w:eastAsia="Arial" w:cs="Arial"/>
        </w:rPr>
        <w:t xml:space="preserve"> </w:t>
      </w:r>
      <w:r>
        <w:rPr>
          <w:rFonts w:ascii="Malgun Gothic" w:hAnsi="Malgun Gothic" w:eastAsia="Malgun Gothic" w:cs="Malgun Gothic"/>
        </w:rPr>
        <w:t>환상을</w:t>
      </w:r>
      <w:r>
        <w:rPr>
          <w:rFonts w:ascii="Arial" w:hAnsi="Arial" w:eastAsia="Arial" w:cs="Arial"/>
        </w:rPr>
        <w:t xml:space="preserve"> </w:t>
      </w:r>
      <w:r>
        <w:rPr>
          <w:rFonts w:ascii="Malgun Gothic" w:hAnsi="Malgun Gothic" w:eastAsia="Malgun Gothic" w:cs="Malgun Gothic"/>
        </w:rPr>
        <w:t>확립한다</w:t>
      </w:r>
      <w:r>
        <w:rPr>
          <w:rFonts w:ascii="Arial" w:hAnsi="Arial" w:eastAsia="Arial" w:cs="Arial"/>
        </w:rPr>
        <w:t xml:space="preserve"> - </w:t>
      </w:r>
      <w:r>
        <w:rPr>
          <w:rFonts w:ascii="Malgun Gothic" w:hAnsi="Malgun Gothic" w:eastAsia="Malgun Gothic" w:cs="Malgun Gothic"/>
        </w:rPr>
        <w:t>열한</w:t>
      </w:r>
      <w:r>
        <w:rPr>
          <w:rFonts w:ascii="Arial" w:hAnsi="Arial" w:eastAsia="Arial" w:cs="Arial"/>
        </w:rPr>
        <w:t xml:space="preserve"> </w:t>
      </w:r>
      <w:r>
        <w:rPr>
          <w:rFonts w:ascii="Malgun Gothic" w:hAnsi="Malgun Gothic" w:eastAsia="Malgun Gothic" w:cs="Malgun Gothic"/>
        </w:rPr>
        <w:t>번째</w:t>
      </w:r>
      <w:r>
        <w:rPr>
          <w:rFonts w:ascii="Arial" w:hAnsi="Arial" w:eastAsia="Arial" w:cs="Arial"/>
        </w:rPr>
        <w:t xml:space="preserve"> </w:t>
      </w:r>
      <w:r>
        <w:rPr>
          <w:rFonts w:ascii="Malgun Gothic" w:hAnsi="Malgun Gothic" w:eastAsia="Malgun Gothic" w:cs="Malgun Gothic"/>
        </w:rPr>
        <w:t>수</w:t>
      </w:r>
    </w:p>
    <w:p>
      <w:pPr>
        <w:pStyle w:val="ArticleSubtitle"/>
        <w:jc w:val="left"/>
      </w:pPr>
      <w:r>
        <w:rPr>
          <w:rFonts w:ascii="Arial" w:hAnsi="Arial" w:eastAsia="Arial" w:cs="Arial"/>
        </w:rPr>
        <w:t>Comprendre la triple application de la prophétie : le 11 septembre 2001, et le processus final de mise à l’épreuve de l’adventisme laodicéen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De même que le 11 août 1840 confirma les règles adoptées par Miller, après le 11 septembre 2001 il fut reconnu par ceux qui étaient disposés à voir que les principes prophétiques adoptés par Future for America constituaient la véritable méthodologie biblique de la pluie de l’arrière-saison, telle qu’exposée au chapitre vingt-huit d’Ésaïe. L’application de ligne de réforme sur ligne de réforme, telle qu’elle est présentée dans l’histoire sacrée, établit que le 11 septembre 2001 était une répétition du 11 août 1840.</w:t>
      </w:r>
    </w:p>
    <w:p>
      <w:pPr>
        <w:pStyle w:val="ArticleBody"/>
        <w:jc w:val="left"/>
      </w:pPr>
      <w:r>
        <w:rPr>
          <w:rFonts w:ascii="Times New Roman" w:hAnsi="Times New Roman" w:eastAsia="Times New Roman" w:cs="Times New Roman"/>
        </w:rPr>
        <w:t>Naqularnikuarpoq saqqummersitat qulinganni inngiliat nukittooq 1840-mi aqqartoq 2001-mi aqqarneranut assersuutigineqartoq. Inngilit taakkua marluk tamarmik Islamimut tunngasumik siulittuummik eqquutinneqarnermik nalaani aqqarput. Taava angalariaaseq taanna sunniuteqartoq angutit arnallu akissuteqarfigimmassuk aallarneq siuariartorpoq. Laodiceami Seventh-day Adventistit aqutsisuunerat 1989-mi, piffissap naggataani, saneqqunneqarpoq; massakkullu ilagiit taakkua misilerarneqarnissamut kingullermut ingerlaqqipput, Naalagaq pingajuat inngili pillugu aallarneq ulluni kingullerni oqaatsini saqqummersittartussaattut toqqartorniarlugu.</w:t>
      </w:r>
    </w:p>
    <w:p>
      <w:pPr>
        <w:pStyle w:val="ArticleBody"/>
        <w:jc w:val="left"/>
      </w:pPr>
      <w:r>
        <w:rPr>
          <w:rFonts w:ascii="Times New Roman" w:hAnsi="Times New Roman" w:eastAsia="Times New Roman" w:cs="Times New Roman"/>
        </w:rPr>
        <w:t>Eine vorrangige Regel unter den für die letzten Tage gegebenen Regeln war die dreifache Anwendung der Prophetie. Besonders in jener Zeit war dies bei der dreifachen Anwendung der drei Wehe der Fall, die das Ereignis vom 11. September 2001 so deutlich bestätigte. Als jene Wahrheit aufrichtig untersucht wurde, erkannten diejenigen, die damals mit Herzen, die nach der Wahrheit suchten, zu Jeremias „alten Pfaden“ geführt wurden, die prophetische Erfüllung ebenso wie die Gültigkeit der Regeln prophetischer Auslegung, die von der Bewegung des dritten Engels angenommen worden waren, als gültig an.</w:t>
      </w:r>
    </w:p>
    <w:p>
      <w:pPr>
        <w:pStyle w:val="ArticleBody"/>
        <w:jc w:val="left"/>
      </w:pPr>
      <w:r>
        <w:rPr>
          <w:rFonts w:ascii="Times New Roman" w:hAnsi="Times New Roman" w:eastAsia="Times New Roman" w:cs="Times New Roman"/>
        </w:rPr>
        <w:t>On vit que la compréhension correcte qu’avaient les pionniers de l’histoire du premier malheur d’Apocalypse chapitre neuf représentait l’islam. Le faux prophète Mahomet fut reconnu comme étant le roi de cette histoire. Dans cette histoire, l’islam devait attaquer l’Empire romain, et son mode de guerre fut expressément identifié comme frappant soudainement et à l’improviste. À cet égard, on comprit que le mode même de guerre de l’islam fournissait les racines étymologiques du mot « assassin ». Dans cette histoire, l’islam devait faire du tort aux armées de Rome, et la période se termina sous le jalon d’une prophétie de temps de cent cinquante ans. Lorsque cette prophétie de temps prit fin le 27 juillet 1449, la prophétie de temps et l’histoire du second malheur commencèrent.</w:t>
      </w:r>
    </w:p>
    <w:p>
      <w:pPr>
        <w:pStyle w:val="ArticleBody"/>
        <w:jc w:val="left"/>
      </w:pPr>
      <w:r>
        <w:rPr>
          <w:rFonts w:ascii="Times New Roman" w:hAnsi="Times New Roman" w:eastAsia="Times New Roman" w:cs="Times New Roman"/>
        </w:rPr>
        <w:t>Ebbe anoþer tyme-prophecie of þree hundred and nynti and oon yeeris and fiftene dayes, þat endide on August 11, 1840. In þat historie þe ruler þat representide þe prophetyk werk of Islam was Ottman, who hadde ben typified by Mohammed in þe historie of þe firste wo. Chapter nyne seith þat in þe historie of þe secounde wo, Islam wolde sle þe hostes of Rome. Thei schulde yit exercise þe manere of werrefare, assailinge sodeinly and unwarli, but in þat historie gunpowder was firste foundun and used; so þe secounde wo representide a manere of werrefare signified by þe assassin’s sodein assaut, and over þat it includide explosyves.</w:t>
      </w:r>
    </w:p>
    <w:p>
      <w:pPr>
        <w:pStyle w:val="ArticleBody"/>
        <w:jc w:val="left"/>
      </w:pPr>
      <w:r>
        <w:rPr>
          <w:rFonts w:ascii="Times New Roman" w:hAnsi="Times New Roman" w:eastAsia="Times New Roman" w:cs="Times New Roman"/>
        </w:rPr>
        <w:t>Ngomhla we-11 kuMandulo 2001 umaye wesithathu wobuSulumane washaya ngeziqhumane amabutho omoya aseRoma ngokuzumayo. Leso sehlakalo saba uphawu lokuqala kwemigqa eminingana yeqiniso lesiprofetho, kodwa sasimisiwe ngokucacile phezu kofakazi ababili bangaphambili bomaye wokuqala nowesibili. Leso sehlakalo sabonisa ngokusobala ukuthi, njengoba kwaba khona ukunikwa amandla emlandweni wamaMillerite wango-11 ku-Agasti 1840, lapho isiprofetho sobuSulumane somaye wesibili sigcwaliseka futhi ingelosi yesAmbulo ishumi yehla, kanjalo lapho isiprofetho sobuSulumane somaye wesithathu sifika, saphawula ukwehla kwengelosi yesAmbulo ishumi nesishiyagalombili ngalolo suku.</w:t>
      </w:r>
    </w:p>
    <w:p>
      <w:pPr>
        <w:pStyle w:val="ArticleScripture"/>
        <w:jc w:val="left"/>
      </w:pPr>
      <w:r>
        <w:rPr>
          <w:rFonts w:ascii="Times New Roman" w:hAnsi="Times New Roman" w:eastAsia="Times New Roman" w:cs="Times New Roman"/>
        </w:rPr>
        <w:t>« Est-ce maintenant que l’on rapporte la parole que j’aurais déclarée, à savoir que New York doit être emportée par un raz de marée ? Je n’ai jamais dit cela. J’ai dit, tandis que je regardais les grands édifices qui s’y élevaient, étage après étage : “Quelles scènes terribles se produiront lorsque le Seigneur se lèvera pour ébranler puissamment la terre ! Alors s’accompliront les paroles d’Apocalypse 18:1–3.” Tout le dix-huitième chapitre de l’Apocalypse est un avertissement de ce qui vient sur la terre. Mais je n’ai reçu aucune lumière particulière quant à ce qui doit venir sur New York, sinon que je sais qu’un jour les grands bâtiments qui s’y trouvent seront renversés par le déploiement et le bouleversement de la puissance de Dieu. D’après la lumière qui m’a été donnée, je sais que la destruction est dans le monde. Une parole du Seigneur, un attouchement de sa puissance toute-puissante, et ces structures massives tomberont. Des scènes se produiront dont nous ne pouvons imaginer l’effroi. » Review and Herald, 5 juillet 1906.</w:t>
      </w:r>
    </w:p>
    <w:p>
      <w:pPr>
        <w:pStyle w:val="ArticleBody"/>
        <w:jc w:val="left"/>
      </w:pPr>
      <w:r>
        <w:rPr>
          <w:rFonts w:ascii="Times New Roman" w:hAnsi="Times New Roman" w:eastAsia="Times New Roman" w:cs="Times New Roman"/>
        </w:rPr>
        <w:t>Le mouvement de Future for America fut alors reconnu, par ceux qui étaient disposés à le voir, comme le parallèle du mouvement millérite. L’islam de la troisième malédiction devint dès lors un élément primordial du message. L’Inspiration enseignait clairement que, lorsque l’ange de l’Apocalypse descendrait, la pluie de l’arrière-saison arriverait.</w:t>
      </w:r>
    </w:p>
    <w:p>
      <w:pPr>
        <w:pStyle w:val="ArticleScripture"/>
        <w:jc w:val="left"/>
      </w:pPr>
      <w:r>
        <w:rPr>
          <w:rFonts w:ascii="Times New Roman" w:hAnsi="Times New Roman" w:eastAsia="Times New Roman" w:cs="Times New Roman"/>
        </w:rPr>
        <w:t>«Дождь поздний должен излиться на народ Божий. Могущественный ангел должен сойти с неба, и вся земля должна озариться его славой». Review and Herald, 21 апреля 1891 г.</w:t>
      </w:r>
    </w:p>
    <w:p>
      <w:pPr>
        <w:pStyle w:val="ArticleBody"/>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उत्तरवर्षा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व्यापक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खोलना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उत्तरवर्षा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प्रमुख</w:t>
      </w:r>
      <w:r>
        <w:rPr>
          <w:rFonts w:ascii="Times New Roman" w:hAnsi="Times New Roman" w:eastAsia="Times New Roman" w:cs="Times New Roman"/>
        </w:rPr>
        <w:t xml:space="preserve"> </w:t>
      </w:r>
      <w:r>
        <w:rPr>
          <w:rFonts w:ascii="Nirmala UI" w:hAnsi="Nirmala UI" w:eastAsia="Nirmala UI" w:cs="Nirmala UI"/>
        </w:rPr>
        <w:t>संदर्भ</w:t>
      </w:r>
      <w:r>
        <w:rPr>
          <w:rFonts w:ascii="Times New Roman" w:hAnsi="Times New Roman" w:eastAsia="Times New Roman" w:cs="Times New Roman"/>
        </w:rPr>
        <w:t>-</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11 </w:t>
      </w:r>
      <w:r>
        <w:rPr>
          <w:rFonts w:ascii="Nirmala UI" w:hAnsi="Nirmala UI" w:eastAsia="Nirmala UI" w:cs="Nirmala UI"/>
        </w:rPr>
        <w:t>सितम्बर</w:t>
      </w:r>
      <w:r>
        <w:rPr>
          <w:rFonts w:ascii="Times New Roman" w:hAnsi="Times New Roman" w:eastAsia="Times New Roman" w:cs="Times New Roman"/>
        </w:rPr>
        <w:t xml:space="preserve"> 2001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ठहराने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कीट</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दाखलता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जागरण</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कीट</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Lúmë alassëa i tuluvasë anaisenë sanwëa i neldepa quetilëo i unquanta lúmessë maquettië i neldë nahtaliën napanë únairina nolwëa tulca tenna i námië lenquë i hlócë umner representë Islam. Sí ve quettar ná, yá sanwë hyanëa mirilya mapëa, then i Hostainar hlarëa hostalë nátëa an yesta i falyëa nórë. Mi i mótaina tenna tulta i ténëa cenielto, sintaner sa lá istaner i sungwa i típa ar antitípa.</w:t>
      </w:r>
    </w:p>
    <w:p>
      <w:pPr>
        <w:pStyle w:val="ArticleBody"/>
        <w:jc w:val="left"/>
      </w:pPr>
      <w:r>
        <w:rPr>
          <w:rFonts w:ascii="Times New Roman" w:hAnsi="Times New Roman" w:eastAsia="Times New Roman" w:cs="Times New Roman"/>
        </w:rPr>
        <w:t>Mu masomo ya tewolojiya n’aya Bibiliya, amagambo “type” na “antitype” akoreshwa mu gusobanura isano iri hagati y’ibintu bibiri, aho kimwe kibanza kugaragaza cyangwa kugicishiriza ikindi. Iyi ngingo akenshi ishyirwa mu byiciro byagutse kurushaho by’“igicucu” n’“ukuri nyakuri.”</w:t>
      </w:r>
    </w:p>
    <w:p>
      <w:pPr>
        <w:pStyle w:val="ArticleBody"/>
        <w:jc w:val="left"/>
      </w:pP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ቅርጺ</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ምልክታዊ</w:t>
      </w:r>
      <w:r>
        <w:rPr>
          <w:rFonts w:ascii="Times New Roman" w:hAnsi="Times New Roman" w:eastAsia="Times New Roman" w:cs="Times New Roman"/>
        </w:rPr>
        <w:t xml:space="preserve"> </w:t>
      </w:r>
      <w:r>
        <w:rPr>
          <w:rFonts w:ascii="Ebrima" w:hAnsi="Ebrima" w:eastAsia="Ebrima" w:cs="Ebrima"/>
        </w:rPr>
        <w:t>ኣብነት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ብሉይ</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ዝርከብ</w:t>
      </w:r>
      <w:r>
        <w:rPr>
          <w:rFonts w:ascii="Times New Roman" w:hAnsi="Times New Roman" w:eastAsia="Times New Roman" w:cs="Times New Roman"/>
        </w:rPr>
        <w:t xml:space="preserve"> </w:t>
      </w:r>
      <w:r>
        <w:rPr>
          <w:rFonts w:ascii="Ebrima" w:hAnsi="Ebrima" w:eastAsia="Ebrima" w:cs="Ebrima"/>
        </w:rPr>
        <w:t>ፍጻመ፣</w:t>
      </w:r>
      <w:r>
        <w:rPr>
          <w:rFonts w:ascii="Times New Roman" w:hAnsi="Times New Roman" w:eastAsia="Times New Roman" w:cs="Times New Roman"/>
        </w:rPr>
        <w:t xml:space="preserve"> </w:t>
      </w:r>
      <w:r>
        <w:rPr>
          <w:rFonts w:ascii="Ebrima" w:hAnsi="Ebrima" w:eastAsia="Ebrima" w:cs="Ebrima"/>
        </w:rPr>
        <w:t>ሰብ፣</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ትካል</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እሱ</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ተመሳሳሊ</w:t>
      </w:r>
      <w:r>
        <w:rPr>
          <w:rFonts w:ascii="Times New Roman" w:hAnsi="Times New Roman" w:eastAsia="Times New Roman" w:cs="Times New Roman"/>
        </w:rPr>
        <w:t xml:space="preserve"> </w:t>
      </w:r>
      <w:r>
        <w:rPr>
          <w:rFonts w:ascii="Ebrima" w:hAnsi="Ebrima" w:eastAsia="Ebrima" w:cs="Ebrima"/>
        </w:rPr>
        <w:t>ፍጻመ፣</w:t>
      </w:r>
      <w:r>
        <w:rPr>
          <w:rFonts w:ascii="Times New Roman" w:hAnsi="Times New Roman" w:eastAsia="Times New Roman" w:cs="Times New Roman"/>
        </w:rPr>
        <w:t xml:space="preserve"> </w:t>
      </w:r>
      <w:r>
        <w:rPr>
          <w:rFonts w:ascii="Ebrima" w:hAnsi="Ebrima" w:eastAsia="Ebrima" w:cs="Ebrima"/>
        </w:rPr>
        <w:t>ሰብ፣</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ትካል</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ሓድሽ</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ኣቐዲሙ</w:t>
      </w:r>
      <w:r>
        <w:rPr>
          <w:rFonts w:ascii="Times New Roman" w:hAnsi="Times New Roman" w:eastAsia="Times New Roman" w:cs="Times New Roman"/>
        </w:rPr>
        <w:t xml:space="preserve"> </w:t>
      </w:r>
      <w:r>
        <w:rPr>
          <w:rFonts w:ascii="Ebrima" w:hAnsi="Ebrima" w:eastAsia="Ebrima" w:cs="Ebrima"/>
        </w:rPr>
        <w:t>ዝገልጽ</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ዝጥቀስ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ምልክታዊ</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መግለጺ</w:t>
      </w:r>
      <w:r>
        <w:rPr>
          <w:rFonts w:ascii="Times New Roman" w:hAnsi="Times New Roman" w:eastAsia="Times New Roman" w:cs="Times New Roman"/>
        </w:rPr>
        <w:t xml:space="preserve"> </w:t>
      </w:r>
      <w:r>
        <w:rPr>
          <w:rFonts w:ascii="Ebrima" w:hAnsi="Ebrima" w:eastAsia="Ebrima" w:cs="Ebrima"/>
        </w:rPr>
        <w:t>የገልግል።</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ኣንቲታይፕ</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ምፍጻሜ</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ትክክለኛ</w:t>
      </w:r>
      <w:r>
        <w:rPr>
          <w:rFonts w:ascii="Times New Roman" w:hAnsi="Times New Roman" w:eastAsia="Times New Roman" w:cs="Times New Roman"/>
        </w:rPr>
        <w:t xml:space="preserve"> </w:t>
      </w:r>
      <w:r>
        <w:rPr>
          <w:rFonts w:ascii="Ebrima" w:hAnsi="Ebrima" w:eastAsia="Ebrima" w:cs="Ebrima"/>
        </w:rPr>
        <w:t>ምግሃድ</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ታይፕ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ብታይፕ</w:t>
      </w:r>
      <w:r>
        <w:rPr>
          <w:rFonts w:ascii="Times New Roman" w:hAnsi="Times New Roman" w:eastAsia="Times New Roman" w:cs="Times New Roman"/>
        </w:rPr>
        <w:t xml:space="preserve"> </w:t>
      </w:r>
      <w:r>
        <w:rPr>
          <w:rFonts w:ascii="Ebrima" w:hAnsi="Ebrima" w:eastAsia="Ebrima" w:cs="Ebrima"/>
        </w:rPr>
        <w:t>ኣቐዲሙ</w:t>
      </w:r>
      <w:r>
        <w:rPr>
          <w:rFonts w:ascii="Times New Roman" w:hAnsi="Times New Roman" w:eastAsia="Times New Roman" w:cs="Times New Roman"/>
        </w:rPr>
        <w:t xml:space="preserve"> </w:t>
      </w:r>
      <w:r>
        <w:rPr>
          <w:rFonts w:ascii="Ebrima" w:hAnsi="Ebrima" w:eastAsia="Ebrima" w:cs="Ebrima"/>
        </w:rPr>
        <w:t>ዝተጠቐሰ</w:t>
      </w:r>
      <w:r>
        <w:rPr>
          <w:rFonts w:ascii="Times New Roman" w:hAnsi="Times New Roman" w:eastAsia="Times New Roman" w:cs="Times New Roman"/>
        </w:rPr>
        <w:t xml:space="preserve"> </w:t>
      </w:r>
      <w:r>
        <w:rPr>
          <w:rFonts w:ascii="Ebrima" w:hAnsi="Ebrima" w:eastAsia="Ebrima" w:cs="Ebrima"/>
        </w:rPr>
        <w:t>ሓቂ</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ጽላሎት</w:t>
      </w:r>
      <w:r>
        <w:rPr>
          <w:rFonts w:ascii="Times New Roman" w:hAnsi="Times New Roman" w:eastAsia="Times New Roman" w:cs="Times New Roman"/>
        </w:rPr>
        <w:t>”</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ኣካል</w:t>
      </w:r>
      <w:r>
        <w:rPr>
          <w:rFonts w:ascii="Times New Roman" w:hAnsi="Times New Roman" w:eastAsia="Times New Roman" w:cs="Times New Roman"/>
        </w:rPr>
        <w:t>”</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ሓሳብ</w:t>
      </w:r>
      <w:r>
        <w:rPr>
          <w:rFonts w:ascii="Times New Roman" w:hAnsi="Times New Roman" w:eastAsia="Times New Roman" w:cs="Times New Roman"/>
        </w:rPr>
        <w:t xml:space="preserve"> </w:t>
      </w:r>
      <w:r>
        <w:rPr>
          <w:rFonts w:ascii="Ebrima" w:hAnsi="Ebrima" w:eastAsia="Ebrima" w:cs="Ebrima"/>
        </w:rPr>
        <w:t>ምስቲ</w:t>
      </w:r>
      <w:r>
        <w:rPr>
          <w:rFonts w:ascii="Times New Roman" w:hAnsi="Times New Roman" w:eastAsia="Times New Roman" w:cs="Times New Roman"/>
        </w:rPr>
        <w:t xml:space="preserve"> </w:t>
      </w:r>
      <w:r>
        <w:rPr>
          <w:rFonts w:ascii="Ebrima" w:hAnsi="Ebrima" w:eastAsia="Ebrima" w:cs="Ebrima"/>
        </w:rPr>
        <w:t>ርክብ</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ታይፕን</w:t>
      </w:r>
      <w:r>
        <w:rPr>
          <w:rFonts w:ascii="Times New Roman" w:hAnsi="Times New Roman" w:eastAsia="Times New Roman" w:cs="Times New Roman"/>
        </w:rPr>
        <w:t xml:space="preserve"> </w:t>
      </w:r>
      <w:r>
        <w:rPr>
          <w:rFonts w:ascii="Ebrima" w:hAnsi="Ebrima" w:eastAsia="Ebrima" w:cs="Ebrima"/>
        </w:rPr>
        <w:t>ኣንቲታይፕን</w:t>
      </w:r>
      <w:r>
        <w:rPr>
          <w:rFonts w:ascii="Times New Roman" w:hAnsi="Times New Roman" w:eastAsia="Times New Roman" w:cs="Times New Roman"/>
        </w:rPr>
        <w:t xml:space="preserve"> </w:t>
      </w:r>
      <w:r>
        <w:rPr>
          <w:rFonts w:ascii="Ebrima" w:hAnsi="Ebrima" w:eastAsia="Ebrima" w:cs="Ebrima"/>
        </w:rPr>
        <w:t>ይመሳሰል።</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ጽላሎት</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ታይፕ</w:t>
      </w:r>
      <w:r>
        <w:rPr>
          <w:rFonts w:ascii="Times New Roman" w:hAnsi="Times New Roman" w:eastAsia="Times New Roman" w:cs="Times New Roman"/>
        </w:rPr>
        <w:t xml:space="preserve">) </w:t>
      </w:r>
      <w:r>
        <w:rPr>
          <w:rFonts w:ascii="Ebrima" w:hAnsi="Ebrima" w:eastAsia="Ebrima" w:cs="Ebrima"/>
        </w:rPr>
        <w:t>ይውክል፣</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ኣካል</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ኣንቲታይፕ</w:t>
      </w:r>
      <w:r>
        <w:rPr>
          <w:rFonts w:ascii="Times New Roman" w:hAnsi="Times New Roman" w:eastAsia="Times New Roman" w:cs="Times New Roman"/>
        </w:rPr>
        <w:t xml:space="preserve">) </w:t>
      </w:r>
      <w:r>
        <w:rPr>
          <w:rFonts w:ascii="Ebrima" w:hAnsi="Ebrima" w:eastAsia="Ebrima" w:cs="Ebrima"/>
        </w:rPr>
        <w:t>ይውክል።</w:t>
      </w:r>
    </w:p>
    <w:p>
      <w:pPr>
        <w:pStyle w:val="ArticleScripture"/>
        <w:jc w:val="left"/>
      </w:pPr>
      <w:r>
        <w:rPr>
          <w:rFonts w:ascii="Times New Roman" w:hAnsi="Times New Roman" w:eastAsia="Times New Roman" w:cs="Times New Roman"/>
        </w:rPr>
        <w:t>Naiz, huwag kayong hatulan ninuman tungkol sa pagkain o sa inumin, o tungkol sa kapistahan, o sa bagong buwan, o sa mga araw ng Sabbath: na pawang anino ng mga bagay na darating; datapuwa’t ang katawan ay kay Cristo. Colosas 2:16, 17.</w:t>
      </w:r>
    </w:p>
    <w:p>
      <w:pPr>
        <w:pStyle w:val="ArticleScripture"/>
        <w:jc w:val="left"/>
      </w:pPr>
      <w:r>
        <w:rPr>
          <w:rFonts w:ascii="Times New Roman" w:hAnsi="Times New Roman" w:eastAsia="Times New Roman" w:cs="Times New Roman"/>
        </w:rPr>
        <w:t>Umthetho, njengoba unesithunzi sezinto ezinhle ezizayo, kungeyona imfanekiso uqobo wezinto lezo, awusoze nakanye, ngaleyo mihlabelo abayinikela umnyaka ngomnyaka njalo, wenze baphelele labo abasondela khona. Hebheru 10:1.</w:t>
      </w:r>
    </w:p>
    <w:p>
      <w:pPr>
        <w:pStyle w:val="ArticleBody"/>
        <w:jc w:val="left"/>
      </w:pPr>
      <w:r>
        <w:rPr>
          <w:rFonts w:ascii="Times New Roman" w:hAnsi="Times New Roman" w:eastAsia="Times New Roman" w:cs="Times New Roman"/>
        </w:rPr>
        <w:t>Nang kontrobersiya pagkaraan ng Setyembre 11, 2001 hinggil sa Joel, at sa wastong pagkakakilanlan sa papal na Roma bilang isinasagisag ng apat na insekto, na sa gayon ay naglalarawan ng sunud-sunod na pagkawasak ng Laodiceanong Adventismo, yaong mga nangangatwirang ang mga insektong iyon ay ang Islam, ay hindi lamang naglagay ng di-pinaging-banal na diin sa tatluhang paglalapat ng tatlong kahabag-habag, kundi itinuro rin nila ang mga tipo na tumutukoy sa antitipo ng Roma, at inangking ang mga tipong iyon ang tunay na tumutukoy sa Islam. Sa paggawa nito, nagbigay sila ng katibayan na alinman sa hindi nila tunay na nauunawaan ang simulain ng tipo at antitipo, o pinaniniwalaan nilang ang maling paglalarawan sa mga tipo ay isang karapat-dapat na paraan upang bigyang-katwiran ang layunin.</w:t>
      </w:r>
    </w:p>
    <w:p>
      <w:pPr>
        <w:pStyle w:val="ArticleBody"/>
        <w:jc w:val="left"/>
      </w:pPr>
      <w:r>
        <w:rPr>
          <w:rFonts w:ascii="Times New Roman" w:hAnsi="Times New Roman" w:eastAsia="Times New Roman" w:cs="Times New Roman"/>
        </w:rPr>
        <w:t>Ndalamu yino iḽi hone zwino nga ha Roma, hu dovha ha vha na vhuṱanzi ha uri avho vha farelaho kha muhumbulo wo khakheaho wa uri “vhaphangi” vha Daniele ndima ya vhu-11, ndimana ya vhu-14 ndi United States, a vha pfesesi nga nḓila yo lugaho na u shumiswa hararu ha vhuporofita, kana mulayo wa tshifanyiso na tshine tsha imela tsho.</w:t>
      </w:r>
    </w:p>
    <w:p>
      <w:pPr>
        <w:pStyle w:val="ArticleBody"/>
        <w:jc w:val="left"/>
      </w:pPr>
      <w:r>
        <w:rPr>
          <w:rFonts w:ascii="Times New Roman" w:hAnsi="Times New Roman" w:eastAsia="Times New Roman" w:cs="Times New Roman"/>
        </w:rPr>
        <w:t>Lorsque ceux qui soutiennent l’idée que les « brigands » sont les États-Unis cherchent à défendre leur position, ils recourent à une application d’une triple application des trois Romes, afin de prétendument prouver que la Rome moderne, la troisième manifestation de Rome, est les États-Unis. En présumant qu’ils ne portent pas délibérément un faux témoignage, mais qu’ils manifestent seulement une ignorance aveugle des règles d’une triple application de la prophétie, ils utilisent une caractéristique prophétique des deux premières Romes et soutiennent qu’une caractéristique de l’histoire de Rome identifie la Rome moderne.</w:t>
      </w:r>
    </w:p>
    <w:p>
      <w:pPr>
        <w:pStyle w:val="ArticleBody"/>
        <w:jc w:val="left"/>
      </w:pP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बुतपरस्त</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पूर्तियों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बुतपरस्त</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पुल्लिंग</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2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बुतपरस्त</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राज्यकौशल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7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बुतपरस्त</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विभाजित</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Juunin Rooman toinen ilmenemismuoto on paavillinen Rooma, joka kahdeksannessa luvussa on naispuolinen pieni sarvi ja joka toisessa luvussa on kirkkovaltaa, ja joka seitsemännessä luvussa on se sarvi, joka puhuu pilkkasanoja ja nyhtää irti kolme sarvea. Pakanallinen Rooma on yksittäinen valta, mutta paavillinen Rooma on kaksinainen valta, joka edustaa paavillista kirkkoa hallitsemassa pakanallisen Rooman aiempien poliittisten rakenteiden valtiovaltaa. Vuonna 1798 paavillinen valta sai kuolinhaavansa, mutta se ei lakannut olemasta kirkko; se ainoastaan lakkasi olemasta Raamatun profetian peto, sillä siviilivalta, jota se oli aiemmin hallinnut, poistettiin.</w:t>
      </w:r>
    </w:p>
    <w:p>
      <w:pPr>
        <w:pStyle w:val="ArticleBody"/>
        <w:jc w:val="left"/>
      </w:pPr>
      <w:r>
        <w:rPr>
          <w:rFonts w:ascii="Times New Roman" w:hAnsi="Times New Roman" w:eastAsia="Times New Roman" w:cs="Times New Roman"/>
        </w:rPr>
        <w:t>La seconde Rome est la Rome papale, et elle n’a fonctionné comme puissance (bête) de la prophétie biblique que lorsqu’elle avait la capacité de contrôler le pouvoir de l’État afin d’exécuter ses desseins blasphématoires. La première Rome était une puissance unique, la seconde Rome était une puissance double, et la troisième Rome est une puissance triple. Les trois manifestations de Rome sont régies par les mêmes principes que toute triple application de la prophétie. Prophétiquement, il y a trois malheurs, trois Babylones, trois Romes et trois Élies. En termes de type et d’antitype, les deux premières manifestations de chacune des triples applications sont des types qui fournissent l’ombre du troisième accomplissement, lequel est l’antitype et la substance de la triple application de la prophétie.</w:t>
      </w:r>
    </w:p>
    <w:p>
      <w:pPr>
        <w:pStyle w:val="ArticleBody"/>
        <w:jc w:val="left"/>
      </w:pPr>
      <w:r>
        <w:rPr>
          <w:rFonts w:ascii="Times New Roman" w:hAnsi="Times New Roman" w:eastAsia="Times New Roman" w:cs="Times New Roman"/>
        </w:rPr>
        <w:t>Nalika Roma, ciri-ciri saka loro Roma sing kapisan nuduhaké yèn Roma pagan lan Roma kapapal padha maringi gelar Pontifex Maximus marang panguwasané. Mulané, gelar panguwasa Roma modhèren mesthiné Pontifex Maximus, sawijining gelar sing ora tau diwènèhake marang présidhèn Amerika Sarékat siji waé. Loro Roma sing kapisan bakal ngalahaké telung alangan géografis supaya netepaké panguwasa ing dhamparé sajroning mangsa sajarahé dhewé-dhewé. Ora ana bukti yèn Amerika Sarékat ngalahaké telung alangan géografis sadurungé taun 1798.</w:t>
      </w:r>
    </w:p>
    <w:p>
      <w:pPr>
        <w:pStyle w:val="ArticleBody"/>
        <w:jc w:val="left"/>
      </w:pPr>
      <w:r>
        <w:rPr>
          <w:rFonts w:ascii="Times New Roman" w:hAnsi="Times New Roman" w:eastAsia="Times New Roman" w:cs="Times New Roman"/>
        </w:rPr>
        <w:t>Roma mbili za kwanza zilitambulishwa kuwa na kipindi maalum cha wakati ambacho zingetawala kwa ukuu. Katika aya ya ishirini na nne ya Danieli kumi na moja, Roma ya kipagani inatambulishwa kuwa inatawala kwa “wakati,” yaani, miaka mia tatu na sitini, jambo ambalo ilifanya tangu Vita vya Actium mwaka 31 KK, hadi mwaka 330 BK. Mara kwa mara Roma ya kipapa inatambulishwa kuwa inatawala kwa miaka elfu moja mia mbili na sitini baada ya zile pembe tatu kuondolewa, tangu 538 hadi 1798. Katika Isaya sura ya ishirini na tatu, Marekani inatambulishwa kuwa inatawala kwa miaka sabini ya kiishara, kama siku za mfalme mmoja, lakini haikuondoa kamwe vizuizi vitatu vya kijiografia kabla ya kutawala kwake kwa miaka sabini ya kiishara.</w:t>
      </w:r>
    </w:p>
    <w:p>
      <w:pPr>
        <w:pStyle w:val="ArticleBody"/>
        <w:jc w:val="left"/>
      </w:pPr>
      <w:r>
        <w:rPr>
          <w:rFonts w:ascii="Times New Roman" w:hAnsi="Times New Roman" w:eastAsia="Times New Roman" w:cs="Times New Roman"/>
        </w:rPr>
        <w:t>Roma ya kisasa imewakilishwa kuwa ikishinda vizuizi vitatu vya kijiografia vya mfalme wa kusini, nchi ya utukufu na Misri katika Danieli sura ya kumi na moja, aya za arobaini hadi arobaini na mbili; na vizuizi hivyo vitatu vinaposhindwa na kutiishwa chini ya Roma, ndipo vinaunda ule muungano wa namna tatu wa joka, mnyama na nabii wa uongo. Yohana pia anatufahamisha kwamba jeraha la mauti la mnyama wa upapa linaponywa, na kwamba ndipo anatawala kwa miezi arobaini na miwili ya kiishara.</w:t>
      </w:r>
    </w:p>
    <w:p>
      <w:pPr>
        <w:pStyle w:val="ArticleScripture"/>
        <w:jc w:val="left"/>
      </w:pPr>
      <w:r>
        <w:rPr>
          <w:rFonts w:ascii="Times New Roman" w:hAnsi="Times New Roman" w:eastAsia="Times New Roman" w:cs="Times New Roman"/>
        </w:rPr>
        <w:t>Et je vis l’une de ses têtes comme blessée à mort; mais sa plaie mortelle fut guérie; et toute la terre, dans l’admiration, suivit la bête. Et ils adorèrent le dragon, parce qu’il avait donné autorité à la bête; et ils adorèrent la bête, en disant: Qui est semblable à la bête? et qui peut combattre contre elle? Et il lui fut donné une bouche qui proférait des paroles arrogantes et des blasphèmes; et il lui fut donné le pouvoir d’agir pendant quarante-deux mois. Apocalypse 13:3–5.</w:t>
      </w:r>
    </w:p>
    <w:p>
      <w:pPr>
        <w:pStyle w:val="ArticleBody"/>
        <w:jc w:val="left"/>
      </w:pPr>
      <w:r>
        <w:rPr>
          <w:rFonts w:ascii="Times New Roman" w:hAnsi="Times New Roman" w:eastAsia="Times New Roman" w:cs="Times New Roman"/>
        </w:rPr>
        <w:t>La bête qui règne pendant quarante-deux mois symboliques, après que sa blessure mortelle a été guérie, est la puissance romaine.</w:t>
      </w:r>
    </w:p>
    <w:p>
      <w:pPr>
        <w:pStyle w:val="ArticleScripture"/>
        <w:jc w:val="left"/>
      </w:pPr>
      <w:r>
        <w:rPr>
          <w:rFonts w:ascii="Times New Roman" w:hAnsi="Times New Roman" w:eastAsia="Times New Roman" w:cs="Times New Roman"/>
        </w:rPr>
        <w:t>Den profeti, der findes i Åbenbaringen 13, erklærer, at den magt, som fremstilles ved dyret med lamlignende horn, skal få „jorden og dem, som bor derpå,“ til at tilbede pavedømmet — dér symboliseret ved dyret „lig en leopard.“ ... Både i den gamle og i den nye verden vil pavedømmet modtage hyldest i den ære, der vises søndagsinstitutionen, som udelukkende hviler på den romerske kirkes autoritet.” Den store strid, 578.</w:t>
      </w:r>
    </w:p>
    <w:p>
      <w:pPr>
        <w:pStyle w:val="ArticleBody"/>
        <w:jc w:val="left"/>
      </w:pPr>
      <w:r>
        <w:rPr>
          <w:rFonts w:ascii="Microsoft YaHei" w:hAnsi="Microsoft YaHei" w:eastAsia="Microsoft YaHei" w:cs="Microsoft YaHei"/>
        </w:rPr>
        <w:t>異教</w:t>
      </w:r>
      <w:r>
        <w:rPr>
          <w:rFonts w:ascii="MS Gothic" w:hAnsi="MS Gothic" w:eastAsia="MS Gothic" w:cs="MS Gothic"/>
        </w:rPr>
        <w:t>の</w:t>
      </w:r>
      <w:r>
        <w:rPr>
          <w:rFonts w:ascii="Microsoft YaHei" w:hAnsi="Microsoft YaHei" w:eastAsia="Microsoft YaHei" w:cs="Microsoft YaHei"/>
        </w:rPr>
        <w:t>、</w:t>
      </w:r>
      <w:r>
        <w:rPr>
          <w:rFonts w:ascii="MS Gothic" w:hAnsi="MS Gothic" w:eastAsia="MS Gothic" w:cs="MS Gothic"/>
        </w:rPr>
        <w:t>すなわち</w:t>
      </w:r>
      <w:r>
        <w:rPr>
          <w:rFonts w:ascii="Microsoft YaHei" w:hAnsi="Microsoft YaHei" w:eastAsia="Microsoft YaHei" w:cs="Microsoft YaHei"/>
        </w:rPr>
        <w:t>第一</w:t>
      </w:r>
      <w:r>
        <w:rPr>
          <w:rFonts w:ascii="MS Gothic" w:hAnsi="MS Gothic" w:eastAsia="MS Gothic" w:cs="MS Gothic"/>
        </w:rPr>
        <w:t>のローマは</w:t>
      </w:r>
      <w:r>
        <w:rPr>
          <w:rFonts w:ascii="Microsoft YaHei" w:hAnsi="Microsoft YaHei" w:eastAsia="Microsoft YaHei" w:cs="Microsoft YaHei"/>
        </w:rPr>
        <w:t>、</w:t>
      </w:r>
      <w:r>
        <w:rPr>
          <w:rFonts w:ascii="MS Gothic" w:hAnsi="MS Gothic" w:eastAsia="MS Gothic" w:cs="MS Gothic"/>
        </w:rPr>
        <w:t>ダニエル</w:t>
      </w:r>
      <w:r>
        <w:rPr>
          <w:rFonts w:ascii="Microsoft YaHei" w:hAnsi="Microsoft YaHei" w:eastAsia="Microsoft YaHei" w:cs="Microsoft YaHei"/>
        </w:rPr>
        <w:t>書第十一章二十四節</w:t>
      </w:r>
      <w:r>
        <w:rPr>
          <w:rFonts w:ascii="MS Gothic" w:hAnsi="MS Gothic" w:eastAsia="MS Gothic" w:cs="MS Gothic"/>
        </w:rPr>
        <w:t>の</w:t>
      </w:r>
      <w:r>
        <w:rPr>
          <w:rFonts w:ascii="Microsoft YaHei" w:hAnsi="Microsoft YaHei" w:eastAsia="Microsoft YaHei" w:cs="Microsoft YaHei"/>
        </w:rPr>
        <w:t>成就</w:t>
      </w:r>
      <w:r>
        <w:rPr>
          <w:rFonts w:ascii="MS Gothic" w:hAnsi="MS Gothic" w:eastAsia="MS Gothic" w:cs="MS Gothic"/>
        </w:rPr>
        <w:t>として</w:t>
      </w:r>
      <w:r>
        <w:rPr>
          <w:rFonts w:ascii="Microsoft YaHei" w:hAnsi="Microsoft YaHei" w:eastAsia="Microsoft YaHei" w:cs="Microsoft YaHei"/>
        </w:rPr>
        <w:t>三百六十年間</w:t>
      </w:r>
      <w:r>
        <w:rPr>
          <w:rFonts w:ascii="MS Gothic" w:hAnsi="MS Gothic" w:eastAsia="MS Gothic" w:cs="MS Gothic"/>
        </w:rPr>
        <w:t>にわたり</w:t>
      </w:r>
      <w:r>
        <w:rPr>
          <w:rFonts w:ascii="Microsoft YaHei" w:hAnsi="Microsoft YaHei" w:eastAsia="Microsoft YaHei" w:cs="Microsoft YaHei"/>
        </w:rPr>
        <w:t>至高</w:t>
      </w:r>
      <w:r>
        <w:rPr>
          <w:rFonts w:ascii="MS Gothic" w:hAnsi="MS Gothic" w:eastAsia="MS Gothic" w:cs="MS Gothic"/>
        </w:rPr>
        <w:t>の</w:t>
      </w:r>
      <w:r>
        <w:rPr>
          <w:rFonts w:ascii="Microsoft YaHei" w:hAnsi="Microsoft YaHei" w:eastAsia="Microsoft YaHei" w:cs="Microsoft YaHei"/>
        </w:rPr>
        <w:t>支配</w:t>
      </w:r>
      <w:r>
        <w:rPr>
          <w:rFonts w:ascii="MS Gothic" w:hAnsi="MS Gothic" w:eastAsia="MS Gothic" w:cs="MS Gothic"/>
        </w:rPr>
        <w:t>を</w:t>
      </w:r>
      <w:r>
        <w:rPr>
          <w:rFonts w:ascii="Microsoft YaHei" w:hAnsi="Microsoft YaHei" w:eastAsia="Microsoft YaHei" w:cs="Microsoft YaHei"/>
        </w:rPr>
        <w:t>行</w:t>
      </w:r>
      <w:r>
        <w:rPr>
          <w:rFonts w:ascii="MS Gothic" w:hAnsi="MS Gothic" w:eastAsia="MS Gothic" w:cs="MS Gothic"/>
        </w:rPr>
        <w:t>い</w:t>
      </w:r>
      <w:r>
        <w:rPr>
          <w:rFonts w:ascii="Microsoft YaHei" w:hAnsi="Microsoft YaHei" w:eastAsia="Microsoft YaHei" w:cs="Microsoft YaHei"/>
        </w:rPr>
        <w:t>、</w:t>
      </w:r>
      <w:r>
        <w:rPr>
          <w:rFonts w:ascii="MS Gothic" w:hAnsi="MS Gothic" w:eastAsia="MS Gothic" w:cs="MS Gothic"/>
        </w:rPr>
        <w:t>またそれは</w:t>
      </w:r>
      <w:r>
        <w:rPr>
          <w:rFonts w:ascii="Microsoft YaHei" w:hAnsi="Microsoft YaHei" w:eastAsia="Microsoft YaHei" w:cs="Microsoft YaHei"/>
        </w:rPr>
        <w:t>、</w:t>
      </w:r>
      <w:r>
        <w:rPr>
          <w:rFonts w:ascii="MS Gothic" w:hAnsi="MS Gothic" w:eastAsia="MS Gothic" w:cs="MS Gothic"/>
        </w:rPr>
        <w:t>ダニエル</w:t>
      </w:r>
      <w:r>
        <w:rPr>
          <w:rFonts w:ascii="Microsoft YaHei" w:hAnsi="Microsoft YaHei" w:eastAsia="Microsoft YaHei" w:cs="Microsoft YaHei"/>
        </w:rPr>
        <w:t>書第八章九節</w:t>
      </w:r>
      <w:r>
        <w:rPr>
          <w:rFonts w:ascii="MS Gothic" w:hAnsi="MS Gothic" w:eastAsia="MS Gothic" w:cs="MS Gothic"/>
        </w:rPr>
        <w:t>の</w:t>
      </w:r>
      <w:r>
        <w:rPr>
          <w:rFonts w:ascii="Microsoft YaHei" w:hAnsi="Microsoft YaHei" w:eastAsia="Microsoft YaHei" w:cs="Microsoft YaHei"/>
        </w:rPr>
        <w:t>成就</w:t>
      </w:r>
      <w:r>
        <w:rPr>
          <w:rFonts w:ascii="MS Gothic" w:hAnsi="MS Gothic" w:eastAsia="MS Gothic" w:cs="MS Gothic"/>
        </w:rPr>
        <w:t>として</w:t>
      </w:r>
      <w:r>
        <w:rPr>
          <w:rFonts w:ascii="Microsoft YaHei" w:hAnsi="Microsoft YaHei" w:eastAsia="Microsoft YaHei" w:cs="Microsoft YaHei"/>
        </w:rPr>
        <w:t>三</w:t>
      </w:r>
      <w:r>
        <w:rPr>
          <w:rFonts w:ascii="MS Gothic" w:hAnsi="MS Gothic" w:eastAsia="MS Gothic" w:cs="MS Gothic"/>
        </w:rPr>
        <w:t>つの</w:t>
      </w:r>
      <w:r>
        <w:rPr>
          <w:rFonts w:ascii="Microsoft YaHei" w:hAnsi="Microsoft YaHei" w:eastAsia="Microsoft YaHei" w:cs="Microsoft YaHei"/>
        </w:rPr>
        <w:t>地理的障害</w:t>
      </w:r>
      <w:r>
        <w:rPr>
          <w:rFonts w:ascii="MS Gothic" w:hAnsi="MS Gothic" w:eastAsia="MS Gothic" w:cs="MS Gothic"/>
        </w:rPr>
        <w:t>を</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除</w:t>
      </w:r>
      <w:r>
        <w:rPr>
          <w:rFonts w:ascii="MS Gothic" w:hAnsi="MS Gothic" w:eastAsia="MS Gothic" w:cs="MS Gothic"/>
        </w:rPr>
        <w:t>いた</w:t>
      </w:r>
      <w:r>
        <w:rPr>
          <w:rFonts w:ascii="Microsoft YaHei" w:hAnsi="Microsoft YaHei" w:eastAsia="Microsoft YaHei" w:cs="Microsoft YaHei"/>
        </w:rPr>
        <w:t>後</w:t>
      </w:r>
      <w:r>
        <w:rPr>
          <w:rFonts w:ascii="MS Gothic" w:hAnsi="MS Gothic" w:eastAsia="MS Gothic" w:cs="MS Gothic"/>
        </w:rPr>
        <w:t>のことであった</w:t>
      </w:r>
      <w:r>
        <w:rPr>
          <w:rFonts w:ascii="Times New Roman" w:hAnsi="Times New Roman" w:eastAsia="Times New Roman" w:cs="Times New Roman"/>
        </w:rPr>
        <w:t>.</w:t>
      </w:r>
    </w:p>
    <w:p>
      <w:pPr>
        <w:pStyle w:val="ArticleBody"/>
        <w:jc w:val="left"/>
      </w:pPr>
      <w:r>
        <w:rPr>
          <w:rFonts w:ascii="Microsoft YaHei" w:hAnsi="Microsoft YaHei" w:eastAsia="Microsoft YaHei" w:cs="Microsoft YaHei"/>
        </w:rPr>
        <w:t>教皇制的第二个罗马曾至高无上地统治了一千二百六十年</w:t>
      </w:r>
      <w:r>
        <w:rPr>
          <w:rFonts w:ascii="Times New Roman" w:hAnsi="Times New Roman" w:eastAsia="Times New Roman" w:cs="Times New Roman"/>
        </w:rPr>
        <w:t>,</w:t>
      </w:r>
      <w:r>
        <w:rPr>
          <w:rFonts w:ascii="Microsoft YaHei" w:hAnsi="Microsoft YaHei" w:eastAsia="Microsoft YaHei" w:cs="Microsoft YaHei"/>
        </w:rPr>
        <w:t>应验了圣经中的数处经文</w:t>
      </w:r>
      <w:r>
        <w:rPr>
          <w:rFonts w:ascii="Times New Roman" w:hAnsi="Times New Roman" w:eastAsia="Times New Roman" w:cs="Times New Roman"/>
        </w:rPr>
        <w:t>;</w:t>
      </w:r>
      <w:r>
        <w:rPr>
          <w:rFonts w:ascii="Microsoft YaHei" w:hAnsi="Microsoft YaHei" w:eastAsia="Microsoft YaHei" w:cs="Microsoft YaHei"/>
        </w:rPr>
        <w:t>并且它是在除去三个地理上的障碍之后才如此行的</w:t>
      </w:r>
      <w:r>
        <w:rPr>
          <w:rFonts w:ascii="Times New Roman" w:hAnsi="Times New Roman" w:eastAsia="Times New Roman" w:cs="Times New Roman"/>
        </w:rPr>
        <w:t>,</w:t>
      </w:r>
      <w:r>
        <w:rPr>
          <w:rFonts w:ascii="Microsoft YaHei" w:hAnsi="Microsoft YaHei" w:eastAsia="Microsoft YaHei" w:cs="Microsoft YaHei"/>
        </w:rPr>
        <w:t>这也应验了</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w:t>
      </w:r>
      <w:r>
        <w:rPr>
          <w:rFonts w:ascii="Microsoft YaHei" w:hAnsi="Microsoft YaHei" w:eastAsia="Microsoft YaHei" w:cs="Microsoft YaHei"/>
        </w:rPr>
        <w:t>第七章第八节和第二十节</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Roma moderne e mposht mbretin e jugut në vargun dyzet të Danielit njëmbëdhjetë, dhe pastaj në vargun dyzet e një ajo e mposht tokën e lavdishme, ndërsa në vargun dyzet e dy e mposht Egjiptin. Roma moderne është mbreti i veriut i Danielit, kapitulli njëmbëdhjetë.</w:t>
      </w:r>
    </w:p>
    <w:p>
      <w:pPr>
        <w:pStyle w:val="ArticleBody"/>
        <w:jc w:val="left"/>
      </w:pPr>
      <w:r>
        <w:rPr>
          <w:rFonts w:ascii="Times New Roman" w:hAnsi="Times New Roman" w:eastAsia="Times New Roman" w:cs="Times New Roman"/>
        </w:rPr>
        <w:t>Païens, la première Rome fut une puissance persécutrice, et papale, la seconde Rome, fut une puissance persécutrice; par conséquent, la Rome moderne sera une puissance persécutrice.</w:t>
      </w:r>
    </w:p>
    <w:p>
      <w:pPr>
        <w:pStyle w:val="ArticleBody"/>
        <w:jc w:val="left"/>
      </w:pPr>
      <w:r>
        <w:rPr>
          <w:rFonts w:ascii="Times New Roman" w:hAnsi="Times New Roman" w:eastAsia="Times New Roman" w:cs="Times New Roman"/>
        </w:rPr>
        <w:t>Leta Zunze Ubumwe z’Amerika zizagira uruhare mu itotezwa rya gatatu rikorwa na Roma ya none, ariko ibyo ntibigaragaza ko Leta Zunze Ubumwe z’Amerika ari zo mbaraga z’ubupapa; ahubwo bigaragaza gusa kimwe mu biranga umubano wa Leta Zunze Ubumwe z’Amerika n’ububasha bw’ubupapa mu minsi y’imperuka.</w:t>
      </w:r>
    </w:p>
    <w:p>
      <w:pPr>
        <w:pStyle w:val="ArticleBody"/>
        <w:jc w:val="left"/>
      </w:pPr>
      <w:r>
        <w:rPr>
          <w:rFonts w:ascii="Times New Roman" w:hAnsi="Times New Roman" w:eastAsia="Times New Roman" w:cs="Times New Roman"/>
        </w:rPr>
        <w:t>Ichki jang ta’kidlamoqchi bo‘lganlar, oxirgi kunlarda Amerika Qo‘shma Shtatlari “sening xalqingning talonchilari” ekanini isbotlash uchun, uchta Rimning uch karra qo‘llanishidan foydalanib, Amerika Qo‘shma Shtatlarini noto‘g‘ri aniqlaydilar. Ular uch karra qo‘llanish doirasida qo‘llayotgan nuqsonli usul shundan iboratki, ular birinchi ikki Rimga xos bir alomatni aniqlab, so‘ngra Rimning o‘zi emas, balki Rimga oid bashoratli bir xususiyat uchinchi Rimdir, deb turib oladilar.</w:t>
      </w:r>
    </w:p>
    <w:p>
      <w:pPr>
        <w:pStyle w:val="ArticleBody"/>
        <w:jc w:val="left"/>
      </w:pPr>
      <w:r>
        <w:rPr>
          <w:rFonts w:ascii="Times New Roman" w:hAnsi="Times New Roman" w:eastAsia="Times New Roman" w:cs="Times New Roman"/>
        </w:rPr>
        <w:t>They identify Constantine’s first historical Sunday law in 321 AD, and then papal Rome’s Sunday law in 538 AD, to claim the soon-coming Sunday law in the United States defines the United States as modern Rome, and they also mix their flawed application by associating Jesus’ warning to flee when the “abominations of desolation” spoken of by Daniel, as the Sunday law. The “abomination of desolation” Jesus spoke of, points to two Sunday laws in the last days, but it is a very different symbolism in that it is a warning to flee, not the warning to shun the mark of the beast. Their flawed idea doesn’t even address that there are two specific Sunday laws in the last days.</w:t>
      </w:r>
    </w:p>
    <w:p>
      <w:pPr>
        <w:pStyle w:val="ArticleScripture"/>
        <w:jc w:val="left"/>
      </w:pPr>
      <w:r>
        <w:rPr>
          <w:rFonts w:ascii="Times New Roman" w:hAnsi="Times New Roman" w:eastAsia="Times New Roman" w:cs="Times New Roman"/>
        </w:rPr>
        <w:t>Maka apabila kamu melihat Pembinasa Keji, yang difirmankan oleh nabi Daniel, berdiri di tempat yang kudus, (barangsiapa membacanya, hendaklah ia memahaminya:) maka orang-orang yang di Yudea hendaklah melarikan diri ke pegunungan; orang yang berada di atas sotoh janganlah turun untuk mengambil barang apa pun dari dalam rumahnya; dan orang yang berada di ladang janganlah kembali untuk mengambil pakaiannya. Tetapi celakalah mereka yang sedang mengandung dan mereka yang menyusui pada hari-hari itu! Namun berdoalah supaya pelarianmu jangan terjadi pada musim dingin dan jangan pula pada hari Sabat. Matius 24:15–20.</w:t>
      </w:r>
    </w:p>
    <w:p>
      <w:pPr>
        <w:pStyle w:val="ArticleBody"/>
        <w:jc w:val="left"/>
      </w:pPr>
      <w:r>
        <w:rPr>
          <w:rFonts w:ascii="Times New Roman" w:hAnsi="Times New Roman" w:eastAsia="Times New Roman" w:cs="Times New Roman"/>
        </w:rPr>
        <w:t>«Օրհասական պղծությունը, որի մասին խոսեց Դանիել մարգարեն», այն նշանն էր, որ Հիսուսն Իր ժողովրդին տվեց, որով նրանք պետք է ճանաչեին, թե երբ հարկ էր փախչել Երուսաղեմի վրա գալիք կործանումից, երբ հեթանոսական Հռոմը պաշարեց և ապա ավերեց սրբարանն ու քաղաքը մ.թ. 66-ից մինչև մ.թ. 70 թվականները։</w:t>
      </w:r>
    </w:p>
    <w:p>
      <w:pPr>
        <w:pStyle w:val="ArticleScripture"/>
        <w:jc w:val="left"/>
      </w:pPr>
      <w:r>
        <w:rPr>
          <w:rFonts w:ascii="Microsoft YaHei" w:hAnsi="Microsoft YaHei" w:eastAsia="Microsoft YaHei" w:cs="Microsoft YaHei"/>
        </w:rPr>
        <w:t>耶稣向那聆听的门徒宣告了将要临到背道之以色列的审判</w:t>
      </w:r>
      <w:r>
        <w:rPr>
          <w:rFonts w:ascii="Times New Roman" w:hAnsi="Times New Roman" w:eastAsia="Times New Roman" w:cs="Times New Roman"/>
        </w:rPr>
        <w:t>,</w:t>
      </w:r>
      <w:r>
        <w:rPr>
          <w:rFonts w:ascii="Microsoft YaHei" w:hAnsi="Microsoft YaHei" w:eastAsia="Microsoft YaHei" w:cs="Microsoft YaHei"/>
        </w:rPr>
        <w:t>尤其是因他们弃绝并钉死弥赛亚而必遭的报应性刑罚</w:t>
      </w:r>
      <w:r>
        <w:rPr>
          <w:rFonts w:ascii="Times New Roman" w:hAnsi="Times New Roman" w:eastAsia="Times New Roman" w:cs="Times New Roman"/>
        </w:rPr>
        <w:t>.</w:t>
      </w:r>
      <w:r>
        <w:rPr>
          <w:rFonts w:ascii="Microsoft YaHei" w:hAnsi="Microsoft YaHei" w:eastAsia="Microsoft YaHei" w:cs="Microsoft YaHei"/>
        </w:rPr>
        <w:t>那可怖结局来到之前</w:t>
      </w:r>
      <w:r>
        <w:rPr>
          <w:rFonts w:ascii="Times New Roman" w:hAnsi="Times New Roman" w:eastAsia="Times New Roman" w:cs="Times New Roman"/>
        </w:rPr>
        <w:t>,</w:t>
      </w:r>
      <w:r>
        <w:rPr>
          <w:rFonts w:ascii="Microsoft YaHei" w:hAnsi="Microsoft YaHei" w:eastAsia="Microsoft YaHei" w:cs="Microsoft YaHei"/>
        </w:rPr>
        <w:t>必有明确无误的预兆</w:t>
      </w:r>
      <w:r>
        <w:rPr>
          <w:rFonts w:ascii="Times New Roman" w:hAnsi="Times New Roman" w:eastAsia="Times New Roman" w:cs="Times New Roman"/>
        </w:rPr>
        <w:t>.</w:t>
      </w:r>
      <w:r>
        <w:rPr>
          <w:rFonts w:ascii="Microsoft YaHei" w:hAnsi="Microsoft YaHei" w:eastAsia="Microsoft YaHei" w:cs="Microsoft YaHei"/>
        </w:rPr>
        <w:t>那可惧的时刻将骤然而迅速地来到</w:t>
      </w:r>
      <w:r>
        <w:rPr>
          <w:rFonts w:ascii="Times New Roman" w:hAnsi="Times New Roman" w:eastAsia="Times New Roman" w:cs="Times New Roman"/>
        </w:rPr>
        <w:t>.</w:t>
      </w:r>
      <w:r>
        <w:rPr>
          <w:rFonts w:ascii="Microsoft YaHei" w:hAnsi="Microsoft YaHei" w:eastAsia="Microsoft YaHei" w:cs="Microsoft YaHei"/>
        </w:rPr>
        <w:t>救主也警告祂的跟随者说：</w:t>
      </w:r>
      <w:r>
        <w:rPr>
          <w:rFonts w:ascii="Times New Roman" w:hAnsi="Times New Roman" w:eastAsia="Times New Roman" w:cs="Times New Roman"/>
        </w:rPr>
        <w:t>“</w:t>
      </w:r>
      <w:r>
        <w:rPr>
          <w:rFonts w:ascii="Microsoft YaHei" w:hAnsi="Microsoft YaHei" w:eastAsia="Microsoft YaHei" w:cs="Microsoft YaHei"/>
        </w:rPr>
        <w:t>你们看见先知但以理所说的那行毁坏可憎的站在圣地</w:t>
      </w:r>
      <w:r>
        <w:rPr>
          <w:rFonts w:ascii="Times New Roman" w:hAnsi="Times New Roman" w:eastAsia="Times New Roman" w:cs="Times New Roman"/>
        </w:rPr>
        <w:t>,</w:t>
      </w:r>
      <w:r>
        <w:rPr>
          <w:rFonts w:ascii="Microsoft YaHei" w:hAnsi="Microsoft YaHei" w:eastAsia="Microsoft YaHei" w:cs="Microsoft YaHei"/>
        </w:rPr>
        <w:t>（读这经的人须要会意</w:t>
      </w:r>
      <w:r>
        <w:rPr>
          <w:rFonts w:ascii="Times New Roman" w:hAnsi="Times New Roman" w:eastAsia="Times New Roman" w:cs="Times New Roman"/>
        </w:rPr>
        <w:t>.</w:t>
      </w:r>
      <w:r>
        <w:rPr>
          <w:rFonts w:ascii="Microsoft YaHei" w:hAnsi="Microsoft YaHei" w:eastAsia="Microsoft YaHei" w:cs="Microsoft YaHei"/>
        </w:rPr>
        <w:t>）那时</w:t>
      </w:r>
      <w:r>
        <w:rPr>
          <w:rFonts w:ascii="Times New Roman" w:hAnsi="Times New Roman" w:eastAsia="Times New Roman" w:cs="Times New Roman"/>
        </w:rPr>
        <w:t>,</w:t>
      </w:r>
      <w:r>
        <w:rPr>
          <w:rFonts w:ascii="Microsoft YaHei" w:hAnsi="Microsoft YaHei" w:eastAsia="Microsoft YaHei" w:cs="Microsoft YaHei"/>
        </w:rPr>
        <w:t>在犹太的</w:t>
      </w:r>
      <w:r>
        <w:rPr>
          <w:rFonts w:ascii="Times New Roman" w:hAnsi="Times New Roman" w:eastAsia="Times New Roman" w:cs="Times New Roman"/>
        </w:rPr>
        <w:t>,</w:t>
      </w:r>
      <w:r>
        <w:rPr>
          <w:rFonts w:ascii="Microsoft YaHei" w:hAnsi="Microsoft YaHei" w:eastAsia="Microsoft YaHei" w:cs="Microsoft YaHei"/>
        </w:rPr>
        <w:t>应当逃到山上</w:t>
      </w:r>
      <w:r>
        <w:rPr>
          <w:rFonts w:ascii="Times New Roman" w:hAnsi="Times New Roman" w:eastAsia="Times New Roman" w:cs="Times New Roman"/>
        </w:rPr>
        <w:t>.”</w:t>
      </w:r>
      <w:r>
        <w:rPr>
          <w:rFonts w:ascii="Microsoft YaHei" w:hAnsi="Microsoft YaHei" w:eastAsia="Microsoft YaHei" w:cs="Microsoft YaHei"/>
        </w:rPr>
        <w:t>马太福音</w:t>
      </w:r>
      <w:r>
        <w:rPr>
          <w:rFonts w:ascii="Times New Roman" w:hAnsi="Times New Roman" w:eastAsia="Times New Roman" w:cs="Times New Roman"/>
        </w:rPr>
        <w:t>24:15, 16;</w:t>
      </w:r>
      <w:r>
        <w:rPr>
          <w:rFonts w:ascii="Microsoft YaHei" w:hAnsi="Microsoft YaHei" w:eastAsia="Microsoft YaHei" w:cs="Microsoft YaHei"/>
        </w:rPr>
        <w:t>路加福音</w:t>
      </w:r>
      <w:r>
        <w:rPr>
          <w:rFonts w:ascii="Times New Roman" w:hAnsi="Times New Roman" w:eastAsia="Times New Roman" w:cs="Times New Roman"/>
        </w:rPr>
        <w:t>21:20, 21.</w:t>
      </w:r>
      <w:r>
        <w:rPr>
          <w:rFonts w:ascii="Microsoft YaHei" w:hAnsi="Microsoft YaHei" w:eastAsia="Microsoft YaHei" w:cs="Microsoft YaHei"/>
        </w:rPr>
        <w:t>当罗马人的偶像旗帜被竖立在圣地之上</w:t>
      </w:r>
      <w:r>
        <w:rPr>
          <w:rFonts w:ascii="Times New Roman" w:hAnsi="Times New Roman" w:eastAsia="Times New Roman" w:cs="Times New Roman"/>
        </w:rPr>
        <w:t>——</w:t>
      </w:r>
      <w:r>
        <w:rPr>
          <w:rFonts w:ascii="Microsoft YaHei" w:hAnsi="Microsoft YaHei" w:eastAsia="Microsoft YaHei" w:cs="Microsoft YaHei"/>
        </w:rPr>
        <w:t>这圣地延伸到城墙外数弗隆之地</w:t>
      </w:r>
      <w:r>
        <w:rPr>
          <w:rFonts w:ascii="Times New Roman" w:hAnsi="Times New Roman" w:eastAsia="Times New Roman" w:cs="Times New Roman"/>
        </w:rPr>
        <w:t>——</w:t>
      </w:r>
      <w:r>
        <w:rPr>
          <w:rFonts w:ascii="Microsoft YaHei" w:hAnsi="Microsoft YaHei" w:eastAsia="Microsoft YaHei" w:cs="Microsoft YaHei"/>
        </w:rPr>
        <w:t>那时</w:t>
      </w:r>
      <w:r>
        <w:rPr>
          <w:rFonts w:ascii="Times New Roman" w:hAnsi="Times New Roman" w:eastAsia="Times New Roman" w:cs="Times New Roman"/>
        </w:rPr>
        <w:t>,</w:t>
      </w:r>
      <w:r>
        <w:rPr>
          <w:rFonts w:ascii="Microsoft YaHei" w:hAnsi="Microsoft YaHei" w:eastAsia="Microsoft YaHei" w:cs="Microsoft YaHei"/>
        </w:rPr>
        <w:t>基督的跟随者就当以逃遁求得安全</w:t>
      </w:r>
      <w:r>
        <w:rPr>
          <w:rFonts w:ascii="Times New Roman" w:hAnsi="Times New Roman" w:eastAsia="Times New Roman" w:cs="Times New Roman"/>
        </w:rPr>
        <w:t>.</w:t>
      </w:r>
      <w:r>
        <w:rPr>
          <w:rFonts w:ascii="Microsoft YaHei" w:hAnsi="Microsoft YaHei" w:eastAsia="Microsoft YaHei" w:cs="Microsoft YaHei"/>
        </w:rPr>
        <w:t>当那警告的记号显现时</w:t>
      </w:r>
      <w:r>
        <w:rPr>
          <w:rFonts w:ascii="Times New Roman" w:hAnsi="Times New Roman" w:eastAsia="Times New Roman" w:cs="Times New Roman"/>
        </w:rPr>
        <w:t>,</w:t>
      </w:r>
      <w:r>
        <w:rPr>
          <w:rFonts w:ascii="Microsoft YaHei" w:hAnsi="Microsoft YaHei" w:eastAsia="Microsoft YaHei" w:cs="Microsoft YaHei"/>
        </w:rPr>
        <w:t>凡要逃脱的人都不可稍有迟延</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bonkristen moko te akufaki na kobebisama ya Yerusaleme. Klisto apesaki bayekoli na Ye likebisi, mpe bato nyonso oyo bandimaki maloba na Ye bazalaki kokengela elembo oyo elakamaki.... Kozanga koumela bakimaki na esika ya libateli—engumba ya Pella, na mokili ya Perea, na ngambo mosusu ya Yordani.” The Great Controversy, 25, 30.</w:t>
      </w:r>
    </w:p>
    <w:p>
      <w:pPr>
        <w:pStyle w:val="ArticleBody"/>
        <w:jc w:val="left"/>
      </w:pPr>
      <w:r>
        <w:rPr>
          <w:rFonts w:ascii="Times New Roman" w:hAnsi="Times New Roman" w:eastAsia="Times New Roman" w:cs="Times New Roman"/>
        </w:rPr>
        <w:t>Tí bí ọdún 538 ṣe ń sún mọ́lé, àwọn Kristẹni ìgbà yẹn mọ̀ pé a ti ba ìjọ jẹ́ nípasẹ̀ ìdàpọ̀ pẹ̀lú ẹ̀sìn ìbọ̀rìṣà, àti pé, ní ìbámu pẹ̀lú ìkìlọ̀ Kristi, pẹ̀lú ìmọ́lẹ̀ tí a fi fún wọn nípasẹ̀ ẹ̀rí àpọ́sítélì Pọ́ọ̀lù nínú 2 Thessalonians orí kejì, wọ́n sá lọ sínú aginjù àsọtẹ́lẹ̀ ti ọdún ẹgbẹ̀rún kan, igba ọdún mẹ́fà.</w:t>
      </w:r>
    </w:p>
    <w:p>
      <w:pPr>
        <w:pStyle w:val="ArticleScripture"/>
        <w:jc w:val="left"/>
      </w:pPr>
      <w:r>
        <w:rPr>
          <w:rFonts w:ascii="Times New Roman" w:hAnsi="Times New Roman" w:eastAsia="Times New Roman" w:cs="Times New Roman"/>
        </w:rPr>
        <w:t>“Ama ngaphambi kokufika kukaKristu, kwakufanele kwenzeke entuthukweni ezibalulekile emhlabeni wenkolo, ezabikezelwa esiprofethweni. Umphostoli wamemezela wathi: ‘Ningasheshi ninyakaziswe engqondweni, noma nikhathazeke, noma ngomoya, noma ngezwi, noma ngencwadi engathi ivela kithi, sengathi usuku lukaKristu seluseduze. Makungabikho muntu onikhohlisa nganoma iyiphi indlela; ngokuba lolo suku aluyikufika, ngaphandle kokuba kufike kuqala ukuhlubuka, futhi lowo muntu wesono embulwe, indodana yokubhujiswa; ophikisana futhi eziphakamisa ngaphezu kwakho konke okubizwa ngoNkulunkulu, noma okukhonzwayo; aze ahlale yena njengoNkulunkulu ethempelini likaNkulunkulu, ezibonakalisa ukuthi unguNkulunkulu.’”</w:t>
      </w:r>
    </w:p>
    <w:p>
      <w:pPr>
        <w:pStyle w:val="ArticleScripture"/>
        <w:jc w:val="left"/>
      </w:pPr>
      <w:r>
        <w:rPr>
          <w:rFonts w:ascii="Times New Roman" w:hAnsi="Times New Roman" w:eastAsia="Times New Roman" w:cs="Times New Roman"/>
        </w:rPr>
        <w:t>„Slová Pavlova neměla být nesprávně vykládána. Nemělo se učit, že on zvláštním zjevením varoval Tesalonické před bezprostředním příchodem Krista. Takové stanovisko by způsobilo zmatek ve víře; neboť zklamání často vede k nevíře. Apoštol proto bratry varoval, aby nepřijímali žádné takové poselství, jako by přicházelo od něho, a dále zdůraznil skutečnost, že papežská moc, tak jasně popsaná prorokem Danielem, má teprve povstat a vést válku proti Božímu lidu. Dokud tato moc nevykoná své zhoubné a rouhavé dílo, bude pro církev marné očekávat příchod svého Pána. ‚Což nepamatujete,‘ tázal se Pavel, ‚že jsem vám to říkal, když jsem byl ještě u vás?‘“</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ឧបសគ្គសាកល្បងទាំងឡាយដែលត្រូវមកវាយប្រហារលើព្រះវិហារពិត</w:t>
      </w:r>
      <w:r>
        <w:rPr>
          <w:rFonts w:ascii="Times New Roman" w:hAnsi="Times New Roman" w:eastAsia="Times New Roman" w:cs="Times New Roman"/>
        </w:rPr>
        <w:t xml:space="preserve"> </w:t>
      </w:r>
      <w:r>
        <w:rPr>
          <w:rFonts w:ascii="Leelawadee UI" w:hAnsi="Leelawadee UI" w:eastAsia="Leelawadee UI" w:cs="Leelawadee UI"/>
        </w:rPr>
        <w:t>នោះគួរឲ្យស្ញប់ស្ញែងយ៉ាងខ្លាំង។</w:t>
      </w:r>
      <w:r>
        <w:rPr>
          <w:rFonts w:ascii="Times New Roman" w:hAnsi="Times New Roman" w:eastAsia="Times New Roman" w:cs="Times New Roman"/>
        </w:rPr>
        <w:t xml:space="preserve"> </w:t>
      </w:r>
      <w:r>
        <w:rPr>
          <w:rFonts w:ascii="Leelawadee UI" w:hAnsi="Leelawadee UI" w:eastAsia="Leelawadee UI" w:cs="Leelawadee UI"/>
        </w:rPr>
        <w:t>សូម្បីតែក្នុងពេលដែលសាវកកំពុងសរសេរនោះក៏ដោយ</w:t>
      </w:r>
      <w:r>
        <w:rPr>
          <w:rFonts w:ascii="Times New Roman" w:hAnsi="Times New Roman" w:eastAsia="Times New Roman" w:cs="Times New Roman"/>
        </w:rPr>
        <w:t xml:space="preserve"> “</w:t>
      </w:r>
      <w:r>
        <w:rPr>
          <w:rFonts w:ascii="Leelawadee UI" w:hAnsi="Leelawadee UI" w:eastAsia="Leelawadee UI" w:cs="Leelawadee UI"/>
        </w:rPr>
        <w:t>អាថ៌កំបាំងនៃអំពើទុច្ចរិត</w:t>
      </w:r>
      <w:r>
        <w:rPr>
          <w:rFonts w:ascii="Times New Roman" w:hAnsi="Times New Roman" w:eastAsia="Times New Roman" w:cs="Times New Roman"/>
        </w:rPr>
        <w:t xml:space="preserve">” </w:t>
      </w:r>
      <w:r>
        <w:rPr>
          <w:rFonts w:ascii="Leelawadee UI" w:hAnsi="Leelawadee UI" w:eastAsia="Leelawadee UI" w:cs="Leelawadee UI"/>
        </w:rPr>
        <w:t>បានចាប់ផ្តើមប្រតិបត្តិការរួចហើយ។</w:t>
      </w:r>
      <w:r>
        <w:rPr>
          <w:rFonts w:ascii="Times New Roman" w:hAnsi="Times New Roman" w:eastAsia="Times New Roman" w:cs="Times New Roman"/>
        </w:rPr>
        <w:t xml:space="preserve"> </w:t>
      </w:r>
      <w:r>
        <w:rPr>
          <w:rFonts w:ascii="Leelawadee UI" w:hAnsi="Leelawadee UI" w:eastAsia="Leelawadee UI" w:cs="Leelawadee UI"/>
        </w:rPr>
        <w:t>ការរីកចម្រើនទាំងឡាយដែលត្រូវកើតឡើងនៅពេលអនាគត</w:t>
      </w:r>
      <w:r>
        <w:rPr>
          <w:rFonts w:ascii="Times New Roman" w:hAnsi="Times New Roman" w:eastAsia="Times New Roman" w:cs="Times New Roman"/>
        </w:rPr>
        <w:t xml:space="preserve"> </w:t>
      </w:r>
      <w:r>
        <w:rPr>
          <w:rFonts w:ascii="Leelawadee UI" w:hAnsi="Leelawadee UI" w:eastAsia="Leelawadee UI" w:cs="Leelawadee UI"/>
        </w:rPr>
        <w:t>នឹងកើតឡើង</w:t>
      </w:r>
      <w:r>
        <w:rPr>
          <w:rFonts w:ascii="Times New Roman" w:hAnsi="Times New Roman" w:eastAsia="Times New Roman" w:cs="Times New Roman"/>
        </w:rPr>
        <w:t xml:space="preserve"> “</w:t>
      </w:r>
      <w:r>
        <w:rPr>
          <w:rFonts w:ascii="Leelawadee UI" w:hAnsi="Leelawadee UI" w:eastAsia="Leelawadee UI" w:cs="Leelawadee UI"/>
        </w:rPr>
        <w:t>តាមការប្រព្រឹត្តការរបស់សាតាំង</w:t>
      </w:r>
      <w:r>
        <w:rPr>
          <w:rFonts w:ascii="Times New Roman" w:hAnsi="Times New Roman" w:eastAsia="Times New Roman" w:cs="Times New Roman"/>
        </w:rPr>
        <w:t xml:space="preserve"> </w:t>
      </w:r>
      <w:r>
        <w:rPr>
          <w:rFonts w:ascii="Leelawadee UI" w:hAnsi="Leelawadee UI" w:eastAsia="Leelawadee UI" w:cs="Leelawadee UI"/>
        </w:rPr>
        <w:t>ដោយមានអំណាចទាំងអស់</w:t>
      </w:r>
      <w:r>
        <w:rPr>
          <w:rFonts w:ascii="Times New Roman" w:hAnsi="Times New Roman" w:eastAsia="Times New Roman" w:cs="Times New Roman"/>
        </w:rPr>
        <w:t xml:space="preserve"> </w:t>
      </w:r>
      <w:r>
        <w:rPr>
          <w:rFonts w:ascii="Leelawadee UI" w:hAnsi="Leelawadee UI" w:eastAsia="Leelawadee UI" w:cs="Leelawadee UI"/>
        </w:rPr>
        <w:t>និងទីសម្គាល់ទាំងឡាយ</w:t>
      </w:r>
      <w:r>
        <w:rPr>
          <w:rFonts w:ascii="Times New Roman" w:hAnsi="Times New Roman" w:eastAsia="Times New Roman" w:cs="Times New Roman"/>
        </w:rPr>
        <w:t xml:space="preserve"> </w:t>
      </w:r>
      <w:r>
        <w:rPr>
          <w:rFonts w:ascii="Leelawadee UI" w:hAnsi="Leelawadee UI" w:eastAsia="Leelawadee UI" w:cs="Leelawadee UI"/>
        </w:rPr>
        <w:t>និងអស្ចារ្យការណ៍ក្លែងក្លាយទាំងឡាយ</w:t>
      </w:r>
      <w:r>
        <w:rPr>
          <w:rFonts w:ascii="Times New Roman" w:hAnsi="Times New Roman" w:eastAsia="Times New Roman" w:cs="Times New Roman"/>
        </w:rPr>
        <w:t xml:space="preserve"> </w:t>
      </w:r>
      <w:r>
        <w:rPr>
          <w:rFonts w:ascii="Leelawadee UI" w:hAnsi="Leelawadee UI" w:eastAsia="Leelawadee UI" w:cs="Leelawadee UI"/>
        </w:rPr>
        <w:t>ព្រមទាំងសេចក្តីបោកបញ្ឆោតទាំងអស់នៃអំពើទុច្ចរិត</w:t>
      </w:r>
      <w:r>
        <w:rPr>
          <w:rFonts w:ascii="Times New Roman" w:hAnsi="Times New Roman" w:eastAsia="Times New Roman" w:cs="Times New Roman"/>
        </w:rPr>
        <w:t xml:space="preserve"> </w:t>
      </w:r>
      <w:r>
        <w:rPr>
          <w:rFonts w:ascii="Leelawadee UI" w:hAnsi="Leelawadee UI" w:eastAsia="Leelawadee UI" w:cs="Leelawadee UI"/>
        </w:rPr>
        <w:t>នៅក្នុងពួកអ្នកដែលវិនាស</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„Нарочито свечана је апостолова изјава у погледу оних који би одбили да приме ‘љубав према истини’. ‘Зато’, изјавио је он о свима који би намерно одбацили поруке истине, ‘Бог ће им послати силу преваре, да верују лажи: да буду осуђени сви који не повероваше истини, него заволеше неправду.’ Људи не могу некажњено одбацивати опомене које им Бог у милости шаље. Од оних који упорно истрајавају у одвраћању од ових опомена, Бог повлачи Свога Духа, препуштајући их обманама које воле.“ Дела апостолска, 265, 266.</w:t>
      </w:r>
    </w:p>
    <w:p>
      <w:pPr>
        <w:pStyle w:val="ArticleBody"/>
        <w:jc w:val="left"/>
      </w:pPr>
      <w:r>
        <w:rPr>
          <w:rFonts w:ascii="Nirmala UI" w:hAnsi="Nirmala UI" w:eastAsia="Nirmala UI" w:cs="Nirmala UI"/>
        </w:rPr>
        <w:t>পৌত্তলিকতার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মণ্ডলীর</w:t>
      </w:r>
      <w:r>
        <w:rPr>
          <w:rFonts w:ascii="Times New Roman" w:hAnsi="Times New Roman" w:eastAsia="Times New Roman" w:cs="Times New Roman"/>
        </w:rPr>
        <w:t xml:space="preserve"> </w:t>
      </w:r>
      <w:r>
        <w:rPr>
          <w:rFonts w:ascii="Nirmala UI" w:hAnsi="Nirmala UI" w:eastAsia="Nirmala UI" w:cs="Nirmala UI"/>
        </w:rPr>
        <w:t>আপসই</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সতর্ক</w:t>
      </w:r>
      <w:r>
        <w:rPr>
          <w:rFonts w:ascii="Times New Roman" w:hAnsi="Times New Roman" w:eastAsia="Times New Roman" w:cs="Times New Roman"/>
        </w:rPr>
        <w:t>-</w:t>
      </w:r>
      <w:r>
        <w:rPr>
          <w:rFonts w:ascii="Nirmala UI" w:hAnsi="Nirmala UI" w:eastAsia="Nirmala UI" w:cs="Nirmala UI"/>
        </w:rPr>
        <w:t>সংকেত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যুগের</w:t>
      </w:r>
      <w:r>
        <w:rPr>
          <w:rFonts w:ascii="Times New Roman" w:hAnsi="Times New Roman" w:eastAsia="Times New Roman" w:cs="Times New Roman"/>
        </w:rPr>
        <w:t xml:space="preserve"> </w:t>
      </w:r>
      <w:r>
        <w:rPr>
          <w:rFonts w:ascii="Nirmala UI" w:hAnsi="Nirmala UI" w:eastAsia="Nirmala UI" w:cs="Nirmala UI"/>
        </w:rPr>
        <w:t>খ্রিষ্টানদেরকে</w:t>
      </w:r>
      <w:r>
        <w:rPr>
          <w:rFonts w:ascii="Times New Roman" w:hAnsi="Times New Roman" w:eastAsia="Times New Roman" w:cs="Times New Roman"/>
        </w:rPr>
        <w:t xml:space="preserve"> </w:t>
      </w:r>
      <w:r>
        <w:rPr>
          <w:rFonts w:ascii="Nirmala UI" w:hAnsi="Nirmala UI" w:eastAsia="Nirmala UI" w:cs="Nirmala UI"/>
        </w:rPr>
        <w:t>পাপাল</w:t>
      </w:r>
      <w:r>
        <w:rPr>
          <w:rFonts w:ascii="Times New Roman" w:hAnsi="Times New Roman" w:eastAsia="Times New Roman" w:cs="Times New Roman"/>
        </w:rPr>
        <w:t xml:space="preserve"> </w:t>
      </w:r>
      <w:r>
        <w:rPr>
          <w:rFonts w:ascii="Nirmala UI" w:hAnsi="Nirmala UI" w:eastAsia="Nirmala UI" w:cs="Nirmala UI"/>
        </w:rPr>
        <w:t>রোম</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পৃথক</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লক্ষণীয়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পালিয়ে</w:t>
      </w:r>
      <w:r>
        <w:rPr>
          <w:rFonts w:ascii="Times New Roman" w:hAnsi="Times New Roman" w:eastAsia="Times New Roman" w:cs="Times New Roman"/>
        </w:rPr>
        <w:t xml:space="preserve"> </w:t>
      </w:r>
      <w:r>
        <w:rPr>
          <w:rFonts w:ascii="Nirmala UI" w:hAnsi="Nirmala UI" w:eastAsia="Nirmala UI" w:cs="Nirmala UI"/>
        </w:rPr>
        <w:t>যাওয়ার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যীশুর</w:t>
      </w:r>
      <w:r>
        <w:rPr>
          <w:rFonts w:ascii="Times New Roman" w:hAnsi="Times New Roman" w:eastAsia="Times New Roman" w:cs="Times New Roman"/>
        </w:rPr>
        <w:t xml:space="preserve"> </w:t>
      </w:r>
      <w:r>
        <w:rPr>
          <w:rFonts w:ascii="Nirmala UI" w:hAnsi="Nirmala UI" w:eastAsia="Nirmala UI" w:cs="Nirmala UI"/>
        </w:rPr>
        <w:t>সতর্কবাণীতে</w:t>
      </w:r>
      <w:r>
        <w:rPr>
          <w:rFonts w:ascii="Times New Roman" w:hAnsi="Times New Roman" w:eastAsia="Times New Roman" w:cs="Times New Roman"/>
        </w:rPr>
        <w:t xml:space="preserve"> </w:t>
      </w:r>
      <w:r>
        <w:rPr>
          <w:rFonts w:ascii="Nirmala UI" w:hAnsi="Nirmala UI" w:eastAsia="Nirmala UI" w:cs="Nirmala UI"/>
        </w:rPr>
        <w:t>পৌল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আলোক</w:t>
      </w:r>
      <w:r>
        <w:rPr>
          <w:rFonts w:ascii="Times New Roman" w:hAnsi="Times New Roman" w:eastAsia="Times New Roman" w:cs="Times New Roman"/>
        </w:rPr>
        <w:t xml:space="preserve"> </w:t>
      </w:r>
      <w:r>
        <w:rPr>
          <w:rFonts w:ascii="Nirmala UI" w:hAnsi="Nirmala UI" w:eastAsia="Nirmala UI" w:cs="Nirmala UI"/>
        </w:rPr>
        <w:t>সংযোজন</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অনুচ্ছেদ</w:t>
      </w:r>
      <w:r>
        <w:rPr>
          <w:rFonts w:ascii="Times New Roman" w:hAnsi="Times New Roman" w:eastAsia="Times New Roman" w:cs="Times New Roman"/>
        </w:rPr>
        <w:t xml:space="preserve"> </w:t>
      </w:r>
      <w:r>
        <w:rPr>
          <w:rFonts w:ascii="Nirmala UI" w:hAnsi="Nirmala UI" w:eastAsia="Nirmala UI" w:cs="Nirmala UI"/>
        </w:rPr>
        <w:t>থেকেই</w:t>
      </w:r>
      <w:r>
        <w:rPr>
          <w:rFonts w:ascii="Times New Roman" w:hAnsi="Times New Roman" w:eastAsia="Times New Roman" w:cs="Times New Roman"/>
        </w:rPr>
        <w:t xml:space="preserve"> </w:t>
      </w:r>
      <w:r>
        <w:rPr>
          <w:rFonts w:ascii="Nirmala UI" w:hAnsi="Nirmala UI" w:eastAsia="Nirmala UI" w:cs="Nirmala UI"/>
        </w:rPr>
        <w:t>উইলিয়াম</w:t>
      </w:r>
      <w:r>
        <w:rPr>
          <w:rFonts w:ascii="Times New Roman" w:hAnsi="Times New Roman" w:eastAsia="Times New Roman" w:cs="Times New Roman"/>
        </w:rPr>
        <w:t xml:space="preserve"> </w:t>
      </w:r>
      <w:r>
        <w:rPr>
          <w:rFonts w:ascii="Nirmala UI" w:hAnsi="Nirmala UI" w:eastAsia="Nirmala UI" w:cs="Nirmala UI"/>
        </w:rPr>
        <w:t>মিলার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উপলব্ধিতে</w:t>
      </w:r>
      <w:r>
        <w:rPr>
          <w:rFonts w:ascii="Times New Roman" w:hAnsi="Times New Roman" w:eastAsia="Times New Roman" w:cs="Times New Roman"/>
        </w:rPr>
        <w:t xml:space="preserve"> </w:t>
      </w:r>
      <w:r>
        <w:rPr>
          <w:rFonts w:ascii="Nirmala UI" w:hAnsi="Nirmala UI" w:eastAsia="Nirmala UI" w:cs="Nirmala UI"/>
        </w:rPr>
        <w:t>উপনীত</w:t>
      </w:r>
      <w:r>
        <w:rPr>
          <w:rFonts w:ascii="Times New Roman" w:hAnsi="Times New Roman" w:eastAsia="Times New Roman" w:cs="Times New Roman"/>
        </w:rPr>
        <w:t xml:space="preserve"> </w:t>
      </w:r>
      <w:r>
        <w:rPr>
          <w:rFonts w:ascii="Nirmala UI" w:hAnsi="Nirmala UI" w:eastAsia="Nirmala UI" w:cs="Nirmala UI"/>
        </w:rPr>
        <w:t>হন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পুস্তকের</w:t>
      </w:r>
      <w:r>
        <w:rPr>
          <w:rFonts w:ascii="Times New Roman" w:hAnsi="Times New Roman" w:eastAsia="Times New Roman" w:cs="Times New Roman"/>
        </w:rPr>
        <w:t xml:space="preserve"> “the daily”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পৌত্তলিক</w:t>
      </w:r>
      <w:r>
        <w:rPr>
          <w:rFonts w:ascii="Times New Roman" w:hAnsi="Times New Roman" w:eastAsia="Times New Roman" w:cs="Times New Roman"/>
        </w:rPr>
        <w:t xml:space="preserve"> </w:t>
      </w:r>
      <w:r>
        <w:rPr>
          <w:rFonts w:ascii="Nirmala UI" w:hAnsi="Nirmala UI" w:eastAsia="Nirmala UI" w:cs="Nirmala UI"/>
        </w:rPr>
        <w:t>রোমকেই</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পৌত্তলিক</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সংযম</w:t>
      </w:r>
      <w:r>
        <w:rPr>
          <w:rFonts w:ascii="Times New Roman" w:hAnsi="Times New Roman" w:eastAsia="Times New Roman" w:cs="Times New Roman"/>
        </w:rPr>
        <w:t xml:space="preserve"> </w:t>
      </w:r>
      <w:r>
        <w:rPr>
          <w:rFonts w:ascii="Nirmala UI" w:hAnsi="Nirmala UI" w:eastAsia="Nirmala UI" w:cs="Nirmala UI"/>
        </w:rPr>
        <w:t>আরোপ</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সিংহাসনে</w:t>
      </w:r>
      <w:r>
        <w:rPr>
          <w:rFonts w:ascii="Times New Roman" w:hAnsi="Times New Roman" w:eastAsia="Times New Roman" w:cs="Times New Roman"/>
        </w:rPr>
        <w:t xml:space="preserve"> </w:t>
      </w:r>
      <w:r>
        <w:rPr>
          <w:rFonts w:ascii="Nirmala UI" w:hAnsi="Nirmala UI" w:eastAsia="Nirmala UI" w:cs="Nirmala UI"/>
        </w:rPr>
        <w:t>পাপাল</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আরোহণের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সরে</w:t>
      </w:r>
      <w:r>
        <w:rPr>
          <w:rFonts w:ascii="Times New Roman" w:hAnsi="Times New Roman" w:eastAsia="Times New Roman" w:cs="Times New Roman"/>
        </w:rPr>
        <w:t xml:space="preserve"> </w:t>
      </w:r>
      <w:r>
        <w:rPr>
          <w:rFonts w:ascii="Nirmala UI" w:hAnsi="Nirmala UI" w:eastAsia="Nirmala UI" w:cs="Nirmala UI"/>
        </w:rPr>
        <w:t>দাঁড়ানো</w:t>
      </w:r>
      <w:r>
        <w:rPr>
          <w:rFonts w:ascii="Times New Roman" w:hAnsi="Times New Roman" w:eastAsia="Times New Roman" w:cs="Times New Roman"/>
        </w:rPr>
        <w:t>—</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সম্পর্কটি</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অবশ্যই</w:t>
      </w:r>
      <w:r>
        <w:rPr>
          <w:rFonts w:ascii="Times New Roman" w:hAnsi="Times New Roman" w:eastAsia="Times New Roman" w:cs="Times New Roman"/>
        </w:rPr>
        <w:t xml:space="preserve"> </w:t>
      </w:r>
      <w:r>
        <w:rPr>
          <w:rFonts w:ascii="Nirmala UI" w:hAnsi="Nirmala UI" w:eastAsia="Nirmala UI" w:cs="Nirmala UI"/>
        </w:rPr>
        <w:t>বুঝতে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সম্পর্কটি</w:t>
      </w:r>
      <w:r>
        <w:rPr>
          <w:rFonts w:ascii="Times New Roman" w:hAnsi="Times New Roman" w:eastAsia="Times New Roman" w:cs="Times New Roman"/>
        </w:rPr>
        <w:t xml:space="preserve"> </w:t>
      </w:r>
      <w:r>
        <w:rPr>
          <w:rFonts w:ascii="Nirmala UI" w:hAnsi="Nirmala UI" w:eastAsia="Nirmala UI" w:cs="Nirmala UI"/>
        </w:rPr>
        <w:t>চিনতে</w:t>
      </w:r>
      <w:r>
        <w:rPr>
          <w:rFonts w:ascii="Times New Roman" w:hAnsi="Times New Roman" w:eastAsia="Times New Roman" w:cs="Times New Roman"/>
        </w:rPr>
        <w:t xml:space="preserve"> </w:t>
      </w:r>
      <w:r>
        <w:rPr>
          <w:rFonts w:ascii="Nirmala UI" w:hAnsi="Nirmala UI" w:eastAsia="Nirmala UI" w:cs="Nirmala UI"/>
        </w:rPr>
        <w:t>ব্যর্থ</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পরিণতি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সকলের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প্রবল</w:t>
      </w:r>
      <w:r>
        <w:rPr>
          <w:rFonts w:ascii="Times New Roman" w:hAnsi="Times New Roman" w:eastAsia="Times New Roman" w:cs="Times New Roman"/>
        </w:rPr>
        <w:t xml:space="preserve"> </w:t>
      </w:r>
      <w:r>
        <w:rPr>
          <w:rFonts w:ascii="Nirmala UI" w:hAnsi="Nirmala UI" w:eastAsia="Nirmala UI" w:cs="Nirmala UI"/>
        </w:rPr>
        <w:t>ভ্রান্তি</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সত্যকে</w:t>
      </w:r>
      <w:r>
        <w:rPr>
          <w:rFonts w:ascii="Times New Roman" w:hAnsi="Times New Roman" w:eastAsia="Times New Roman" w:cs="Times New Roman"/>
        </w:rPr>
        <w:t xml:space="preserve"> </w:t>
      </w:r>
      <w:r>
        <w:rPr>
          <w:rFonts w:ascii="Nirmala UI" w:hAnsi="Nirmala UI" w:eastAsia="Nirmala UI" w:cs="Nirmala UI"/>
        </w:rPr>
        <w:t>প্রেম</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সিস্টার</w:t>
      </w:r>
      <w:r>
        <w:rPr>
          <w:rFonts w:ascii="Times New Roman" w:hAnsi="Times New Roman" w:eastAsia="Times New Roman" w:cs="Times New Roman"/>
        </w:rPr>
        <w:t xml:space="preserve"> </w:t>
      </w:r>
      <w:r>
        <w:rPr>
          <w:rFonts w:ascii="Nirmala UI" w:hAnsi="Nirmala UI" w:eastAsia="Nirmala UI" w:cs="Nirmala UI"/>
        </w:rPr>
        <w:t>হোয়াইট</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আলোচনা</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Il fallut une lutte désespérée à ceux qui voulaient demeurer fidèles, afin de tenir ferme contre les séductions et les abominations qui, déguisées sous des vêtements sacerdotaux, furent introduites dans l’Église. La Bible n’était pas acceptée comme la règle de la foi. La doctrine de la liberté religieuse était qualifiée d’hérésie, et ses défenseurs étaient haïs et proscrits.</w:t>
      </w:r>
    </w:p>
    <w:p>
      <w:pPr>
        <w:pStyle w:val="ArticleScripture"/>
        <w:jc w:val="left"/>
      </w:pPr>
      <w:r>
        <w:rPr>
          <w:rFonts w:ascii="Times New Roman" w:hAnsi="Times New Roman" w:eastAsia="Times New Roman" w:cs="Times New Roman"/>
        </w:rPr>
        <w:t>“</w:t>
      </w:r>
      <w:r>
        <w:rPr>
          <w:rFonts w:ascii="Ebrima" w:hAnsi="Ebrima" w:eastAsia="Ebrima" w:cs="Ebrima"/>
        </w:rPr>
        <w:t>ከረዥምና</w:t>
      </w:r>
      <w:r>
        <w:rPr>
          <w:rFonts w:ascii="Times New Roman" w:hAnsi="Times New Roman" w:eastAsia="Times New Roman" w:cs="Times New Roman"/>
        </w:rPr>
        <w:t xml:space="preserve"> </w:t>
      </w:r>
      <w:r>
        <w:rPr>
          <w:rFonts w:ascii="Ebrima" w:hAnsi="Ebrima" w:eastAsia="Ebrima" w:cs="Ebrima"/>
        </w:rPr>
        <w:t>ከባድ</w:t>
      </w:r>
      <w:r>
        <w:rPr>
          <w:rFonts w:ascii="Times New Roman" w:hAnsi="Times New Roman" w:eastAsia="Times New Roman" w:cs="Times New Roman"/>
        </w:rPr>
        <w:t xml:space="preserve"> </w:t>
      </w:r>
      <w:r>
        <w:rPr>
          <w:rFonts w:ascii="Ebrima" w:hAnsi="Ebrima" w:eastAsia="Ebrima" w:cs="Ebrima"/>
        </w:rPr>
        <w:t>ግጭት</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ታማኞቹ</w:t>
      </w:r>
      <w:r>
        <w:rPr>
          <w:rFonts w:ascii="Times New Roman" w:hAnsi="Times New Roman" w:eastAsia="Times New Roman" w:cs="Times New Roman"/>
        </w:rPr>
        <w:t xml:space="preserve"> </w:t>
      </w:r>
      <w:r>
        <w:rPr>
          <w:rFonts w:ascii="Ebrima" w:hAnsi="Ebrima" w:eastAsia="Ebrima" w:cs="Ebrima"/>
        </w:rPr>
        <w:t>ጥቂቶች</w:t>
      </w:r>
      <w:r>
        <w:rPr>
          <w:rFonts w:ascii="Times New Roman" w:hAnsi="Times New Roman" w:eastAsia="Times New Roman" w:cs="Times New Roman"/>
        </w:rPr>
        <w:t xml:space="preserve"> </w:t>
      </w:r>
      <w:r>
        <w:rPr>
          <w:rFonts w:ascii="Ebrima" w:hAnsi="Ebrima" w:eastAsia="Ebrima" w:cs="Ebrima"/>
        </w:rPr>
        <w:t>ያፈነገጠችው</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ከሐሰትና</w:t>
      </w:r>
      <w:r>
        <w:rPr>
          <w:rFonts w:ascii="Times New Roman" w:hAnsi="Times New Roman" w:eastAsia="Times New Roman" w:cs="Times New Roman"/>
        </w:rPr>
        <w:t xml:space="preserve"> </w:t>
      </w:r>
      <w:r>
        <w:rPr>
          <w:rFonts w:ascii="Ebrima" w:hAnsi="Ebrima" w:eastAsia="Ebrima" w:cs="Ebrima"/>
        </w:rPr>
        <w:t>ከጣዖት</w:t>
      </w:r>
      <w:r>
        <w:rPr>
          <w:rFonts w:ascii="Times New Roman" w:hAnsi="Times New Roman" w:eastAsia="Times New Roman" w:cs="Times New Roman"/>
        </w:rPr>
        <w:t xml:space="preserve"> </w:t>
      </w:r>
      <w:r>
        <w:rPr>
          <w:rFonts w:ascii="Ebrima" w:hAnsi="Ebrima" w:eastAsia="Ebrima" w:cs="Ebrima"/>
        </w:rPr>
        <w:t>አምልኮ</w:t>
      </w:r>
      <w:r>
        <w:rPr>
          <w:rFonts w:ascii="Times New Roman" w:hAnsi="Times New Roman" w:eastAsia="Times New Roman" w:cs="Times New Roman"/>
        </w:rPr>
        <w:t xml:space="preserve"> </w:t>
      </w:r>
      <w:r>
        <w:rPr>
          <w:rFonts w:ascii="Ebrima" w:hAnsi="Ebrima" w:eastAsia="Ebrima" w:cs="Ebrima"/>
        </w:rPr>
        <w:t>ራሷን</w:t>
      </w:r>
      <w:r>
        <w:rPr>
          <w:rFonts w:ascii="Times New Roman" w:hAnsi="Times New Roman" w:eastAsia="Times New Roman" w:cs="Times New Roman"/>
        </w:rPr>
        <w:t xml:space="preserve"> </w:t>
      </w:r>
      <w:r>
        <w:rPr>
          <w:rFonts w:ascii="Ebrima" w:hAnsi="Ebrima" w:eastAsia="Ebrima" w:cs="Ebrima"/>
        </w:rPr>
        <w:t>ለማላቀቅ</w:t>
      </w:r>
      <w:r>
        <w:rPr>
          <w:rFonts w:ascii="Times New Roman" w:hAnsi="Times New Roman" w:eastAsia="Times New Roman" w:cs="Times New Roman"/>
        </w:rPr>
        <w:t xml:space="preserve"> </w:t>
      </w:r>
      <w:r>
        <w:rPr>
          <w:rFonts w:ascii="Ebrima" w:hAnsi="Ebrima" w:eastAsia="Ebrima" w:cs="Ebrima"/>
        </w:rPr>
        <w:t>እስካሁን</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ፈቃደኛ</w:t>
      </w:r>
      <w:r>
        <w:rPr>
          <w:rFonts w:ascii="Times New Roman" w:hAnsi="Times New Roman" w:eastAsia="Times New Roman" w:cs="Times New Roman"/>
        </w:rPr>
        <w:t xml:space="preserve"> </w:t>
      </w:r>
      <w:r>
        <w:rPr>
          <w:rFonts w:ascii="Ebrima" w:hAnsi="Ebrima" w:eastAsia="Ebrima" w:cs="Ebrima"/>
        </w:rPr>
        <w:t>ካልሆነች፣</w:t>
      </w:r>
      <w:r>
        <w:rPr>
          <w:rFonts w:ascii="Times New Roman" w:hAnsi="Times New Roman" w:eastAsia="Times New Roman" w:cs="Times New Roman"/>
        </w:rPr>
        <w:t xml:space="preserve"> </w:t>
      </w:r>
      <w:r>
        <w:rPr>
          <w:rFonts w:ascii="Ebrima" w:hAnsi="Ebrima" w:eastAsia="Ebrima" w:cs="Ebrima"/>
        </w:rPr>
        <w:t>ከእርሷ</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ማንኛውንም</w:t>
      </w:r>
      <w:r>
        <w:rPr>
          <w:rFonts w:ascii="Times New Roman" w:hAnsi="Times New Roman" w:eastAsia="Times New Roman" w:cs="Times New Roman"/>
        </w:rPr>
        <w:t xml:space="preserve"> </w:t>
      </w:r>
      <w:r>
        <w:rPr>
          <w:rFonts w:ascii="Ebrima" w:hAnsi="Ebrima" w:eastAsia="Ebrima" w:cs="Ebrima"/>
        </w:rPr>
        <w:t>ኅብረት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ለማፍረስ</w:t>
      </w:r>
      <w:r>
        <w:rPr>
          <w:rFonts w:ascii="Times New Roman" w:hAnsi="Times New Roman" w:eastAsia="Times New Roman" w:cs="Times New Roman"/>
        </w:rPr>
        <w:t xml:space="preserve"> </w:t>
      </w:r>
      <w:r>
        <w:rPr>
          <w:rFonts w:ascii="Ebrima" w:hAnsi="Ebrima" w:eastAsia="Ebrima" w:cs="Ebrima"/>
        </w:rPr>
        <w:t>ወሰኑ።</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ለመታዘዝ</w:t>
      </w:r>
      <w:r>
        <w:rPr>
          <w:rFonts w:ascii="Times New Roman" w:hAnsi="Times New Roman" w:eastAsia="Times New Roman" w:cs="Times New Roman"/>
        </w:rPr>
        <w:t xml:space="preserve"> </w:t>
      </w:r>
      <w:r>
        <w:rPr>
          <w:rFonts w:ascii="Ebrima" w:hAnsi="Ebrima" w:eastAsia="Ebrima" w:cs="Ebrima"/>
        </w:rPr>
        <w:t>ከፈለጉ</w:t>
      </w:r>
      <w:r>
        <w:rPr>
          <w:rFonts w:ascii="Times New Roman" w:hAnsi="Times New Roman" w:eastAsia="Times New Roman" w:cs="Times New Roman"/>
        </w:rPr>
        <w:t xml:space="preserve"> </w:t>
      </w:r>
      <w:r>
        <w:rPr>
          <w:rFonts w:ascii="Ebrima" w:hAnsi="Ebrima" w:eastAsia="Ebrima" w:cs="Ebrima"/>
        </w:rPr>
        <w:t>መለየት</w:t>
      </w:r>
      <w:r>
        <w:rPr>
          <w:rFonts w:ascii="Times New Roman" w:hAnsi="Times New Roman" w:eastAsia="Times New Roman" w:cs="Times New Roman"/>
        </w:rPr>
        <w:t xml:space="preserve"> </w:t>
      </w:r>
      <w:r>
        <w:rPr>
          <w:rFonts w:ascii="Ebrima" w:hAnsi="Ebrima" w:eastAsia="Ebrima" w:cs="Ebrima"/>
        </w:rPr>
        <w:t>ፍጹም</w:t>
      </w:r>
      <w:r>
        <w:rPr>
          <w:rFonts w:ascii="Times New Roman" w:hAnsi="Times New Roman" w:eastAsia="Times New Roman" w:cs="Times New Roman"/>
        </w:rPr>
        <w:t xml:space="preserve"> </w:t>
      </w:r>
      <w:r>
        <w:rPr>
          <w:rFonts w:ascii="Ebrima" w:hAnsi="Ebrima" w:eastAsia="Ebrima" w:cs="Ebrima"/>
        </w:rPr>
        <w:t>አስፈላጊነት</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ተረዱ።</w:t>
      </w:r>
      <w:r>
        <w:rPr>
          <w:rFonts w:ascii="Times New Roman" w:hAnsi="Times New Roman" w:eastAsia="Times New Roman" w:cs="Times New Roman"/>
        </w:rPr>
        <w:t xml:space="preserve"> </w:t>
      </w:r>
      <w:r>
        <w:rPr>
          <w:rFonts w:ascii="Ebrima" w:hAnsi="Ebrima" w:eastAsia="Ebrima" w:cs="Ebrima"/>
        </w:rPr>
        <w:t>ለራሳቸው</w:t>
      </w:r>
      <w:r>
        <w:rPr>
          <w:rFonts w:ascii="Times New Roman" w:hAnsi="Times New Roman" w:eastAsia="Times New Roman" w:cs="Times New Roman"/>
        </w:rPr>
        <w:t xml:space="preserve"> </w:t>
      </w:r>
      <w:r>
        <w:rPr>
          <w:rFonts w:ascii="Ebrima" w:hAnsi="Ebrima" w:eastAsia="Ebrima" w:cs="Ebrima"/>
        </w:rPr>
        <w:t>ነፍሳት</w:t>
      </w:r>
      <w:r>
        <w:rPr>
          <w:rFonts w:ascii="Times New Roman" w:hAnsi="Times New Roman" w:eastAsia="Times New Roman" w:cs="Times New Roman"/>
        </w:rPr>
        <w:t xml:space="preserve"> </w:t>
      </w:r>
      <w:r>
        <w:rPr>
          <w:rFonts w:ascii="Ebrima" w:hAnsi="Ebrima" w:eastAsia="Ebrima" w:cs="Ebrima"/>
        </w:rPr>
        <w:t>ገዳይ</w:t>
      </w:r>
      <w:r>
        <w:rPr>
          <w:rFonts w:ascii="Times New Roman" w:hAnsi="Times New Roman" w:eastAsia="Times New Roman" w:cs="Times New Roman"/>
        </w:rPr>
        <w:t xml:space="preserve"> </w:t>
      </w:r>
      <w:r>
        <w:rPr>
          <w:rFonts w:ascii="Ebrima" w:hAnsi="Ebrima" w:eastAsia="Ebrima" w:cs="Ebrima"/>
        </w:rPr>
        <w:t>የሆኑ</w:t>
      </w:r>
      <w:r>
        <w:rPr>
          <w:rFonts w:ascii="Times New Roman" w:hAnsi="Times New Roman" w:eastAsia="Times New Roman" w:cs="Times New Roman"/>
        </w:rPr>
        <w:t xml:space="preserve"> </w:t>
      </w:r>
      <w:r>
        <w:rPr>
          <w:rFonts w:ascii="Ebrima" w:hAnsi="Ebrima" w:eastAsia="Ebrima" w:cs="Ebrima"/>
        </w:rPr>
        <w:t>ስህተቶችን</w:t>
      </w:r>
      <w:r>
        <w:rPr>
          <w:rFonts w:ascii="Times New Roman" w:hAnsi="Times New Roman" w:eastAsia="Times New Roman" w:cs="Times New Roman"/>
        </w:rPr>
        <w:t xml:space="preserve"> </w:t>
      </w:r>
      <w:r>
        <w:rPr>
          <w:rFonts w:ascii="Ebrima" w:hAnsi="Ebrima" w:eastAsia="Ebrima" w:cs="Ebrima"/>
        </w:rPr>
        <w:t>ሊታገሡ</w:t>
      </w:r>
      <w:r>
        <w:rPr>
          <w:rFonts w:ascii="Times New Roman" w:hAnsi="Times New Roman" w:eastAsia="Times New Roman" w:cs="Times New Roman"/>
        </w:rPr>
        <w:t xml:space="preserve"> </w:t>
      </w:r>
      <w:r>
        <w:rPr>
          <w:rFonts w:ascii="Ebrima" w:hAnsi="Ebrima" w:eastAsia="Ebrima" w:cs="Ebrima"/>
        </w:rPr>
        <w:t>አልደፈሩም፣</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የልጆቻቸውንና</w:t>
      </w:r>
      <w:r>
        <w:rPr>
          <w:rFonts w:ascii="Times New Roman" w:hAnsi="Times New Roman" w:eastAsia="Times New Roman" w:cs="Times New Roman"/>
        </w:rPr>
        <w:t xml:space="preserve"> </w:t>
      </w:r>
      <w:r>
        <w:rPr>
          <w:rFonts w:ascii="Ebrima" w:hAnsi="Ebrima" w:eastAsia="Ebrima" w:cs="Ebrima"/>
        </w:rPr>
        <w:t>የልጅ</w:t>
      </w:r>
      <w:r>
        <w:rPr>
          <w:rFonts w:ascii="Times New Roman" w:hAnsi="Times New Roman" w:eastAsia="Times New Roman" w:cs="Times New Roman"/>
        </w:rPr>
        <w:t xml:space="preserve"> </w:t>
      </w:r>
      <w:r>
        <w:rPr>
          <w:rFonts w:ascii="Ebrima" w:hAnsi="Ebrima" w:eastAsia="Ebrima" w:cs="Ebrima"/>
        </w:rPr>
        <w:t>ልጆቻቸውን</w:t>
      </w:r>
      <w:r>
        <w:rPr>
          <w:rFonts w:ascii="Times New Roman" w:hAnsi="Times New Roman" w:eastAsia="Times New Roman" w:cs="Times New Roman"/>
        </w:rPr>
        <w:t xml:space="preserve"> </w:t>
      </w:r>
      <w:r>
        <w:rPr>
          <w:rFonts w:ascii="Ebrima" w:hAnsi="Ebrima" w:eastAsia="Ebrima" w:cs="Ebrima"/>
        </w:rPr>
        <w:t>እምነት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አደጋ</w:t>
      </w:r>
      <w:r>
        <w:rPr>
          <w:rFonts w:ascii="Times New Roman" w:hAnsi="Times New Roman" w:eastAsia="Times New Roman" w:cs="Times New Roman"/>
        </w:rPr>
        <w:t xml:space="preserve"> </w:t>
      </w:r>
      <w:r>
        <w:rPr>
          <w:rFonts w:ascii="Ebrima" w:hAnsi="Ebrima" w:eastAsia="Ebrima" w:cs="Ebrima"/>
        </w:rPr>
        <w:t>የሚጥል</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ሊሆኑ</w:t>
      </w:r>
      <w:r>
        <w:rPr>
          <w:rFonts w:ascii="Times New Roman" w:hAnsi="Times New Roman" w:eastAsia="Times New Roman" w:cs="Times New Roman"/>
        </w:rPr>
        <w:t xml:space="preserve"> </w:t>
      </w:r>
      <w:r>
        <w:rPr>
          <w:rFonts w:ascii="Ebrima" w:hAnsi="Ebrima" w:eastAsia="Ebrima" w:cs="Ebrima"/>
        </w:rPr>
        <w:t>አልፈቀዱም።</w:t>
      </w:r>
      <w:r>
        <w:rPr>
          <w:rFonts w:ascii="Times New Roman" w:hAnsi="Times New Roman" w:eastAsia="Times New Roman" w:cs="Times New Roman"/>
        </w:rPr>
        <w:t xml:space="preserve"> </w:t>
      </w:r>
      <w:r>
        <w:rPr>
          <w:rFonts w:ascii="Ebrima" w:hAnsi="Ebrima" w:eastAsia="Ebrima" w:cs="Ebrima"/>
        </w:rPr>
        <w:t>ሰላምንና</w:t>
      </w:r>
      <w:r>
        <w:rPr>
          <w:rFonts w:ascii="Times New Roman" w:hAnsi="Times New Roman" w:eastAsia="Times New Roman" w:cs="Times New Roman"/>
        </w:rPr>
        <w:t xml:space="preserve"> </w:t>
      </w:r>
      <w:r>
        <w:rPr>
          <w:rFonts w:ascii="Ebrima" w:hAnsi="Ebrima" w:eastAsia="Ebrima" w:cs="Ebrima"/>
        </w:rPr>
        <w:t>አንድነትን</w:t>
      </w:r>
      <w:r>
        <w:rPr>
          <w:rFonts w:ascii="Times New Roman" w:hAnsi="Times New Roman" w:eastAsia="Times New Roman" w:cs="Times New Roman"/>
        </w:rPr>
        <w:t xml:space="preserve"> </w:t>
      </w:r>
      <w:r>
        <w:rPr>
          <w:rFonts w:ascii="Ebrima" w:hAnsi="Ebrima" w:eastAsia="Ebrima" w:cs="Ebrima"/>
        </w:rPr>
        <w:t>ለማረጋገጥ፣</w:t>
      </w:r>
      <w:r>
        <w:rPr>
          <w:rFonts w:ascii="Times New Roman" w:hAnsi="Times New Roman" w:eastAsia="Times New Roman" w:cs="Times New Roman"/>
        </w:rPr>
        <w:t xml:space="preserve"> </w:t>
      </w:r>
      <w:r>
        <w:rPr>
          <w:rFonts w:ascii="Ebrima" w:hAnsi="Ebrima" w:eastAsia="Ebrima" w:cs="Ebrima"/>
        </w:rPr>
        <w:t>ለእግዚአብሔር</w:t>
      </w:r>
      <w:r>
        <w:rPr>
          <w:rFonts w:ascii="Times New Roman" w:hAnsi="Times New Roman" w:eastAsia="Times New Roman" w:cs="Times New Roman"/>
        </w:rPr>
        <w:t xml:space="preserve"> </w:t>
      </w:r>
      <w:r>
        <w:rPr>
          <w:rFonts w:ascii="Ebrima" w:hAnsi="Ebrima" w:eastAsia="Ebrima" w:cs="Ebrima"/>
        </w:rPr>
        <w:t>ታማኝነት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የሚስማማ</w:t>
      </w:r>
      <w:r>
        <w:rPr>
          <w:rFonts w:ascii="Times New Roman" w:hAnsi="Times New Roman" w:eastAsia="Times New Roman" w:cs="Times New Roman"/>
        </w:rPr>
        <w:t xml:space="preserve"> </w:t>
      </w:r>
      <w:r>
        <w:rPr>
          <w:rFonts w:ascii="Ebrima" w:hAnsi="Ebrima" w:eastAsia="Ebrima" w:cs="Ebrima"/>
        </w:rPr>
        <w:t>ማንኛውንም</w:t>
      </w:r>
      <w:r>
        <w:rPr>
          <w:rFonts w:ascii="Times New Roman" w:hAnsi="Times New Roman" w:eastAsia="Times New Roman" w:cs="Times New Roman"/>
        </w:rPr>
        <w:t xml:space="preserve"> </w:t>
      </w:r>
      <w:r>
        <w:rPr>
          <w:rFonts w:ascii="Ebrima" w:hAnsi="Ebrima" w:eastAsia="Ebrima" w:cs="Ebrima"/>
        </w:rPr>
        <w:t>ቅናሽ</w:t>
      </w:r>
      <w:r>
        <w:rPr>
          <w:rFonts w:ascii="Times New Roman" w:hAnsi="Times New Roman" w:eastAsia="Times New Roman" w:cs="Times New Roman"/>
        </w:rPr>
        <w:t xml:space="preserve"> </w:t>
      </w:r>
      <w:r>
        <w:rPr>
          <w:rFonts w:ascii="Ebrima" w:hAnsi="Ebrima" w:eastAsia="Ebrima" w:cs="Ebrima"/>
        </w:rPr>
        <w:t>ለማድረግ</w:t>
      </w:r>
      <w:r>
        <w:rPr>
          <w:rFonts w:ascii="Times New Roman" w:hAnsi="Times New Roman" w:eastAsia="Times New Roman" w:cs="Times New Roman"/>
        </w:rPr>
        <w:t xml:space="preserve"> </w:t>
      </w:r>
      <w:r>
        <w:rPr>
          <w:rFonts w:ascii="Ebrima" w:hAnsi="Ebrima" w:eastAsia="Ebrima" w:cs="Ebrima"/>
        </w:rPr>
        <w:t>ዝግጁ</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መርህን</w:t>
      </w:r>
      <w:r>
        <w:rPr>
          <w:rFonts w:ascii="Times New Roman" w:hAnsi="Times New Roman" w:eastAsia="Times New Roman" w:cs="Times New Roman"/>
        </w:rPr>
        <w:t xml:space="preserve"> </w:t>
      </w:r>
      <w:r>
        <w:rPr>
          <w:rFonts w:ascii="Ebrima" w:hAnsi="Ebrima" w:eastAsia="Ebrima" w:cs="Ebrima"/>
        </w:rPr>
        <w:t>በመሥዋዕት</w:t>
      </w:r>
      <w:r>
        <w:rPr>
          <w:rFonts w:ascii="Times New Roman" w:hAnsi="Times New Roman" w:eastAsia="Times New Roman" w:cs="Times New Roman"/>
        </w:rPr>
        <w:t xml:space="preserve"> </w:t>
      </w:r>
      <w:r>
        <w:rPr>
          <w:rFonts w:ascii="Ebrima" w:hAnsi="Ebrima" w:eastAsia="Ebrima" w:cs="Ebrima"/>
        </w:rPr>
        <w:t>በመስጠት</w:t>
      </w:r>
      <w:r>
        <w:rPr>
          <w:rFonts w:ascii="Times New Roman" w:hAnsi="Times New Roman" w:eastAsia="Times New Roman" w:cs="Times New Roman"/>
        </w:rPr>
        <w:t xml:space="preserve"> </w:t>
      </w:r>
      <w:r>
        <w:rPr>
          <w:rFonts w:ascii="Ebrima" w:hAnsi="Ebrima" w:eastAsia="Ebrima" w:cs="Ebrima"/>
        </w:rPr>
        <w:t>እንኳ</w:t>
      </w:r>
      <w:r>
        <w:rPr>
          <w:rFonts w:ascii="Times New Roman" w:hAnsi="Times New Roman" w:eastAsia="Times New Roman" w:cs="Times New Roman"/>
        </w:rPr>
        <w:t xml:space="preserve"> </w:t>
      </w:r>
      <w:r>
        <w:rPr>
          <w:rFonts w:ascii="Ebrima" w:hAnsi="Ebrima" w:eastAsia="Ebrima" w:cs="Ebrima"/>
        </w:rPr>
        <w:t>ሰላም</w:t>
      </w:r>
      <w:r>
        <w:rPr>
          <w:rFonts w:ascii="Times New Roman" w:hAnsi="Times New Roman" w:eastAsia="Times New Roman" w:cs="Times New Roman"/>
        </w:rPr>
        <w:t xml:space="preserve"> </w:t>
      </w:r>
      <w:r>
        <w:rPr>
          <w:rFonts w:ascii="Ebrima" w:hAnsi="Ebrima" w:eastAsia="Ebrima" w:cs="Ebrima"/>
        </w:rPr>
        <w:t>በእጅጉ</w:t>
      </w:r>
      <w:r>
        <w:rPr>
          <w:rFonts w:ascii="Times New Roman" w:hAnsi="Times New Roman" w:eastAsia="Times New Roman" w:cs="Times New Roman"/>
        </w:rPr>
        <w:t xml:space="preserve"> </w:t>
      </w:r>
      <w:r>
        <w:rPr>
          <w:rFonts w:ascii="Ebrima" w:hAnsi="Ebrima" w:eastAsia="Ebrima" w:cs="Ebrima"/>
        </w:rPr>
        <w:t>ውድ</w:t>
      </w:r>
      <w:r>
        <w:rPr>
          <w:rFonts w:ascii="Times New Roman" w:hAnsi="Times New Roman" w:eastAsia="Times New Roman" w:cs="Times New Roman"/>
        </w:rPr>
        <w:t xml:space="preserve"> </w:t>
      </w:r>
      <w:r>
        <w:rPr>
          <w:rFonts w:ascii="Ebrima" w:hAnsi="Ebrima" w:eastAsia="Ebrima" w:cs="Ebrima"/>
        </w:rPr>
        <w:t>ዋጋ</w:t>
      </w:r>
      <w:r>
        <w:rPr>
          <w:rFonts w:ascii="Times New Roman" w:hAnsi="Times New Roman" w:eastAsia="Times New Roman" w:cs="Times New Roman"/>
        </w:rPr>
        <w:t xml:space="preserve"> </w:t>
      </w:r>
      <w:r>
        <w:rPr>
          <w:rFonts w:ascii="Ebrima" w:hAnsi="Ebrima" w:eastAsia="Ebrima" w:cs="Ebrima"/>
        </w:rPr>
        <w:t>እንደሚገዛ</w:t>
      </w:r>
      <w:r>
        <w:rPr>
          <w:rFonts w:ascii="Times New Roman" w:hAnsi="Times New Roman" w:eastAsia="Times New Roman" w:cs="Times New Roman"/>
        </w:rPr>
        <w:t xml:space="preserve"> </w:t>
      </w:r>
      <w:r>
        <w:rPr>
          <w:rFonts w:ascii="Ebrima" w:hAnsi="Ebrima" w:eastAsia="Ebrima" w:cs="Ebrima"/>
        </w:rPr>
        <w:t>ተሰምቷቸው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አንድነት</w:t>
      </w:r>
      <w:r>
        <w:rPr>
          <w:rFonts w:ascii="Times New Roman" w:hAnsi="Times New Roman" w:eastAsia="Times New Roman" w:cs="Times New Roman"/>
        </w:rPr>
        <w:t xml:space="preserve"> </w:t>
      </w:r>
      <w:r>
        <w:rPr>
          <w:rFonts w:ascii="Ebrima" w:hAnsi="Ebrima" w:eastAsia="Ebrima" w:cs="Ebrima"/>
        </w:rPr>
        <w:t>ሊገኝ</w:t>
      </w:r>
      <w:r>
        <w:rPr>
          <w:rFonts w:ascii="Times New Roman" w:hAnsi="Times New Roman" w:eastAsia="Times New Roman" w:cs="Times New Roman"/>
        </w:rPr>
        <w:t xml:space="preserve"> </w:t>
      </w:r>
      <w:r>
        <w:rPr>
          <w:rFonts w:ascii="Ebrima" w:hAnsi="Ebrima" w:eastAsia="Ebrima" w:cs="Ebrima"/>
        </w:rPr>
        <w:t>የሚችለው</w:t>
      </w:r>
      <w:r>
        <w:rPr>
          <w:rFonts w:ascii="Times New Roman" w:hAnsi="Times New Roman" w:eastAsia="Times New Roman" w:cs="Times New Roman"/>
        </w:rPr>
        <w:t xml:space="preserve"> </w:t>
      </w:r>
      <w:r>
        <w:rPr>
          <w:rFonts w:ascii="Ebrima" w:hAnsi="Ebrima" w:eastAsia="Ebrima" w:cs="Ebrima"/>
        </w:rPr>
        <w:t>እውነትንና</w:t>
      </w:r>
      <w:r>
        <w:rPr>
          <w:rFonts w:ascii="Times New Roman" w:hAnsi="Times New Roman" w:eastAsia="Times New Roman" w:cs="Times New Roman"/>
        </w:rPr>
        <w:t xml:space="preserve"> </w:t>
      </w:r>
      <w:r>
        <w:rPr>
          <w:rFonts w:ascii="Ebrima" w:hAnsi="Ebrima" w:eastAsia="Ebrima" w:cs="Ebrima"/>
        </w:rPr>
        <w:t>ጽድቅን</w:t>
      </w:r>
      <w:r>
        <w:rPr>
          <w:rFonts w:ascii="Times New Roman" w:hAnsi="Times New Roman" w:eastAsia="Times New Roman" w:cs="Times New Roman"/>
        </w:rPr>
        <w:t xml:space="preserve"> </w:t>
      </w:r>
      <w:r>
        <w:rPr>
          <w:rFonts w:ascii="Ebrima" w:hAnsi="Ebrima" w:eastAsia="Ebrima" w:cs="Ebrima"/>
        </w:rPr>
        <w:t>በመደራደር</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ከሆነ፣</w:t>
      </w:r>
      <w:r>
        <w:rPr>
          <w:rFonts w:ascii="Times New Roman" w:hAnsi="Times New Roman" w:eastAsia="Times New Roman" w:cs="Times New Roman"/>
        </w:rPr>
        <w:t xml:space="preserve"> </w:t>
      </w:r>
      <w:r>
        <w:rPr>
          <w:rFonts w:ascii="Ebrima" w:hAnsi="Ebrima" w:eastAsia="Ebrima" w:cs="Ebrima"/>
        </w:rPr>
        <w:t>እንግዲያስ</w:t>
      </w:r>
      <w:r>
        <w:rPr>
          <w:rFonts w:ascii="Times New Roman" w:hAnsi="Times New Roman" w:eastAsia="Times New Roman" w:cs="Times New Roman"/>
        </w:rPr>
        <w:t xml:space="preserve"> </w:t>
      </w:r>
      <w:r>
        <w:rPr>
          <w:rFonts w:ascii="Ebrima" w:hAnsi="Ebrima" w:eastAsia="Ebrima" w:cs="Ebrima"/>
        </w:rPr>
        <w:t>ልዩነት</w:t>
      </w:r>
      <w:r>
        <w:rPr>
          <w:rFonts w:ascii="Times New Roman" w:hAnsi="Times New Roman" w:eastAsia="Times New Roman" w:cs="Times New Roman"/>
        </w:rPr>
        <w:t xml:space="preserve"> </w:t>
      </w:r>
      <w:r>
        <w:rPr>
          <w:rFonts w:ascii="Ebrima" w:hAnsi="Ebrima" w:eastAsia="Ebrima" w:cs="Ebrima"/>
        </w:rPr>
        <w:t>ይሁን፣</w:t>
      </w:r>
      <w:r>
        <w:rPr>
          <w:rFonts w:ascii="Times New Roman" w:hAnsi="Times New Roman" w:eastAsia="Times New Roman" w:cs="Times New Roman"/>
        </w:rPr>
        <w:t xml:space="preserve"> </w:t>
      </w:r>
      <w:r>
        <w:rPr>
          <w:rFonts w:ascii="Ebrima" w:hAnsi="Ebrima" w:eastAsia="Ebrima" w:cs="Ebrima"/>
        </w:rPr>
        <w:t>ጦርነትም</w:t>
      </w:r>
      <w:r>
        <w:rPr>
          <w:rFonts w:ascii="Times New Roman" w:hAnsi="Times New Roman" w:eastAsia="Times New Roman" w:cs="Times New Roman"/>
        </w:rPr>
        <w:t xml:space="preserve"> </w:t>
      </w:r>
      <w:r>
        <w:rPr>
          <w:rFonts w:ascii="Ebrima" w:hAnsi="Ebrima" w:eastAsia="Ebrima" w:cs="Ebrima"/>
        </w:rPr>
        <w:t>እንኳ</w:t>
      </w:r>
      <w:r>
        <w:rPr>
          <w:rFonts w:ascii="Times New Roman" w:hAnsi="Times New Roman" w:eastAsia="Times New Roman" w:cs="Times New Roman"/>
        </w:rPr>
        <w:t xml:space="preserve"> </w:t>
      </w:r>
      <w:r>
        <w:rPr>
          <w:rFonts w:ascii="Ebrima" w:hAnsi="Ebrima" w:eastAsia="Ebrima" w:cs="Ebrima"/>
        </w:rPr>
        <w:t>ይሁን።</w:t>
      </w:r>
      <w:r>
        <w:rPr>
          <w:rFonts w:ascii="Times New Roman" w:hAnsi="Times New Roman" w:eastAsia="Times New Roman" w:cs="Times New Roman"/>
        </w:rPr>
        <w:t>” The Great Controversy, 45, 46.</w:t>
      </w:r>
    </w:p>
    <w:p>
      <w:pPr>
        <w:pStyle w:val="ArticleBody"/>
        <w:jc w:val="left"/>
      </w:pPr>
      <w:r>
        <w:rPr>
          <w:rFonts w:ascii="Times New Roman" w:hAnsi="Times New Roman" w:eastAsia="Times New Roman" w:cs="Times New Roman"/>
        </w:rPr>
        <w:t>La relation prophétique entre les États-Unis et la papauté dans les derniers jours a été préfigurée et soulignée par l’identification que Paul fait de la relation entre la Rome païenne et la Rome papale jusqu’à l’an 538 apr. J.-C. Dans la triple application de Rome, la Rome païenne accomplit les paroles de Jésus identifiant l’abomination de la désolation comme un signe annonçant la fuite, et la Rome papale accomplit également les paroles de Jésus. Sœur White identifie un autre accomplissement des paroles du Christ.</w:t>
      </w:r>
    </w:p>
    <w:p>
      <w:pPr>
        <w:pStyle w:val="ArticleScripture"/>
        <w:jc w:val="left"/>
      </w:pPr>
      <w:r>
        <w:rPr>
          <w:rFonts w:ascii="Times New Roman" w:hAnsi="Times New Roman" w:eastAsia="Times New Roman" w:cs="Times New Roman"/>
        </w:rPr>
        <w:t>“اکنون برای قوم خدا زمانی نیست که دل‌بستگی‌های خود را بر جهان استوار سازند یا گنج خود را در دنیا بیندوزند. زمان چندان دور نیست که ما نیز، همچون شاگردان نخستین، ناچار خواهیم شد در مکان‌های ویران و خلوت پناهی بجوییم. همان‌گونه که محاصرهٔ اورشلیم به‌وسیلهٔ سپاهیان روم علامت فرار برای مسیحیان یهودیه بود، همچنین به‌دست گرفتن قدرت از سوی ملت ما در فرمانی که سَبَّت پاپی را الزام‌آور می‌سازد، برای ما هشداری خواهد بود. آنگاه هنگام آن خواهد بود که شهرهای بزرگ را ترک کنیم، تا برای ترک شهرهای کوچک‌تر نیز آماده شویم و به خانه‌های دورافتاده در مکان‌های خلوت در میان کوه‌ها روی آوریم.” Testimonies, volume 5, 464.</w:t>
      </w:r>
    </w:p>
    <w:p>
      <w:pPr>
        <w:pStyle w:val="ArticleBody"/>
        <w:jc w:val="left"/>
      </w:pPr>
      <w:r>
        <w:rPr>
          <w:rFonts w:ascii="Times New Roman" w:hAnsi="Times New Roman" w:eastAsia="Times New Roman" w:cs="Times New Roman"/>
        </w:rPr>
        <w:t>Ɗum e Kirista’en saŋ *moƴƴre Almasiihu* ndee, ndee cappannde hollii ko waɗi no ngol ɓattude Yerusalem. E *ɓarnɗe* jeeɗi e jeegom, cappannde ndee woni e Kirista’en ndee waɗi ɓe ndogga e ladde.</w:t>
      </w:r>
    </w:p>
    <w:p>
      <w:pPr>
        <w:pStyle w:val="ArticleScripture"/>
        <w:jc w:val="left"/>
      </w:pPr>
      <w:r>
        <w:rPr>
          <w:rFonts w:ascii="Times New Roman" w:hAnsi="Times New Roman" w:eastAsia="Times New Roman" w:cs="Times New Roman"/>
        </w:rPr>
        <w:t>Et la femme s’enfuit au désert, où elle a un lieu préparé par Dieu, afin qu’on l’y nourrît pendant mille deux cent soixante jours.... Et les deux ailes du grand aigle furent données à la femme, afin qu’elle s’envolât au désert, dans son lieu, où elle est nourrie un temps, des temps, et la moitié d’un temps, loin de la face du serpent. Et le serpent lança de sa bouche, après la femme, de l’eau comme un fleuve, afin de l’entraîner par le fleuve. Et la terre secourut la femme, et la terre ouvrit sa bouche, et engloutit le fleuve que le dragon avait lancé de sa bouche. Et le dragon fut irrité contre la femme, et il s’en alla faire la guerre au reste de sa postérité, à ceux qui gardent les commandements de Dieu et qui ont le témoignage de Jésus-Christ. Apocalypse 12:6, 15–17.</w:t>
      </w:r>
    </w:p>
    <w:p>
      <w:pPr>
        <w:pStyle w:val="ArticleBody"/>
        <w:jc w:val="left"/>
      </w:pPr>
      <w:r>
        <w:rPr>
          <w:rFonts w:ascii="Malgun Gothic" w:hAnsi="Malgun Gothic" w:eastAsia="Malgun Gothic" w:cs="Malgun Gothic"/>
        </w:rPr>
        <w:t>예수께서는</w:t>
      </w:r>
      <w:r>
        <w:rPr>
          <w:rFonts w:ascii="Times New Roman" w:hAnsi="Times New Roman" w:eastAsia="Times New Roman" w:cs="Times New Roman"/>
        </w:rPr>
        <w:t xml:space="preserve"> </w:t>
      </w:r>
      <w:r>
        <w:rPr>
          <w:rFonts w:ascii="Malgun Gothic" w:hAnsi="Malgun Gothic" w:eastAsia="Malgun Gothic" w:cs="Malgun Gothic"/>
        </w:rPr>
        <w:t>언제나</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것의</w:t>
      </w:r>
      <w:r>
        <w:rPr>
          <w:rFonts w:ascii="Times New Roman" w:hAnsi="Times New Roman" w:eastAsia="Times New Roman" w:cs="Times New Roman"/>
        </w:rPr>
        <w:t xml:space="preserve"> </w:t>
      </w:r>
      <w:r>
        <w:rPr>
          <w:rFonts w:ascii="Malgun Gothic" w:hAnsi="Malgun Gothic" w:eastAsia="Malgun Gothic" w:cs="Malgun Gothic"/>
        </w:rPr>
        <w:t>끝을</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시작으로써</w:t>
      </w:r>
      <w:r>
        <w:rPr>
          <w:rFonts w:ascii="Times New Roman" w:hAnsi="Times New Roman" w:eastAsia="Times New Roman" w:cs="Times New Roman"/>
        </w:rPr>
        <w:t xml:space="preserve"> </w:t>
      </w:r>
      <w:r>
        <w:rPr>
          <w:rFonts w:ascii="Malgun Gothic" w:hAnsi="Malgun Gothic" w:eastAsia="Malgun Gothic" w:cs="Malgun Gothic"/>
        </w:rPr>
        <w:t>예시하신다</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그분께서</w:t>
      </w:r>
      <w:r>
        <w:rPr>
          <w:rFonts w:ascii="Times New Roman" w:hAnsi="Times New Roman" w:eastAsia="Times New Roman" w:cs="Times New Roman"/>
        </w:rPr>
        <w:t xml:space="preserve"> </w:t>
      </w:r>
      <w:r>
        <w:rPr>
          <w:rFonts w:ascii="Malgun Gothic" w:hAnsi="Malgun Gothic" w:eastAsia="Malgun Gothic" w:cs="Malgun Gothic"/>
        </w:rPr>
        <w:t>알파와</w:t>
      </w:r>
      <w:r>
        <w:rPr>
          <w:rFonts w:ascii="Times New Roman" w:hAnsi="Times New Roman" w:eastAsia="Times New Roman" w:cs="Times New Roman"/>
        </w:rPr>
        <w:t xml:space="preserve"> </w:t>
      </w:r>
      <w:r>
        <w:rPr>
          <w:rFonts w:ascii="Malgun Gothic" w:hAnsi="Malgun Gothic" w:eastAsia="Malgun Gothic" w:cs="Malgun Gothic"/>
        </w:rPr>
        <w:t>오메가이시기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교황권</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역사에서</w:t>
      </w:r>
      <w:r>
        <w:rPr>
          <w:rFonts w:ascii="Times New Roman" w:hAnsi="Times New Roman" w:eastAsia="Times New Roman" w:cs="Times New Roman"/>
        </w:rPr>
        <w:t xml:space="preserve"> </w:t>
      </w:r>
      <w:r>
        <w:rPr>
          <w:rFonts w:ascii="Malgun Gothic" w:hAnsi="Malgun Gothic" w:eastAsia="Malgun Gothic" w:cs="Malgun Gothic"/>
        </w:rPr>
        <w:t>황폐하게</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가증한</w:t>
      </w:r>
      <w:r>
        <w:rPr>
          <w:rFonts w:ascii="Times New Roman" w:hAnsi="Times New Roman" w:eastAsia="Times New Roman" w:cs="Times New Roman"/>
        </w:rPr>
        <w:t xml:space="preserve"> </w:t>
      </w:r>
      <w:r>
        <w:rPr>
          <w:rFonts w:ascii="Malgun Gothic" w:hAnsi="Malgun Gothic" w:eastAsia="Malgun Gothic" w:cs="Malgun Gothic"/>
        </w:rPr>
        <w:t>것에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경고는</w:t>
      </w:r>
      <w:r>
        <w:rPr>
          <w:rFonts w:ascii="Times New Roman" w:hAnsi="Times New Roman" w:eastAsia="Times New Roman" w:cs="Times New Roman"/>
        </w:rPr>
        <w:t xml:space="preserve">, </w:t>
      </w:r>
      <w:r>
        <w:rPr>
          <w:rFonts w:ascii="Malgun Gothic" w:hAnsi="Malgun Gothic" w:eastAsia="Malgun Gothic" w:cs="Malgun Gothic"/>
        </w:rPr>
        <w:t>교황권의</w:t>
      </w:r>
      <w:r>
        <w:rPr>
          <w:rFonts w:ascii="Times New Roman" w:hAnsi="Times New Roman" w:eastAsia="Times New Roman" w:cs="Times New Roman"/>
        </w:rPr>
        <w:t xml:space="preserve"> </w:t>
      </w:r>
      <w:r>
        <w:rPr>
          <w:rFonts w:ascii="Malgun Gothic" w:hAnsi="Malgun Gothic" w:eastAsia="Malgun Gothic" w:cs="Malgun Gothic"/>
        </w:rPr>
        <w:t>세력이</w:t>
      </w:r>
      <w:r>
        <w:rPr>
          <w:rFonts w:ascii="Times New Roman" w:hAnsi="Times New Roman" w:eastAsia="Times New Roman" w:cs="Times New Roman"/>
        </w:rPr>
        <w:t xml:space="preserve"> </w:t>
      </w:r>
      <w:r>
        <w:rPr>
          <w:rFonts w:ascii="Malgun Gothic" w:hAnsi="Malgun Gothic" w:eastAsia="Malgun Gothic" w:cs="Malgun Gothic"/>
        </w:rPr>
        <w:t>거룩한</w:t>
      </w:r>
      <w:r>
        <w:rPr>
          <w:rFonts w:ascii="Times New Roman" w:hAnsi="Times New Roman" w:eastAsia="Times New Roman" w:cs="Times New Roman"/>
        </w:rPr>
        <w:t xml:space="preserve"> </w:t>
      </w:r>
      <w:r>
        <w:rPr>
          <w:rFonts w:ascii="Malgun Gothic" w:hAnsi="Malgun Gothic" w:eastAsia="Malgun Gothic" w:cs="Malgun Gothic"/>
        </w:rPr>
        <w:t>곳에</w:t>
      </w:r>
      <w:r>
        <w:rPr>
          <w:rFonts w:ascii="Times New Roman" w:hAnsi="Times New Roman" w:eastAsia="Times New Roman" w:cs="Times New Roman"/>
        </w:rPr>
        <w:t xml:space="preserve"> </w:t>
      </w:r>
      <w:r>
        <w:rPr>
          <w:rFonts w:ascii="Malgun Gothic" w:hAnsi="Malgun Gothic" w:eastAsia="Malgun Gothic" w:cs="Malgun Gothic"/>
        </w:rPr>
        <w:t>서</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인식되었을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인식되었다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Quãng cáo này được ghi lại bởi Ma-thi-ơ, Mác và Lu-ca, và mỗi chỗ dẫn đều có một chút khác biệt trong lời văn. Ma-thi-ơ chép rằng: “Vậy khi các ngươi thấy sự gớm ghiếc tàn phá mà đấng tiên tri Đa-ni-ên đã nói đến, đứng trong nơi thánh,” còn Mác chép rằng: “khi các ngươi thấy sự gớm ghiếc tàn phá mà đấng tiên tri Đa-ni-ên đã nói đến, đứng nơi nó không nên đứng.” Lu-ca chép rằng: “khi các ngươi thấy Giê-ru-sa-lem bị quân lính vây quanh, thì hãy biết rằng sự tàn phá nó đã gần. Bấy giờ, ai ở miền Giu-đê hãy trốn lên núi.”</w:t>
      </w:r>
    </w:p>
    <w:p>
      <w:pPr>
        <w:pStyle w:val="ArticleBody"/>
        <w:jc w:val="left"/>
      </w:pPr>
      <w:r>
        <w:rPr>
          <w:rFonts w:ascii="Times New Roman" w:hAnsi="Times New Roman" w:eastAsia="Times New Roman" w:cs="Times New Roman"/>
        </w:rPr>
        <w:t>Les trois témoignages s’appliquent ensemble. Dans une application plus précise, la mention, par Luc, de Jérusalem environnée d’armées identifie l’avertissement selon lequel, lorsque la Rome païenne commença son siège contre Jérusalem en l’an 66 apr. J.-C., les chrétiens qui se trouvaient encore à Jérusalem devaient s’enfuir immédiatement. La mention, par Matthieu, du « lieu saint » correspond à l’identification, par Paul, de « l’homme de péché » qui « s’assied dans le temple de Dieu, se proclamant lui-même Dieu », représentant ainsi l’accomplissement papal de « l’abomination de la désolation ». Marc identifie l’abomination de la désolation se tenant là où elle ne doit pas être, et cela correspond à l’avertissement de fuir donné à l’adventisme dans les derniers jours. Deux des avertissements sont associés à l’ordre que quiconque lit l’avertissement doit comprendre, et tous portent sur un signe qui devait informer les chrétiens de l’époque qu’ils devaient fuir.</w:t>
      </w:r>
    </w:p>
    <w:p>
      <w:pPr>
        <w:pStyle w:val="ArticleBody"/>
        <w:jc w:val="left"/>
      </w:pPr>
      <w:r>
        <w:rPr>
          <w:rFonts w:ascii="Times New Roman" w:hAnsi="Times New Roman" w:eastAsia="Times New Roman" w:cs="Times New Roman"/>
        </w:rPr>
        <w:t>L’application erronée d’une triple application, faussement présentée par ceux qui prétendent que les « voleurs de ton peuple » sont les États-Unis, établit que, lorsque « l’abomination de la désolation » s’accomplit dans la loi dominicale aux États-Unis, la loi dominicale alors imposée identifie les États-Unis comme la Rome moderne, puisque la Rome païenne et la Rome papale ont toutes deux, auparavant, imposé une loi dominicale.</w:t>
      </w:r>
    </w:p>
    <w:p>
      <w:pPr>
        <w:pStyle w:val="ArticleBody"/>
        <w:jc w:val="left"/>
      </w:pPr>
      <w:r>
        <w:rPr>
          <w:rFonts w:ascii="Times New Roman" w:hAnsi="Times New Roman" w:eastAsia="Times New Roman" w:cs="Times New Roman"/>
        </w:rPr>
        <w:t>a sa pilin hini a may depekto ket ti linteg ti Domingo ti pagano a Roma ket napasamak idi tawen 321 AD, ngem ti pannakatungpal ti pagano a Roma iti “banag a makarimon a mangidadael” ket natungpal idi tawen 66 AD, 255 a tawen sakbay ti linteg ti Domingo idi 321 AD. Kasta met, ti pannakikompromiso a nangpataud iti “tao ti basol” ket mapaspasamakon idi panawen ni Pablo, nga isu a kinunana, “ta ti palimed ti kinadakes agtartrabaho metten,” ngem ti papal a linteg ti Domingo ket immay kalpasan ti nasurok uppat a siglo. Dagiti dua nga umuna a saksi iti maysa a maikattlo a panangipakat ti padto ket ipasdekda dagiti kababalin ti maikatlo a pannakatungpal kadagiti maudi nga aldaw. Ti “banag a makarimon a mangidadael” kadagiti maudi nga aldaw, babaen kadagiti dua a pasamak iti pakasaritaan, ken tallo a naibatay a pakarekordaan dagiti sasao ni Cristo, ket itakderna ti maysa a ballaag a tumawid, saan a ti panangipatungpal iti maysa a linteg ti Domingo.</w:t>
      </w:r>
    </w:p>
    <w:p>
      <w:pPr>
        <w:pStyle w:val="ArticleBody"/>
        <w:jc w:val="left"/>
      </w:pPr>
      <w:r>
        <w:rPr>
          <w:rFonts w:ascii="Times New Roman" w:hAnsi="Times New Roman" w:eastAsia="Times New Roman" w:cs="Times New Roman"/>
        </w:rPr>
        <w:t>Au prochain article, nous exposerons en détail pourquoi cette application est erronée dans le cadre des règles établies relatives à une triple application de la prophétie, et pourquoi l’identification de la loi du dimanche dans le contexte de l’avertissement donné par le Christ constitue une déformation de l’histoire prophétique.</w:t>
      </w:r>
    </w:p>
    <w:p>
      <w:pPr>
        <w:pStyle w:val="ArticleScripture"/>
        <w:jc w:val="left"/>
      </w:pPr>
      <w:r>
        <w:rPr>
          <w:rFonts w:ascii="Times New Roman" w:hAnsi="Times New Roman" w:eastAsia="Times New Roman" w:cs="Times New Roman"/>
        </w:rPr>
        <w:t>«پаганизм ва масеҳият ўртасидаги бу муросасозлик башоратда Худога қарши турадиган ва ўзини Ундан юқори кўтарадиган қилиб олдиндан айтилган “гуноҳ одами”нинг шаклланишига олиб келди. Ёлғон диннинг ўша улкан тизими — Шайтон қудратининг дурдона асари, ер юзини ўз иродасига кўра бошқариш учун ўзини тахтга ўтқазишга қаратилган саъй-ҳаракатларининг ёдгорлигидир». The Great Controversy,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로마는 그 환상을 확립한다 - 열한 번째 수</dc:title>
  <dc:subject>Comprendre la triple application de la prophétie : le 11 septembre 2001, et le processus final de mise à l’épreuve de l’adventisme laodicéen</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