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दर्शन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स्थापना</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बारह</w:t>
      </w:r>
    </w:p>
    <w:p>
      <w:pPr>
        <w:pStyle w:val="ArticleSubtitle"/>
        <w:jc w:val="left"/>
      </w:pPr>
      <w:r>
        <w:rPr>
          <w:rFonts w:ascii="Arial" w:hAnsi="Arial" w:eastAsia="Arial" w:cs="Arial"/>
        </w:rPr>
        <w:t>L’application triple de la prophétie : l’abomination de la désolation et l’avertissement des derniers jours de fuir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Pri ni nemio de dezolado, pri kiu parolis Daniel la profeto, estas signo por kristanoj en tri malsamaj epokoj fuĝi. La kristanoj en Jerusalem fuĝis, kiam ili vidis la standardojn de la romiaj armeoj ĉirkaŭantan Jerusalemon en la jaro 66 p.K. La kristanoj de la malfrua kvina kaj frua sesa jarcentoj fuĝis en la dezerton, kiam ili vidis la homon de peko en la templo de Dio proklamanta, ke li estas Dio. En 1888 oni prezentis serion da dimanĉaj leĝoj en la Kongreso de Usono fare de senatano Blair. Tiuj leĝprojektoj estis nomataj la Blair-leĝprojektoj, kaj ili estis provo identigi dimanĉon kiel Nacian Tagon de Diservo. Dimanĉa diservo estas la marko de la besto, la marko de papa aŭtoritato, kaj la Konstitucio de Usono rekte kontraŭas la devigon de nacia religio kiel provo por la civitanoj de Usono.</w:t>
      </w:r>
    </w:p>
    <w:p>
      <w:pPr>
        <w:pStyle w:val="ArticleBody"/>
        <w:jc w:val="left"/>
      </w:pPr>
      <w:r>
        <w:rPr>
          <w:rFonts w:ascii="Times New Roman" w:hAnsi="Times New Roman" w:eastAsia="Times New Roman" w:cs="Times New Roman"/>
        </w:rPr>
        <w:t>Ni ukweli huu ambao umeachwa nje katika matumizi yenye dosari yanayohusiana na kuitambulisha Marekani kama Rumi ya kisasa. Matumizi ya unabii yenye sehemu tatu yana kanuni maalumu zinazoongoza matumizi yake. Kanuni hizo zinaonyesha kwamba sifa za kinabii za utimilifu wa kwanza zinapaswa kuunganishwa na sifa za kinabii za utimilifu wa pili ili kuthibitisha sifa za kinabii za utimilifu wa tatu.</w:t>
      </w:r>
    </w:p>
    <w:p>
      <w:pPr>
        <w:pStyle w:val="ArticleBody"/>
        <w:jc w:val="left"/>
      </w:pPr>
      <w:r>
        <w:rPr>
          <w:rFonts w:ascii="Times New Roman" w:hAnsi="Times New Roman" w:eastAsia="Times New Roman" w:cs="Times New Roman"/>
        </w:rPr>
        <w:t>Napatalsik ti ballaag a tumakas, ket maysa a ballaag a tumakas manipud iti umay a pannakaparparigat. Iti panawen ni Cristo, ti pannakaparparigat ket isu idiay pannakadadael ti Jerusalem ken ti templo idi tawen 70. Ti pagilasinan a ballaag dayta umadanin a pannakaparparigat ket naited idi tawen 66 A.D. Ti ballaag a tumakas idi maudi a maikalima ken immuna a maikanem a siglo ket nailasin babaen ken Pablo kas pannakaammo iti panagbasol a panaglikud ti naimpadtoan a Pergamo, a mangitakder iti pagano a Roma. Masapul nga adda pay umuna a panaglikud, tapno maiparangarang ti tao ti basol a mangipakdaar iti bukodna a kas Dios. Iti pakasaritaan nga umadanin iti 538, ti pagano a Roma nga isu ti nanglapped, wenno kas kinuna ni Pablo, “mangitengtengngel,” ket naikkat; ket idi naglikud ni Pergamo, ket dimteng ti pagilasinan a tumakas ken inturongna dagiti matalek a sumina manipud iti pannakikadua ti pannakikummunyon dagiti iglesias papales. Kalpasanna, idi 538, idiay Konseho ti Orleans, ti pannakabalin papal ket nangipasa iti linteg ti Domingo, ket nangrugi dagiti sangaribo dua gasut ken innem a pulo a tawen ti pannakaparparigat papal.</w:t>
      </w:r>
    </w:p>
    <w:p>
      <w:pPr>
        <w:pStyle w:val="ArticleBody"/>
        <w:jc w:val="left"/>
      </w:pPr>
      <w:r>
        <w:rPr>
          <w:rFonts w:ascii="Times New Roman" w:hAnsi="Times New Roman" w:eastAsia="Times New Roman" w:cs="Times New Roman"/>
        </w:rPr>
        <w:t>Les deux premiers témoins indiquent clairement que le troisième accomplissement de l’avertissement de fuir donné par le Christ a précédé la persécution proprement dite. La destruction de Jérusalem survint exactement trois ans et demi après le début du siège de Cestius, en l’an 66 apr. J.-C., permettant ainsi aux chrétiens de fuir avant les horreurs du second siège, provoqué par Titus et achevé par la destruction du temple et de la ville. Avant l’an 538, les chrétiens se séparèrent de l’Église de la Rome papale et, prophétiquement, s’enfuirent au désert, lequel représente la destruction de la Jérusalem spirituelle.</w:t>
      </w:r>
    </w:p>
    <w:p>
      <w:pPr>
        <w:pStyle w:val="ArticleScripture"/>
        <w:jc w:val="left"/>
      </w:pPr>
      <w:r>
        <w:rPr>
          <w:rFonts w:ascii="Times New Roman" w:hAnsi="Times New Roman" w:eastAsia="Times New Roman" w:cs="Times New Roman"/>
        </w:rPr>
        <w:t>Но външния двор на храма остави вън и не го измервай, защото е даден на езичниците; и те ще тъпчат светия град четиридесет и два месеца. И ще дам власт на Моите двама свидетели, и те ще пророкуват хиляда двеста и шестдесет дни, облечени във вретище. Откровение 11:2, 3.</w:t>
      </w:r>
    </w:p>
    <w:p>
      <w:pPr>
        <w:pStyle w:val="ArticleBody"/>
        <w:jc w:val="left"/>
      </w:pPr>
      <w:r>
        <w:rPr>
          <w:rFonts w:ascii="Times New Roman" w:hAnsi="Times New Roman" w:eastAsia="Times New Roman" w:cs="Times New Roman"/>
        </w:rPr>
        <w:t>Dans les deux illustrations de l’avertissement de fuir, l’avertissement précède la persécution, et la persécution est représentée par Rome, qu’elle soit païenne ou papale, foulant aux pieds Jérusalem, qu’elle soit littérale ou spirituelle. L’avertissement de fuir, pour les Adventistes du Septième Jour, fut le projet de loi Blair en 1888. Lors du premier accomplissement dans l’histoire de la Rome païenne, les chrétiens devaient fuir Jérusalem, et, lors de l’accomplissement par la Rome papale, les chrétiens s’enfuirent dans le désert. Pour l’adventisme, l’avertissement était de fuir à la campagne.</w:t>
      </w:r>
    </w:p>
    <w:p>
      <w:pPr>
        <w:pStyle w:val="ArticleScripture"/>
        <w:jc w:val="left"/>
      </w:pPr>
      <w:r>
        <w:rPr>
          <w:rFonts w:ascii="Times New Roman" w:hAnsi="Times New Roman" w:eastAsia="Times New Roman" w:cs="Times New Roman"/>
        </w:rPr>
        <w:t>«لیکن اَب خدا کے لوگوں کے لیے یہ وقت نہیں کہ وہ اپنی محبتیں دنیا میں جما دیں یا اپنا خزانہ وہیں جمع کریں۔ وہ وقت زیادہ دُور نہیں جب، ابتدائی شاگردوں کی مانند، ہمیں ویران اور تنہا مقامات میں پناہ ڈھونڈنے پر مجبور ہونا پڑے گا۔ جس طرح رومی افواج کے ہاتھوں یروشلیم کا محاصرہ یہودیہ کے مسیحیوں کے لیے فرار کا نشان تھا، اُسی طرح ہمارے ملک کی جانب سے پاپائی سبت کو نافذ کرنے والے فرمان میں اقتدار سنبھال لینا ہمارے لیے تنبیہ ہوگا۔ اُس وقت بڑے شہروں کو چھوڑ دینے کا وقت ہوگا، تاکہ بعدازاں چھوٹے شہروں کو بھی ترک کر کے پہاڑوں کے درمیان الگ تھلگ مقامات میں واقع گوشہ نشین گھروں کی طرف چلے جائیں۔» Testimonies, volume 5, 464.</w:t>
      </w:r>
    </w:p>
    <w:p>
      <w:pPr>
        <w:pStyle w:val="ArticleBody"/>
        <w:jc w:val="left"/>
      </w:pPr>
      <w:r>
        <w:rPr>
          <w:rFonts w:ascii="Times New Roman" w:hAnsi="Times New Roman" w:eastAsia="Times New Roman" w:cs="Times New Roman"/>
        </w:rPr>
        <w:t>“اسان جي قوم جي طرفان پاپائي سبت کي نافذ ڪندڙ فرمان ۾ اقتدار سنڀالڻ اسان لاءِ هڪ خبرداري هوندي،” تڏهن پورو ٿيو جڏهن ويرانگيءَ جي مڪروه شيءِ، مرقس جي لفظن مطابق، “اتي بيٺي هئي جتي ان کي بيهڻ نه گهرجي.” 1888ع ۾ آمريڪا جي گڏيل رياستن جي ڪانگريس هڪ اهڙو قانون غور هيٺ آندو هو، جيڪو آئين جي هڪ بنيادي عنصر جي سڌي ابتڙ هو، ۽ انهيءَ موقعي تي ستون-ڏينهن ايڊوينٽسٽن کي شهرن کي ڇڏي ٻهراڙيءَ ڏانهن منتقل ٿي وڃڻ گهرجي ها.</w:t>
      </w:r>
    </w:p>
    <w:p>
      <w:pPr>
        <w:pStyle w:val="ArticleScripture"/>
        <w:jc w:val="left"/>
      </w:pPr>
      <w:r>
        <w:rPr>
          <w:rFonts w:ascii="Times New Roman" w:hAnsi="Times New Roman" w:eastAsia="Times New Roman" w:cs="Times New Roman"/>
        </w:rPr>
        <w:t>“Aucun chrétien ne périt lors de la destruction de Jérusalem. Le Christ avait averti Ses disciples, et tous ceux qui crurent à Ses paroles veillèrent au signe promis.... Sans délai, ils s’enfuirent vers un lieu de sûreté — la ville de Pella, dans le pays de la Pérée, au-delà du Jourdain.” The Great Controversy, 30.</w:t>
      </w:r>
    </w:p>
    <w:p>
      <w:pPr>
        <w:pStyle w:val="ArticleBody"/>
        <w:jc w:val="left"/>
      </w:pPr>
      <w:r>
        <w:rPr>
          <w:rFonts w:ascii="Times New Roman" w:hAnsi="Times New Roman" w:eastAsia="Times New Roman" w:cs="Times New Roman"/>
        </w:rPr>
        <w:t>Les caractéristiques prophétiques du premier des signes d’avertissement appelant à fuir représentent le troisième et dernier accomplissement. Il arrive que ces caractéristiques prophétiques produisent un double accomplissement dans ce troisième accomplissement. Un exemple en est les trois Élie. La lignée d’Élie dans sa confrontation avec Jézabel, Achab et les prophètes de Baal, jointe aux caractéristiques de Jean-Baptiste, le second Élie, dans sa confrontation avec Hérodiade, Hérode et Salomé, établit que, dans les derniers jours — car le troisième et dernier accomplissement d’une triple application se situe toujours dans les derniers jours —, Élie et Jean représentent deux catégories du peuple de Dieu. Une catégorie, représentée par Élie, ne meurt pas, et l’autre catégorie, représentée par Jean, meurt. Ces deux catégories sont aussi représentées dans Apocalypse chapitre sept comme les cent quarante-quatre mille, qui ne meurent pas, et la grande foule, qui meurt.</w:t>
      </w:r>
    </w:p>
    <w:p>
      <w:pPr>
        <w:pStyle w:val="ArticleBody"/>
        <w:jc w:val="left"/>
      </w:pPr>
      <w:r>
        <w:rPr>
          <w:rFonts w:ascii="Times New Roman" w:hAnsi="Times New Roman" w:eastAsia="Times New Roman" w:cs="Times New Roman"/>
        </w:rPr>
        <w:t>Miongoni mwa Babeli tatu, kipengele kinachofanana cha ujumbe wa kinabii ni kwamba Babeli ya kwanza inawakilishwa na Nimrodi, lakini Babeli ya pili inawakilishwa na wafalme wa kwanza na wa mwisho, Nebukadneza na Belshaza. Nebukadneza anawakilisha wale waliomo Babeli watakaookolewa, na Belshaza, wale waliomo Babeli watakaopotea.</w:t>
      </w:r>
    </w:p>
    <w:p>
      <w:pPr>
        <w:pStyle w:val="ArticleBody"/>
        <w:jc w:val="left"/>
      </w:pPr>
      <w:r>
        <w:rPr>
          <w:rFonts w:ascii="Times New Roman" w:hAnsi="Times New Roman" w:eastAsia="Times New Roman" w:cs="Times New Roman"/>
        </w:rPr>
        <w:t>Në ditët e fundit ka dy ligje të së dielës që janë subjekt i profecisë biblike. I pari është ligji i së dielës që pritet së shpejti në Shtetet e Bashkuara, dhe i dyti është ligji i së dielës që imponohet mbi mbarë botën. Këto dy ligje të së dielës u tipizuan nga ligji i së dielës i Romës pagane, kur në vitin 321, Konstandini zbatoi ligjin e parë të së dielës, i pasuar nga ligji i së dielës i Romës Papnore në vitin 538. Roma pagane është një nga disa tipa profetikë që parafigurojnë Shtetet e Bashkuara, dhe ligji i së dielës i vitit 321 tipizon ligjin e së dielës që pritet së shpejti në Shtetet e Bashkuara. Ligji papnor i së dielës i vitit 538 tipizon ligjin e së dielës që zbatohet mbi mbarë botën. Pikëpamja e gabuar se Shtetet e Bashkuara tipizohen nga kusarët në Danielin njëmbëdhjetë përpiqet ta përdorë ligjin e së dielës që pritet së shpejti në Shtetet e Bashkuara si provë për të pretenduar se ligji i së dielës në Shtetet e Bashkuara dëshmon se Shtetet e Bashkuara janë Roma moderne, dhe shpërfill faktin se ekziston një ligj tjetër i së dielës që imponohet mbi çdo komb të botës nga bashkimi trefish i dragoit, i bishës dhe i profetit të rremë.</w:t>
      </w:r>
    </w:p>
    <w:p>
      <w:pPr>
        <w:pStyle w:val="ArticleBody"/>
        <w:jc w:val="left"/>
      </w:pPr>
      <w:r>
        <w:rPr>
          <w:rFonts w:ascii="Times New Roman" w:hAnsi="Times New Roman" w:eastAsia="Times New Roman" w:cs="Times New Roman"/>
        </w:rPr>
        <w:t>Ikiwa sheria ya Jumapili nchini Marekani inaitambulisha Marekani kuwa ni Roma ya Kisasa, basi sheria ya Jumapili ya ulimwenguni pote inatambulisha nini? Roma tatu zinatambulisha kwamba Roma ya Kisasa, ambayo ni ya namna tatu, itatekeleza sheria mbili tofauti za Jumapili. Ya kwanza ni nchini Marekani na iliwakilishwa kwa mfano na sheria ya Jumapili ya Konstantino mwaka 321, na ya pili ni ya ulimwengu mzima, kama ilivyowakilishwa kwa mfano na sheria ya Jumapili ya kipapa ya mwaka 538. Kutumia sheria ya Jumapili nchini Marekani katika muktadha wa matumizi ya unabii yenye mara tatu ili kudai kwamba sheria ya Jumapili inathibitisha Roma ya Kisasa ni nani, ni kupuuza sifa za kiunabii zilizowekwa na Roma ya kipagani na ya kipapa. Kuna sheria mbili tofauti za Jumapili katika siku za mwisho, na hakuna hata moja iliyo ushahidi wa kutambulisha kwamba wanyang’anyi wa watu ni Marekani. Wakati ushuhuda wa Roma ya kipagani na ya kipapa unapotoshwa ili kuendeleza tafsiri ya kibinafsi, kama inavyofanywa kwa sasa, inaonyesha kwamba wale wanaotaka kuendeleza tafsiri yao ya kibinafsi hawaelewi mfano na utimilifu wake.</w:t>
      </w:r>
    </w:p>
    <w:p>
      <w:pPr>
        <w:pStyle w:val="ArticleBody"/>
        <w:jc w:val="left"/>
      </w:pPr>
      <w:r>
        <w:rPr>
          <w:rFonts w:ascii="Times New Roman" w:hAnsi="Times New Roman" w:eastAsia="Times New Roman" w:cs="Times New Roman"/>
        </w:rPr>
        <w:t>Roma ya bapakano ni mfano wa Marekani, na Roma ya kipapa ni ishara ya Roma ya kisasa. Pamoja na matumizi haya yasiyo sahihi ya matumizi ya unabii ya namna tatu, na dai kwamba kile kinachofundishwa kimewekwa katika muktadha wa “mfano na utimilifu wake,” kuna pia kosa jingine la kufafanua “chukizo la uharibifu” kama linavyowakilishwa ndani ya muktadha wa matumizi ya unabii ya namna tatu.</w:t>
      </w:r>
    </w:p>
    <w:p>
      <w:pPr>
        <w:pStyle w:val="ArticleBody"/>
        <w:jc w:val="left"/>
      </w:pPr>
      <w:r>
        <w:rPr>
          <w:rFonts w:ascii="Times New Roman" w:hAnsi="Times New Roman" w:eastAsia="Times New Roman" w:cs="Times New Roman"/>
        </w:rPr>
        <w:t>Tamin’ny taona 66 ka hatramin’ny taona 70 taorian’i Kristy, jeneraly romana roa no nanafika an’i Jerosalema. Samy nanomboka tamin’ny fahirano ireo jeneraly roa ireo, dia i Cestius sy Titus, saingy ny iray ihany no niala vetivety tamin’ny fahirano, ka izany, tamin’ny fitondran’Andriamanitra, no nahafahan’ny Kristiana nandositra. Ny fahirano voalohany teo ambany fitarihan’i Cestius no nahafantaran’ny Kristiana ilay fampitandremana handositra. Rehefa tonga i Titus mba hanohy ny ady tamin’i Jerosalema tamin’ny taona 70 taorian’i Kristy, dia nanomboka tamin’ny fahirano izy ary tsy nitsahatra mandra-pandravan’i Jerosalema sy ny tempoly. Misy dingana roa ao amin’ny fampitandreman’i Jesosy. Voalohany, ny famantarana handosirana, ary aorian’izany ny fanenjehana. Tamin’ny fahatanterahan’izany fampitandremana izany tamin’ny taonjato fahadimy sy fahenina, ny Kristiana dia nisaraka tamin’ilay fiangonana romana mpanao kolikoly talohan’ny taona 538, ary avy eo no nanomboka ny fanenjehana.</w:t>
      </w:r>
    </w:p>
    <w:p>
      <w:pPr>
        <w:pStyle w:val="ArticleBody"/>
        <w:jc w:val="left"/>
      </w:pPr>
      <w:r>
        <w:rPr>
          <w:rFonts w:ascii="Times New Roman" w:hAnsi="Times New Roman" w:eastAsia="Times New Roman" w:cs="Times New Roman"/>
        </w:rPr>
        <w:t>Paul ko waerea chianese epwe mea mwürüöch ngeni meinisin pwe unusen historien Israel en mei nom me fan iten aramas ra manau lon ei fansounin lesop, me pwe unusen ekkei historia ra typoi, inamwo ika ewe kapasin Krik “typos,” mine e wewe ngeni typoi, a weweitiw ren ensamples lon an kaeo mi lapalap usun ei letipin meüri.</w:t>
      </w:r>
    </w:p>
    <w:p>
      <w:pPr>
        <w:pStyle w:val="ArticleScripture"/>
        <w:jc w:val="left"/>
      </w:pPr>
      <w:r>
        <w:rPr>
          <w:rFonts w:ascii="Times New Roman" w:hAnsi="Times New Roman" w:eastAsia="Times New Roman" w:cs="Times New Roman"/>
        </w:rPr>
        <w:t>Seesee qo seesee sewae shiʼiiwa huteenii henoʼohoʼneʼee; noʼookuʼ huteenii heseveheʼtaneoʼohoʼneʼee, neese haneʼe heesevéstane-noʼkȯhtse, naa méhanehoʼėstsevéhestȯtse. 1 Corinthians 10:11.</w:t>
      </w:r>
    </w:p>
    <w:p>
      <w:pPr>
        <w:pStyle w:val="ArticleBody"/>
        <w:jc w:val="left"/>
      </w:pPr>
      <w:r>
        <w:rPr>
          <w:rFonts w:ascii="Times New Roman" w:hAnsi="Times New Roman" w:eastAsia="Times New Roman" w:cs="Times New Roman"/>
        </w:rPr>
        <w:t>Les récits du chapitre dix, dont Paul se sert pour établir le contexte de cette vérité, n’étaient pas l’histoire d’un Israël ancien agissant avec justice.</w:t>
      </w:r>
    </w:p>
    <w:p>
      <w:pPr>
        <w:pStyle w:val="ArticleScripture"/>
        <w:jc w:val="left"/>
      </w:pPr>
      <w:r>
        <w:rPr>
          <w:rFonts w:ascii="Times New Roman" w:hAnsi="Times New Roman" w:eastAsia="Times New Roman" w:cs="Times New Roman"/>
        </w:rPr>
        <w:t>Gid ngan daghan kanila wala mahimuot ang Dios; kay nangapukan sila sa kamingawan. Karon kining mga butanga nahimong atong mga panig-ingnan, aron kita dili mangibog sa dautang mga butang, maingon nga sila usab nangibog. Ni magmasimbahon kamo sa mga diosdios, ingon sa uban kanila; sumala sa nahisulat, Ang katawohan nanglingkod sa pagkaon ug sa pag-inom, ug mingtindog sa pagdula. Ni magpakighilawas kita, ingon sa gibuhat sa uban kanila, ug nangamatay sa usa ka adlaw ang kaluhaan ug tulo ka libo. Ni manulay kita kang Cristo, ingon sa uban kanila usab nanulay, ug gilaglag sa mga bitin. 1 Corinto 10:5–9.</w:t>
      </w:r>
    </w:p>
    <w:p>
      <w:pPr>
        <w:pStyle w:val="ArticleBody"/>
        <w:jc w:val="left"/>
      </w:pPr>
      <w:r>
        <w:rPr>
          <w:rFonts w:ascii="Times New Roman" w:hAnsi="Times New Roman" w:eastAsia="Times New Roman" w:cs="Times New Roman"/>
        </w:rPr>
        <w:t>La historia sagrada es un registro tanto de la justicia como de la injusticia del pueblo de Dios, pero en uno y otro caso la historia sigue siendo un tipo para el pueblo de Dios que vive en los últimos días. La historia de la rebelión en Minneapolis en 1888 es un registro de injusticia, a pesar de lo que afirman los historiadores adventistas. La rebelión fue tan profunda que Elena de White decidió abandonar la reunión, y solo permaneció porque un ángel le dijo que era su responsabilidad quedarse y registrar la rebelión que era paralela a la rebelión de Coré, Datán y Abiram en la historia de Moisés. En aquella reunión descendió el ángel poderoso de Apocalipsis capítulo dieciocho, pero el mensaje que trajo fue rechazado.</w:t>
      </w:r>
    </w:p>
    <w:p>
      <w:pPr>
        <w:pStyle w:val="ArticleBody"/>
        <w:jc w:val="left"/>
      </w:pPr>
      <w:r>
        <w:rPr>
          <w:rFonts w:ascii="Times New Roman" w:hAnsi="Times New Roman" w:eastAsia="Times New Roman" w:cs="Times New Roman"/>
        </w:rPr>
        <w:t>Esa historia tipificó el 11 de septiembre de 2001, cuando los grandes edificios de la ciudad de Nueva York fueron derribados. Esa historia incluyó el primer proyecto de ley dominical que habría de ser presentado por el senador Blair. Sus esfuerzos por imponer el domingo como Día Nacional de Adoración fracasaron, pero formaban parte de una historia sagrada que tipificaba los últimos días. El proyecto de ley del senador Blair fue la advertencia para huir de las ciudades. Antes de 1888, cuando la hermana White habló de la necesidad de vivir fuera de las ciudades, habló en tiempo futuro. Señaló un momento en el futuro cercano en que el pueblo de Dios debía trasladarse al campo. Después de 1888, todas las referencias de la hermana White a la necesidad de vivir en el campo situaron su consejo en el contexto de que el tiempo de estar en el campo ya había llegado. El proyecto de ley de Blair en 1888 fue la señal de la imposición dominical, tal como Lucas lo expresó, en un lugar donde no debía estar. La imposición del domingo no debía ser introducida en el Congreso de los Estados Unidos, pues era una negación de un principio fundamental de la Constitución.</w:t>
      </w:r>
    </w:p>
    <w:p>
      <w:pPr>
        <w:pStyle w:val="ArticleBody"/>
        <w:jc w:val="left"/>
      </w:pPr>
      <w:r>
        <w:rPr>
          <w:rFonts w:ascii="Times New Roman" w:hAnsi="Times New Roman" w:eastAsia="Times New Roman" w:cs="Times New Roman"/>
        </w:rPr>
        <w:t>Tarihcha 1888 cehgih a siangin, September 11, 2001 ni a tanin prophetic history a thawk chu entîr nân a ni. 1888 a Blair Bill chu 2001 a Patriot Act entîrtu a ni. Chu chu ramsa hriatna tak tak hman tûr hmaa vaukhânna a ni. Krista zui miah lo tûr miah zawng zawngin September 11, 2001 hnuah khawpui chhûnga chêng tûr an ni lo. Chu chu Pathian mite tlan chhuah tûra an kaihruaitu prophetic siege a ni. Tin, ni hnuhnungte prophetic model thupui a nih angin, hmânlai Rome leh pope-a Rome Sunday law pahnihin an entîr ang khân, Sunday law pahnihte chu tlan chhuah tûra vaukhânnain a hma a sawi zêl bawk.</w:t>
      </w:r>
    </w:p>
    <w:p>
      <w:pPr>
        <w:pStyle w:val="ArticleBody"/>
        <w:jc w:val="left"/>
      </w:pPr>
      <w:r>
        <w:rPr>
          <w:rFonts w:ascii="Times New Roman" w:hAnsi="Times New Roman" w:eastAsia="Times New Roman" w:cs="Times New Roman"/>
        </w:rPr>
        <w:t>Kune abo biyemerera ko ari Abadivantisiti b’Umunsi wa Karindwi, byari bikwiye ko bamenya mu buryo bw’ubuhanuzi ko Patriot Act ari ikimenyetso cyo kuva mu migi bakajya mu cyaro mbere y’itegeko ryo ku Cyumweru rigiye kuza vuba. Iryo tegeko ryo ku Cyumweru ni ryo ryari ikimenyetso ku zindi ntama z’Imana zikiri i Babuloni, cyo gusohoka muri Babuloni mbere y’ishyirwa mu bikorwa ry’itegeko ryo ku Cyumweru rizagezwa ku mahanga yose.</w:t>
      </w:r>
    </w:p>
    <w:p>
      <w:pPr>
        <w:pStyle w:val="ArticleScripture"/>
        <w:jc w:val="left"/>
      </w:pPr>
      <w:r>
        <w:rPr>
          <w:rFonts w:ascii="Times New Roman" w:hAnsi="Times New Roman" w:eastAsia="Times New Roman" w:cs="Times New Roman"/>
        </w:rPr>
        <w:t>«Cuando América, la tierra de la libertad religiosa, se una con el Papado para violentar la conciencia y obligar a los hombres a honrar el falso día de reposo, los habitantes de todos los países del globo serán inducidos a seguir su ejemplo». Testimonios, tomo 6, 18.</w:t>
      </w:r>
    </w:p>
    <w:p>
      <w:pPr>
        <w:pStyle w:val="ArticleBody"/>
        <w:jc w:val="left"/>
      </w:pPr>
      <w:r>
        <w:rPr>
          <w:rFonts w:ascii="Times New Roman" w:hAnsi="Times New Roman" w:eastAsia="Times New Roman" w:cs="Times New Roman"/>
        </w:rPr>
        <w:t>Gẹgẹ bi ìṣiṣẹ́ mẹ́ta ti àwọn Élíjà mẹ́ta ṣe fi múlẹ̀ pé ẹgbẹ́ méjì ni ó wà nínú àwọn ènìyàn Ọlọ́run ní àwọn ọjọ́ ìkẹyìn, bẹ́ẹ̀ ni ìṣiṣẹ́ mẹ́ta ti Róòmù ṣe ń fi hàn pé òfin Ọjọ́-Àìkú méjì ọ̀tọ̀ọ̀tọ̀ wà. Àwọn tí ó fẹ́ sọ pé Orílẹ̀-Èdè Amẹ́ríkà ni àwọn olùjìyà àwọn ènìyàn rẹ, àti pé nítorí náà ipa àsọtẹ́lẹ̀ ti Orílẹ̀-Èdè Amẹ́ríkà ni ń fi ìran náà múlẹ̀, ń daba pé òfin Ọjọ́-Àìkú tí ó súnmọ́ dé ní Orílẹ̀-Èdè Amẹ́ríkà ni ìríra ìdahoro tí Kristi tọ́ka sí gẹ́gẹ́ bí ìkìlọ̀ fún àwọn ènìyàn Rẹ̀ láti sá kúrò nínú inúnibíni tí ń bọ̀. Wọ́n kùnà láti mọ ìyàtọ̀ tó wà láàárín ìdótì, èyí tí í ṣe àmì ìkìlọ̀ láti sá, àti ìdótì kejì tí ó ń ṣàpẹẹrẹ àkókò tí ìmúlẹ̀ṣẹ̀ gidi ti òfin Ọjọ́-Àìkú bẹ̀rẹ̀ inúnibíni àwọn ọjọ́ ìkẹyìn. Wọ́n kùnà láti fi ojú kọ ìyàtọ̀ tí a fi múlẹ̀ lórí ẹlẹ́rìí méjì pé òfin Ọjọ́-Àìkú méjì ọ̀tọ̀ọ̀tọ̀ ni yóò wà tí yóò mú àsọtẹ́lẹ̀ ṣẹ ní àwọn ọjọ́ ìkẹyìn. Nípa ṣíṣe bẹ́ẹ̀, wọ́n ń jiyàn pé òfin Ọjọ́-Àìkú tí ó súnmọ́ dé ní Orílẹ̀-Èdè Amẹ́ríkà ni ìkìlọ̀ tí a ṣàpẹẹrẹ gẹ́gẹ́ bí ìríra ìdahoro, tí Daniẹli wòlíì sọ̀rọ̀ rẹ̀, ó sì rí bẹ́ẹ̀, ṣùgbọ́n kì í ṣe gẹ́gẹ́ bí wọ́n ṣe túmọ̀ ọ́.</w:t>
      </w:r>
    </w:p>
    <w:p>
      <w:pPr>
        <w:pStyle w:val="ArticleBody"/>
        <w:jc w:val="left"/>
      </w:pPr>
      <w:r>
        <w:rPr>
          <w:rFonts w:ascii="Times New Roman" w:hAnsi="Times New Roman" w:eastAsia="Times New Roman" w:cs="Times New Roman"/>
        </w:rPr>
        <w:t>La loi du dimanche aux États-Unis constitue l’avertissement adressé à l’autre troupeau de Dieu, qui se trouve encore à Babylone, de fuir sa communion. Elle est donc l’avertissement de la loi du dimanche à venir, qui sera imposée à toutes les nations.</w:t>
      </w:r>
    </w:p>
    <w:p>
      <w:pPr>
        <w:pStyle w:val="ArticleScripture"/>
        <w:jc w:val="left"/>
      </w:pPr>
      <w:r>
        <w:rPr>
          <w:rFonts w:ascii="Times New Roman" w:hAnsi="Times New Roman" w:eastAsia="Times New Roman" w:cs="Times New Roman"/>
        </w:rPr>
        <w:t>“Les nations étrangères suivront l’exemple des États-Unis. Quoique celle-ci prenne l’initiative, la même crise surviendra néanmoins pour notre peuple dans toutes les parties du monde.” Testimonies, volume 6, 395.</w:t>
      </w:r>
    </w:p>
    <w:p>
      <w:pPr>
        <w:pStyle w:val="ArticleBody"/>
        <w:jc w:val="left"/>
      </w:pPr>
      <w:r>
        <w:rPr>
          <w:rFonts w:ascii="Times New Roman" w:hAnsi="Times New Roman" w:eastAsia="Times New Roman" w:cs="Times New Roman"/>
        </w:rPr>
        <w:t>Leur thèse est que la loi du dimanche aux États-Unis identifie les États-Unis comme le symbole qui établit la vision prophétique ; mais, dans le contexte de l’avertissement de fuir donné par le Christ, cette loi du dimanche représente un avertissement mondial adressé aux ouvriers de la onzième heure, leur enjoignant de fuir hors de Babylone.</w:t>
      </w:r>
    </w:p>
    <w:p>
      <w:pPr>
        <w:pStyle w:val="ArticleBody"/>
        <w:jc w:val="left"/>
      </w:pPr>
      <w:r>
        <w:rPr>
          <w:rFonts w:ascii="Times New Roman" w:hAnsi="Times New Roman" w:eastAsia="Times New Roman" w:cs="Times New Roman"/>
        </w:rPr>
        <w:t>Khi Chị White đề cập đến lời cảnh báo phải chạy trốn, bà đang nói đến vấn đề luật ngày Chúa nhật sẽ bao trùm toàn thế giới. Phong trào ấy bắt đầu từ luật ngày Chúa nhật tại Hoa Kỳ. Bà xác định rằng luật ngày Chúa nhật tại Hoa Kỳ là lời cảnh báo về sự bắt bớ sắp đến.</w:t>
      </w:r>
    </w:p>
    <w:p>
      <w:pPr>
        <w:pStyle w:val="ArticleScripture"/>
        <w:jc w:val="left"/>
      </w:pPr>
      <w:r>
        <w:rPr>
          <w:rFonts w:ascii="Times New Roman" w:hAnsi="Times New Roman" w:eastAsia="Times New Roman" w:cs="Times New Roman"/>
        </w:rPr>
        <w:t>«Par le décret imposant l’institution de la papauté en violation de la loi de Dieu, notre nation se séparera entièrement de la justice. Lorsque le protestantisme étendra sa main par-dessus le gouffre pour saisir la main de la puissance romaine, lorsqu’il se penchera au-dessus de l’abîme pour serrer la main du spiritisme, lorsque, sous l’influence de cette triple union, notre pays répudiera tout principe de sa Constitution en tant que gouvernement protestant et républicain, et qu’il pourvoira à la propagation des faussetés et des séductions papales, alors nous pourrons savoir que le temps est venu pour l’œuvre prodigieuse de Satan et que la fin est proche. »</w:t>
      </w:r>
    </w:p>
    <w:p>
      <w:pPr>
        <w:pStyle w:val="ArticleScripture"/>
        <w:jc w:val="left"/>
      </w:pPr>
      <w:r>
        <w:rPr>
          <w:rFonts w:ascii="Times New Roman" w:hAnsi="Times New Roman" w:eastAsia="Times New Roman" w:cs="Times New Roman"/>
        </w:rPr>
        <w:t>“</w:t>
      </w:r>
      <w:r>
        <w:rPr>
          <w:rFonts w:ascii="Nirmala UI" w:hAnsi="Nirmala UI" w:eastAsia="Nirmala UI" w:cs="Nirmala UI"/>
        </w:rPr>
        <w:t>நாட்டின்</w:t>
      </w:r>
      <w:r>
        <w:rPr>
          <w:rFonts w:ascii="Times New Roman" w:hAnsi="Times New Roman" w:eastAsia="Times New Roman" w:cs="Times New Roman"/>
        </w:rPr>
        <w:t xml:space="preserve"> </w:t>
      </w:r>
      <w:r>
        <w:rPr>
          <w:rFonts w:ascii="Nirmala UI" w:hAnsi="Nirmala UI" w:eastAsia="Nirmala UI" w:cs="Nirmala UI"/>
        </w:rPr>
        <w:t>மீதான</w:t>
      </w:r>
      <w:r>
        <w:rPr>
          <w:rFonts w:ascii="Times New Roman" w:hAnsi="Times New Roman" w:eastAsia="Times New Roman" w:cs="Times New Roman"/>
        </w:rPr>
        <w:t xml:space="preserve"> </w:t>
      </w:r>
      <w:r>
        <w:rPr>
          <w:rFonts w:ascii="Nirmala UI" w:hAnsi="Nirmala UI" w:eastAsia="Nirmala UI" w:cs="Nirmala UI"/>
        </w:rPr>
        <w:t>ரோமப்</w:t>
      </w:r>
      <w:r>
        <w:rPr>
          <w:rFonts w:ascii="Times New Roman" w:hAnsi="Times New Roman" w:eastAsia="Times New Roman" w:cs="Times New Roman"/>
        </w:rPr>
        <w:t xml:space="preserve"> </w:t>
      </w:r>
      <w:r>
        <w:rPr>
          <w:rFonts w:ascii="Nirmala UI" w:hAnsi="Nirmala UI" w:eastAsia="Nirmala UI" w:cs="Nirmala UI"/>
        </w:rPr>
        <w:t>படைகளின்</w:t>
      </w:r>
      <w:r>
        <w:rPr>
          <w:rFonts w:ascii="Times New Roman" w:hAnsi="Times New Roman" w:eastAsia="Times New Roman" w:cs="Times New Roman"/>
        </w:rPr>
        <w:t xml:space="preserve"> </w:t>
      </w:r>
      <w:r>
        <w:rPr>
          <w:rFonts w:ascii="Nirmala UI" w:hAnsi="Nirmala UI" w:eastAsia="Nirmala UI" w:cs="Nirmala UI"/>
        </w:rPr>
        <w:t>அணுகுதல்</w:t>
      </w:r>
      <w:r>
        <w:rPr>
          <w:rFonts w:ascii="Times New Roman" w:hAnsi="Times New Roman" w:eastAsia="Times New Roman" w:cs="Times New Roman"/>
        </w:rPr>
        <w:t xml:space="preserve">, </w:t>
      </w:r>
      <w:r>
        <w:rPr>
          <w:rFonts w:ascii="Nirmala UI" w:hAnsi="Nirmala UI" w:eastAsia="Nirmala UI" w:cs="Nirmala UI"/>
        </w:rPr>
        <w:t>எருசலேமின்</w:t>
      </w:r>
      <w:r>
        <w:rPr>
          <w:rFonts w:ascii="Times New Roman" w:hAnsi="Times New Roman" w:eastAsia="Times New Roman" w:cs="Times New Roman"/>
        </w:rPr>
        <w:t xml:space="preserve"> </w:t>
      </w:r>
      <w:r>
        <w:rPr>
          <w:rFonts w:ascii="Nirmala UI" w:hAnsi="Nirmala UI" w:eastAsia="Nirmala UI" w:cs="Nirmala UI"/>
        </w:rPr>
        <w:t>நெருங்கிவரும்</w:t>
      </w:r>
      <w:r>
        <w:rPr>
          <w:rFonts w:ascii="Times New Roman" w:hAnsi="Times New Roman" w:eastAsia="Times New Roman" w:cs="Times New Roman"/>
        </w:rPr>
        <w:t xml:space="preserve"> </w:t>
      </w:r>
      <w:r>
        <w:rPr>
          <w:rFonts w:ascii="Nirmala UI" w:hAnsi="Nirmala UI" w:eastAsia="Nirmala UI" w:cs="Nirmala UI"/>
        </w:rPr>
        <w:t>அழிவிற்கான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சீஷர்களுக்கிருந்ததுபோல</w:t>
      </w:r>
      <w:r>
        <w:rPr>
          <w:rFonts w:ascii="Times New Roman" w:hAnsi="Times New Roman" w:eastAsia="Times New Roman" w:cs="Times New Roman"/>
        </w:rPr>
        <w:t xml:space="preserve">, </w:t>
      </w:r>
      <w:r>
        <w:rPr>
          <w:rFonts w:ascii="Nirmala UI" w:hAnsi="Nirmala UI" w:eastAsia="Nirmala UI" w:cs="Nirmala UI"/>
        </w:rPr>
        <w:t>இவ்வாபத்தே</w:t>
      </w:r>
      <w:r>
        <w:rPr>
          <w:rFonts w:ascii="Times New Roman" w:hAnsi="Times New Roman" w:eastAsia="Times New Roman" w:cs="Times New Roman"/>
        </w:rPr>
        <w:t xml:space="preserve"> </w:t>
      </w:r>
      <w:r>
        <w:rPr>
          <w:rFonts w:ascii="Nirmala UI" w:hAnsi="Nirmala UI" w:eastAsia="Nirmala UI" w:cs="Nirmala UI"/>
        </w:rPr>
        <w:t>நமக்குமொரு</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இருக்கலாம்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நீண்டகால</w:t>
      </w:r>
      <w:r>
        <w:rPr>
          <w:rFonts w:ascii="Times New Roman" w:hAnsi="Times New Roman" w:eastAsia="Times New Roman" w:cs="Times New Roman"/>
        </w:rPr>
        <w:t xml:space="preserve"> </w:t>
      </w:r>
      <w:r>
        <w:rPr>
          <w:rFonts w:ascii="Nirmala UI" w:hAnsi="Nirmala UI" w:eastAsia="Nirmala UI" w:cs="Nirmala UI"/>
        </w:rPr>
        <w:t>சகிப்புத்தன்மையின்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எட்டப்பட்டுவிட்டது</w:t>
      </w:r>
      <w:r>
        <w:rPr>
          <w:rFonts w:ascii="Times New Roman" w:hAnsi="Times New Roman" w:eastAsia="Times New Roman" w:cs="Times New Roman"/>
        </w:rPr>
        <w:t xml:space="preserve">, </w:t>
      </w:r>
      <w:r>
        <w:rPr>
          <w:rFonts w:ascii="Nirmala UI" w:hAnsi="Nirmala UI" w:eastAsia="Nirmala UI" w:cs="Nirmala UI"/>
        </w:rPr>
        <w:t>நம்முடைய</w:t>
      </w:r>
      <w:r>
        <w:rPr>
          <w:rFonts w:ascii="Times New Roman" w:hAnsi="Times New Roman" w:eastAsia="Times New Roman" w:cs="Times New Roman"/>
        </w:rPr>
        <w:t xml:space="preserve"> </w:t>
      </w:r>
      <w:r>
        <w:rPr>
          <w:rFonts w:ascii="Nirmala UI" w:hAnsi="Nirmala UI" w:eastAsia="Nirmala UI" w:cs="Nirmala UI"/>
        </w:rPr>
        <w:t>ஜாதியின்</w:t>
      </w:r>
      <w:r>
        <w:rPr>
          <w:rFonts w:ascii="Times New Roman" w:hAnsi="Times New Roman" w:eastAsia="Times New Roman" w:cs="Times New Roman"/>
        </w:rPr>
        <w:t xml:space="preserve"> </w:t>
      </w:r>
      <w:r>
        <w:rPr>
          <w:rFonts w:ascii="Nirmala UI" w:hAnsi="Nirmala UI" w:eastAsia="Nirmala UI" w:cs="Nirmala UI"/>
        </w:rPr>
        <w:t>அக்கிரமத்தின்</w:t>
      </w:r>
      <w:r>
        <w:rPr>
          <w:rFonts w:ascii="Times New Roman" w:hAnsi="Times New Roman" w:eastAsia="Times New Roman" w:cs="Times New Roman"/>
        </w:rPr>
        <w:t xml:space="preserve"> </w:t>
      </w:r>
      <w:r>
        <w:rPr>
          <w:rFonts w:ascii="Nirmala UI" w:hAnsi="Nirmala UI" w:eastAsia="Nirmala UI" w:cs="Nirmala UI"/>
        </w:rPr>
        <w:t>அளவு</w:t>
      </w:r>
      <w:r>
        <w:rPr>
          <w:rFonts w:ascii="Times New Roman" w:hAnsi="Times New Roman" w:eastAsia="Times New Roman" w:cs="Times New Roman"/>
        </w:rPr>
        <w:t xml:space="preserve"> </w:t>
      </w:r>
      <w:r>
        <w:rPr>
          <w:rFonts w:ascii="Nirmala UI" w:hAnsi="Nirmala UI" w:eastAsia="Nirmala UI" w:cs="Nirmala UI"/>
        </w:rPr>
        <w:t>நிரம்பிவிட்டது</w:t>
      </w:r>
      <w:r>
        <w:rPr>
          <w:rFonts w:ascii="Times New Roman" w:hAnsi="Times New Roman" w:eastAsia="Times New Roman" w:cs="Times New Roman"/>
        </w:rPr>
        <w:t xml:space="preserve">, </w:t>
      </w:r>
      <w:r>
        <w:rPr>
          <w:rFonts w:ascii="Nirmala UI" w:hAnsi="Nirmala UI" w:eastAsia="Nirmala UI" w:cs="Nirmala UI"/>
        </w:rPr>
        <w:t>இரக்கத்தின்</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திரும்பிவராதபடி</w:t>
      </w:r>
      <w:r>
        <w:rPr>
          <w:rFonts w:ascii="Times New Roman" w:hAnsi="Times New Roman" w:eastAsia="Times New Roman" w:cs="Times New Roman"/>
        </w:rPr>
        <w:t xml:space="preserve"> </w:t>
      </w:r>
      <w:r>
        <w:rPr>
          <w:rFonts w:ascii="Nirmala UI" w:hAnsi="Nirmala UI" w:eastAsia="Nirmala UI" w:cs="Nirmala UI"/>
        </w:rPr>
        <w:t>பறந்து</w:t>
      </w:r>
      <w:r>
        <w:rPr>
          <w:rFonts w:ascii="Times New Roman" w:hAnsi="Times New Roman" w:eastAsia="Times New Roman" w:cs="Times New Roman"/>
        </w:rPr>
        <w:t xml:space="preserve"> </w:t>
      </w:r>
      <w:r>
        <w:rPr>
          <w:rFonts w:ascii="Nirmala UI" w:hAnsi="Nirmala UI" w:eastAsia="Nirmala UI" w:cs="Nirmala UI"/>
        </w:rPr>
        <w:t>செல்லப்போகிறான்</w:t>
      </w:r>
      <w:r>
        <w:rPr>
          <w:rFonts w:ascii="Times New Roman" w:hAnsi="Times New Roman" w:eastAsia="Times New Roman" w:cs="Times New Roman"/>
        </w:rPr>
        <w:t xml:space="preserve"> </w:t>
      </w:r>
      <w:r>
        <w:rPr>
          <w:rFonts w:ascii="Nirmala UI" w:hAnsi="Nirmala UI" w:eastAsia="Nirmala UI" w:cs="Nirmala UI"/>
        </w:rPr>
        <w:t>என்பதற்கான</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தீர்க்கதரிசிகள்</w:t>
      </w:r>
      <w:r>
        <w:rPr>
          <w:rFonts w:ascii="Times New Roman" w:hAnsi="Times New Roman" w:eastAsia="Times New Roman" w:cs="Times New Roman"/>
        </w:rPr>
        <w:t xml:space="preserve"> ‘</w:t>
      </w:r>
      <w:r>
        <w:rPr>
          <w:rFonts w:ascii="Nirmala UI" w:hAnsi="Nirmala UI" w:eastAsia="Nirmala UI" w:cs="Nirmala UI"/>
        </w:rPr>
        <w:t>யாக்கோபின்</w:t>
      </w:r>
      <w:r>
        <w:rPr>
          <w:rFonts w:ascii="Times New Roman" w:hAnsi="Times New Roman" w:eastAsia="Times New Roman" w:cs="Times New Roman"/>
        </w:rPr>
        <w:t xml:space="preserve"> </w:t>
      </w:r>
      <w:r>
        <w:rPr>
          <w:rFonts w:ascii="Nirmala UI" w:hAnsi="Nirmala UI" w:eastAsia="Nirmala UI" w:cs="Nirmala UI"/>
        </w:rPr>
        <w:t>சங்கடகாலம்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வர்ணித்திருக்கும்</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துன்பத்தினதும்</w:t>
      </w:r>
      <w:r>
        <w:rPr>
          <w:rFonts w:ascii="Times New Roman" w:hAnsi="Times New Roman" w:eastAsia="Times New Roman" w:cs="Times New Roman"/>
        </w:rPr>
        <w:t xml:space="preserve"> </w:t>
      </w:r>
      <w:r>
        <w:rPr>
          <w:rFonts w:ascii="Nirmala UI" w:hAnsi="Nirmala UI" w:eastAsia="Nirmala UI" w:cs="Nirmala UI"/>
        </w:rPr>
        <w:t>துயரத்தினதும்</w:t>
      </w:r>
      <w:r>
        <w:rPr>
          <w:rFonts w:ascii="Times New Roman" w:hAnsi="Times New Roman" w:eastAsia="Times New Roman" w:cs="Times New Roman"/>
        </w:rPr>
        <w:t xml:space="preserve"> </w:t>
      </w:r>
      <w:r>
        <w:rPr>
          <w:rFonts w:ascii="Nirmala UI" w:hAnsi="Nirmala UI" w:eastAsia="Nirmala UI" w:cs="Nirmala UI"/>
        </w:rPr>
        <w:t>நிகழ்ச்சிகளுக்குள்</w:t>
      </w:r>
      <w:r>
        <w:rPr>
          <w:rFonts w:ascii="Times New Roman" w:hAnsi="Times New Roman" w:eastAsia="Times New Roman" w:cs="Times New Roman"/>
        </w:rPr>
        <w:t xml:space="preserve"> </w:t>
      </w:r>
      <w:r>
        <w:rPr>
          <w:rFonts w:ascii="Nirmala UI" w:hAnsi="Nirmala UI" w:eastAsia="Nirmala UI" w:cs="Nirmala UI"/>
        </w:rPr>
        <w:t>மூழ்கடிக்கப்படுவார்கள்</w:t>
      </w:r>
      <w:r>
        <w:rPr>
          <w:rFonts w:ascii="Times New Roman" w:hAnsi="Times New Roman" w:eastAsia="Times New Roman" w:cs="Times New Roman"/>
        </w:rPr>
        <w:t xml:space="preserve">. </w:t>
      </w:r>
      <w:r>
        <w:rPr>
          <w:rFonts w:ascii="Nirmala UI" w:hAnsi="Nirmala UI" w:eastAsia="Nirmala UI" w:cs="Nirmala UI"/>
        </w:rPr>
        <w:t>விசுவாசமுள்ள</w:t>
      </w:r>
      <w:r>
        <w:rPr>
          <w:rFonts w:ascii="Times New Roman" w:hAnsi="Times New Roman" w:eastAsia="Times New Roman" w:cs="Times New Roman"/>
        </w:rPr>
        <w:t xml:space="preserve">, </w:t>
      </w:r>
      <w:r>
        <w:rPr>
          <w:rFonts w:ascii="Nirmala UI" w:hAnsi="Nirmala UI" w:eastAsia="Nirmala UI" w:cs="Nirmala UI"/>
        </w:rPr>
        <w:t>துன்புறுத்தப்பட்டவர்களின்</w:t>
      </w:r>
      <w:r>
        <w:rPr>
          <w:rFonts w:ascii="Times New Roman" w:hAnsi="Times New Roman" w:eastAsia="Times New Roman" w:cs="Times New Roman"/>
        </w:rPr>
        <w:t xml:space="preserve"> </w:t>
      </w:r>
      <w:r>
        <w:rPr>
          <w:rFonts w:ascii="Nirmala UI" w:hAnsi="Nirmala UI" w:eastAsia="Nirmala UI" w:cs="Nirmala UI"/>
        </w:rPr>
        <w:t>கூக்குரல்கள்</w:t>
      </w:r>
      <w:r>
        <w:rPr>
          <w:rFonts w:ascii="Times New Roman" w:hAnsi="Times New Roman" w:eastAsia="Times New Roman" w:cs="Times New Roman"/>
        </w:rPr>
        <w:t xml:space="preserve"> </w:t>
      </w:r>
      <w:r>
        <w:rPr>
          <w:rFonts w:ascii="Nirmala UI" w:hAnsi="Nirmala UI" w:eastAsia="Nirmala UI" w:cs="Nirmala UI"/>
        </w:rPr>
        <w:t>பரலோகத்திற்கு</w:t>
      </w:r>
      <w:r>
        <w:rPr>
          <w:rFonts w:ascii="Times New Roman" w:hAnsi="Times New Roman" w:eastAsia="Times New Roman" w:cs="Times New Roman"/>
        </w:rPr>
        <w:t xml:space="preserve"> </w:t>
      </w:r>
      <w:r>
        <w:rPr>
          <w:rFonts w:ascii="Nirmala UI" w:hAnsi="Nirmala UI" w:eastAsia="Nirmala UI" w:cs="Nirmala UI"/>
        </w:rPr>
        <w:t>ஏறுகின்றன</w:t>
      </w:r>
      <w:r>
        <w:rPr>
          <w:rFonts w:ascii="Times New Roman" w:hAnsi="Times New Roman" w:eastAsia="Times New Roman" w:cs="Times New Roman"/>
        </w:rPr>
        <w:t xml:space="preserve">. </w:t>
      </w:r>
      <w:r>
        <w:rPr>
          <w:rFonts w:ascii="Nirmala UI" w:hAnsi="Nirmala UI" w:eastAsia="Nirmala UI" w:cs="Nirmala UI"/>
        </w:rPr>
        <w:t>ஆபேலின்</w:t>
      </w:r>
      <w:r>
        <w:rPr>
          <w:rFonts w:ascii="Times New Roman" w:hAnsi="Times New Roman" w:eastAsia="Times New Roman" w:cs="Times New Roman"/>
        </w:rPr>
        <w:t xml:space="preserve"> </w:t>
      </w:r>
      <w:r>
        <w:rPr>
          <w:rFonts w:ascii="Nirmala UI" w:hAnsi="Nirmala UI" w:eastAsia="Nirmala UI" w:cs="Nirmala UI"/>
        </w:rPr>
        <w:t>இரத்தம்</w:t>
      </w:r>
      <w:r>
        <w:rPr>
          <w:rFonts w:ascii="Times New Roman" w:hAnsi="Times New Roman" w:eastAsia="Times New Roman" w:cs="Times New Roman"/>
        </w:rPr>
        <w:t xml:space="preserve"> </w:t>
      </w:r>
      <w:r>
        <w:rPr>
          <w:rFonts w:ascii="Nirmala UI" w:hAnsi="Nirmala UI" w:eastAsia="Nirmala UI" w:cs="Nirmala UI"/>
        </w:rPr>
        <w:t>நிலத்திலிருந்து</w:t>
      </w:r>
      <w:r>
        <w:rPr>
          <w:rFonts w:ascii="Times New Roman" w:hAnsi="Times New Roman" w:eastAsia="Times New Roman" w:cs="Times New Roman"/>
        </w:rPr>
        <w:t xml:space="preserve"> </w:t>
      </w:r>
      <w:r>
        <w:rPr>
          <w:rFonts w:ascii="Nirmala UI" w:hAnsi="Nirmala UI" w:eastAsia="Nirmala UI" w:cs="Nirmala UI"/>
        </w:rPr>
        <w:t>கூப்பிட்டதுபோல</w:t>
      </w:r>
      <w:r>
        <w:rPr>
          <w:rFonts w:ascii="Times New Roman" w:hAnsi="Times New Roman" w:eastAsia="Times New Roman" w:cs="Times New Roman"/>
        </w:rPr>
        <w:t xml:space="preserve">, </w:t>
      </w:r>
      <w:r>
        <w:rPr>
          <w:rFonts w:ascii="Nirmala UI" w:hAnsi="Nirmala UI" w:eastAsia="Nirmala UI" w:cs="Nirmala UI"/>
        </w:rPr>
        <w:t>சாட்சிகளின்</w:t>
      </w:r>
      <w:r>
        <w:rPr>
          <w:rFonts w:ascii="Times New Roman" w:hAnsi="Times New Roman" w:eastAsia="Times New Roman" w:cs="Times New Roman"/>
        </w:rPr>
        <w:t xml:space="preserve"> </w:t>
      </w:r>
      <w:r>
        <w:rPr>
          <w:rFonts w:ascii="Nirmala UI" w:hAnsi="Nirmala UI" w:eastAsia="Nirmala UI" w:cs="Nirmala UI"/>
        </w:rPr>
        <w:t>கல்லறைகளிலிருந்தும்</w:t>
      </w:r>
      <w:r>
        <w:rPr>
          <w:rFonts w:ascii="Times New Roman" w:hAnsi="Times New Roman" w:eastAsia="Times New Roman" w:cs="Times New Roman"/>
        </w:rPr>
        <w:t xml:space="preserve">, </w:t>
      </w:r>
      <w:r>
        <w:rPr>
          <w:rFonts w:ascii="Nirmala UI" w:hAnsi="Nirmala UI" w:eastAsia="Nirmala UI" w:cs="Nirmala UI"/>
        </w:rPr>
        <w:t>சமுத்திரத்தின்</w:t>
      </w:r>
      <w:r>
        <w:rPr>
          <w:rFonts w:ascii="Times New Roman" w:hAnsi="Times New Roman" w:eastAsia="Times New Roman" w:cs="Times New Roman"/>
        </w:rPr>
        <w:t xml:space="preserve"> </w:t>
      </w:r>
      <w:r>
        <w:rPr>
          <w:rFonts w:ascii="Nirmala UI" w:hAnsi="Nirmala UI" w:eastAsia="Nirmala UI" w:cs="Nirmala UI"/>
        </w:rPr>
        <w:t>சமாதிகளிலிருந்தும்</w:t>
      </w:r>
      <w:r>
        <w:rPr>
          <w:rFonts w:ascii="Times New Roman" w:hAnsi="Times New Roman" w:eastAsia="Times New Roman" w:cs="Times New Roman"/>
        </w:rPr>
        <w:t xml:space="preserve">, </w:t>
      </w:r>
      <w:r>
        <w:rPr>
          <w:rFonts w:ascii="Nirmala UI" w:hAnsi="Nirmala UI" w:eastAsia="Nirmala UI" w:cs="Nirmala UI"/>
        </w:rPr>
        <w:t>மலைக்குகைகளிலிருந்தும்</w:t>
      </w:r>
      <w:r>
        <w:rPr>
          <w:rFonts w:ascii="Times New Roman" w:hAnsi="Times New Roman" w:eastAsia="Times New Roman" w:cs="Times New Roman"/>
        </w:rPr>
        <w:t xml:space="preserve">, </w:t>
      </w:r>
      <w:r>
        <w:rPr>
          <w:rFonts w:ascii="Nirmala UI" w:hAnsi="Nirmala UI" w:eastAsia="Nirmala UI" w:cs="Nirmala UI"/>
        </w:rPr>
        <w:t>கன்னியாஸ்திரிகளின்</w:t>
      </w:r>
      <w:r>
        <w:rPr>
          <w:rFonts w:ascii="Times New Roman" w:hAnsi="Times New Roman" w:eastAsia="Times New Roman" w:cs="Times New Roman"/>
        </w:rPr>
        <w:t xml:space="preserve"> </w:t>
      </w:r>
      <w:r>
        <w:rPr>
          <w:rFonts w:ascii="Nirmala UI" w:hAnsi="Nirmala UI" w:eastAsia="Nirmala UI" w:cs="Nirmala UI"/>
        </w:rPr>
        <w:t>கல்லறை</w:t>
      </w:r>
      <w:r>
        <w:rPr>
          <w:rFonts w:ascii="Times New Roman" w:hAnsi="Times New Roman" w:eastAsia="Times New Roman" w:cs="Times New Roman"/>
        </w:rPr>
        <w:t xml:space="preserve"> </w:t>
      </w:r>
      <w:r>
        <w:rPr>
          <w:rFonts w:ascii="Nirmala UI" w:hAnsi="Nirmala UI" w:eastAsia="Nirmala UI" w:cs="Nirmala UI"/>
        </w:rPr>
        <w:t>அறைகளிலிருந்தும்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அழைக்கும்</w:t>
      </w:r>
      <w:r>
        <w:rPr>
          <w:rFonts w:ascii="Times New Roman" w:hAnsi="Times New Roman" w:eastAsia="Times New Roman" w:cs="Times New Roman"/>
        </w:rPr>
        <w:t xml:space="preserve"> </w:t>
      </w:r>
      <w:r>
        <w:rPr>
          <w:rFonts w:ascii="Nirmala UI" w:hAnsi="Nirmala UI" w:eastAsia="Nirmala UI" w:cs="Nirmala UI"/>
        </w:rPr>
        <w:t>சத்தங்களும்</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w:t>
      </w:r>
      <w:r>
        <w:rPr>
          <w:rFonts w:ascii="Nirmala UI" w:hAnsi="Nirmala UI" w:eastAsia="Nirmala UI" w:cs="Nirmala UI"/>
        </w:rPr>
        <w:t>பரிசுத்தரும்</w:t>
      </w:r>
      <w:r>
        <w:rPr>
          <w:rFonts w:ascii="Times New Roman" w:hAnsi="Times New Roman" w:eastAsia="Times New Roman" w:cs="Times New Roman"/>
        </w:rPr>
        <w:t xml:space="preserve"> </w:t>
      </w:r>
      <w:r>
        <w:rPr>
          <w:rFonts w:ascii="Nirmala UI" w:hAnsi="Nirmala UI" w:eastAsia="Nirmala UI" w:cs="Nirmala UI"/>
        </w:rPr>
        <w:t>சத்தியமுள்ளவருமான</w:t>
      </w:r>
      <w:r>
        <w:rPr>
          <w:rFonts w:ascii="Times New Roman" w:hAnsi="Times New Roman" w:eastAsia="Times New Roman" w:cs="Times New Roman"/>
        </w:rPr>
        <w:t xml:space="preserve"> </w:t>
      </w:r>
      <w:r>
        <w:rPr>
          <w:rFonts w:ascii="Nirmala UI" w:hAnsi="Nirmala UI" w:eastAsia="Nirmala UI" w:cs="Nirmala UI"/>
        </w:rPr>
        <w:t>ஆண்டவரே</w:t>
      </w:r>
      <w:r>
        <w:rPr>
          <w:rFonts w:ascii="Times New Roman" w:hAnsi="Times New Roman" w:eastAsia="Times New Roman" w:cs="Times New Roman"/>
        </w:rPr>
        <w:t xml:space="preserve">, </w:t>
      </w:r>
      <w:r>
        <w:rPr>
          <w:rFonts w:ascii="Nirmala UI" w:hAnsi="Nirmala UI" w:eastAsia="Nirmala UI" w:cs="Nirmala UI"/>
        </w:rPr>
        <w:t>பூமியில்</w:t>
      </w:r>
      <w:r>
        <w:rPr>
          <w:rFonts w:ascii="Times New Roman" w:hAnsi="Times New Roman" w:eastAsia="Times New Roman" w:cs="Times New Roman"/>
        </w:rPr>
        <w:t xml:space="preserve"> </w:t>
      </w:r>
      <w:r>
        <w:rPr>
          <w:rFonts w:ascii="Nirmala UI" w:hAnsi="Nirmala UI" w:eastAsia="Nirmala UI" w:cs="Nirmala UI"/>
        </w:rPr>
        <w:t>வாசம்பண்ணுகிறவர்களின்மேல்</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இரத்தத்திற்காக</w:t>
      </w:r>
      <w:r>
        <w:rPr>
          <w:rFonts w:ascii="Times New Roman" w:hAnsi="Times New Roman" w:eastAsia="Times New Roman" w:cs="Times New Roman"/>
        </w:rPr>
        <w:t xml:space="preserve"> </w:t>
      </w:r>
      <w:r>
        <w:rPr>
          <w:rFonts w:ascii="Nirmala UI" w:hAnsi="Nirmala UI" w:eastAsia="Nirmala UI" w:cs="Nirmala UI"/>
        </w:rPr>
        <w:t>நீர்</w:t>
      </w:r>
      <w:r>
        <w:rPr>
          <w:rFonts w:ascii="Times New Roman" w:hAnsi="Times New Roman" w:eastAsia="Times New Roman" w:cs="Times New Roman"/>
        </w:rPr>
        <w:t xml:space="preserve"> </w:t>
      </w:r>
      <w:r>
        <w:rPr>
          <w:rFonts w:ascii="Nirmala UI" w:hAnsi="Nirmala UI" w:eastAsia="Nirmala UI" w:cs="Nirmala UI"/>
        </w:rPr>
        <w:t>நியாயந்தீர்த்து</w:t>
      </w:r>
      <w:r>
        <w:rPr>
          <w:rFonts w:ascii="Times New Roman" w:hAnsi="Times New Roman" w:eastAsia="Times New Roman" w:cs="Times New Roman"/>
        </w:rPr>
        <w:t xml:space="preserve"> </w:t>
      </w:r>
      <w:r>
        <w:rPr>
          <w:rFonts w:ascii="Nirmala UI" w:hAnsi="Nirmala UI" w:eastAsia="Nirmala UI" w:cs="Nirmala UI"/>
        </w:rPr>
        <w:t>பழிவாங்காமல்</w:t>
      </w:r>
      <w:r>
        <w:rPr>
          <w:rFonts w:ascii="Times New Roman" w:hAnsi="Times New Roman" w:eastAsia="Times New Roman" w:cs="Times New Roman"/>
        </w:rPr>
        <w:t xml:space="preserve"> </w:t>
      </w:r>
      <w:r>
        <w:rPr>
          <w:rFonts w:ascii="Nirmala UI" w:hAnsi="Nirmala UI" w:eastAsia="Nirmala UI" w:cs="Nirmala UI"/>
        </w:rPr>
        <w:t>இருப்பது</w:t>
      </w:r>
      <w:r>
        <w:rPr>
          <w:rFonts w:ascii="Times New Roman" w:hAnsi="Times New Roman" w:eastAsia="Times New Roman" w:cs="Times New Roman"/>
        </w:rPr>
        <w:t xml:space="preserve"> </w:t>
      </w:r>
      <w:r>
        <w:rPr>
          <w:rFonts w:ascii="Nirmala UI" w:hAnsi="Nirmala UI" w:eastAsia="Nirmala UI" w:cs="Nirmala UI"/>
        </w:rPr>
        <w:t>எவ்வளவுகாலம்</w:t>
      </w:r>
      <w:r>
        <w:rPr>
          <w:rFonts w:ascii="Times New Roman" w:hAnsi="Times New Roman" w:eastAsia="Times New Roman" w:cs="Times New Roman"/>
        </w:rPr>
        <w:t>?’” Testimonies, volume 5, 451.</w:t>
      </w:r>
    </w:p>
    <w:p>
      <w:pPr>
        <w:pStyle w:val="ArticleBody"/>
        <w:jc w:val="left"/>
      </w:pPr>
      <w:r>
        <w:rPr>
          <w:rFonts w:ascii="Times New Roman" w:hAnsi="Times New Roman" w:eastAsia="Times New Roman" w:cs="Times New Roman"/>
        </w:rPr>
        <w:t>Nádasɨ kɛri White ana a pɛri ka Sunday law n’ta United States, ana mɛ ka a ye “sign” la ko probationary time ye United States ta bɛ ban. Nka Ala ka mɔgɔw minnu bɛ dugukolo kɛlɛnkɛlɛnw kɔnɔ fana, olu fana bɛna sɛbɛn kelen in yɛrɛ la. Waati dɔ bɛ yen ka bɔ Sunday law min bɛ United States la fɔ Michael bɛ wuli, ani adamadenw ka probation bɛ da. N’i da, “the angel of mercy takes her flight.”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दर्शन की स्थापना करता है - संख्या बारह</dc:title>
  <dc:subject>L’application triple de la prophétie : l’abomination de la désolation et l’avertissement des derniers jours de fuir</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