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روم ویژن کو قائم کرتی ہے — عدد تیرہ</w:t>
      </w:r>
    </w:p>
    <w:p>
      <w:pPr>
        <w:pStyle w:val="ArticleSubtitle"/>
        <w:jc w:val="left"/>
      </w:pPr>
      <w:r>
        <w:rPr>
          <w:rFonts w:ascii="Arial" w:hAnsi="Arial" w:eastAsia="Arial" w:cs="Arial"/>
        </w:rPr>
        <w:t>Controverses de Rome : comprendre l’épreuve finale de l’image de la bête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Microsoft YaHei" w:hAnsi="Microsoft YaHei" w:eastAsia="Microsoft YaHei" w:cs="Microsoft YaHei"/>
        </w:rPr>
        <w:t>（請提供目標語言「</w:t>
      </w:r>
      <w:r>
        <w:rPr>
          <w:rFonts w:ascii="Times New Roman" w:hAnsi="Times New Roman" w:eastAsia="Times New Roman" w:cs="Times New Roman"/>
        </w:rPr>
        <w:t>ff</w:t>
      </w:r>
      <w:r>
        <w:rPr>
          <w:rFonts w:ascii="Microsoft YaHei" w:hAnsi="Microsoft YaHei" w:eastAsia="Microsoft YaHei" w:cs="Microsoft YaHei"/>
        </w:rPr>
        <w:t>」所指為何種語言或文字系統</w:t>
      </w:r>
      <w:r>
        <w:rPr>
          <w:rFonts w:ascii="Times New Roman" w:hAnsi="Times New Roman" w:eastAsia="Times New Roman" w:cs="Times New Roman"/>
        </w:rPr>
        <w:t>;</w:t>
      </w:r>
      <w:r>
        <w:rPr>
          <w:rFonts w:ascii="Microsoft YaHei" w:hAnsi="Microsoft YaHei" w:eastAsia="Microsoft YaHei" w:cs="Microsoft YaHei"/>
        </w:rPr>
        <w:t>目前無法在未明確語種的情況下準確翻譯</w:t>
      </w:r>
      <w:r>
        <w:rPr>
          <w:rFonts w:ascii="Times New Roman" w:hAnsi="Times New Roman" w:eastAsia="Times New Roman" w:cs="Times New Roman"/>
        </w:rPr>
        <w:t>.</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Cinq histoires, mais la première étant aussi la dernière, représentent six lignes. Le cadre prophétique de ces lignes de controverse est celui des derniers jours; c’est pourquoi ces lignes doivent être appliquées durant l’épreuve de l’image de la bête.</w:t>
      </w:r>
    </w:p>
    <w:p>
      <w:pPr>
        <w:pStyle w:val="ArticleScripture"/>
        <w:jc w:val="left"/>
      </w:pPr>
      <w:r>
        <w:rPr>
          <w:rFonts w:ascii="Times New Roman" w:hAnsi="Times New Roman" w:eastAsia="Times New Roman" w:cs="Times New Roman"/>
        </w:rPr>
        <w:t>« Le Seigneur m’a clairement montré que l’image de la bête sera formée avant la clôture du temps de grâce ; car elle doit être la grande épreuve pour le peuple de Dieu, par laquelle sa destinée éternelle sera décidée.... »</w:t>
      </w:r>
    </w:p>
    <w:p>
      <w:pPr>
        <w:pStyle w:val="ArticleScripture"/>
        <w:jc w:val="left"/>
      </w:pPr>
      <w:r>
        <w:rPr>
          <w:rFonts w:ascii="Times New Roman" w:hAnsi="Times New Roman" w:eastAsia="Times New Roman" w:cs="Times New Roman"/>
        </w:rPr>
        <w:t>«Ceci est l’épreuve que le peuple de Dieu doit traverser avant d’être scellé.» Manuscript Releases, vol. 15, p. 15.</w:t>
      </w:r>
    </w:p>
    <w:p>
      <w:pPr>
        <w:pStyle w:val="ArticleBody"/>
        <w:jc w:val="left"/>
      </w:pPr>
      <w:r>
        <w:rPr>
          <w:rFonts w:ascii="Times New Roman" w:hAnsi="Times New Roman" w:eastAsia="Times New Roman" w:cs="Times New Roman"/>
        </w:rPr>
        <w:t>ꜤAn Ꜥimtihan n tskemmel n tugna n uḥes n lbeḥr, am wakken i d-yeḍran deg setta n yijerriwen-nniḍen n umennuɣ, d Ꜥimtihan yerzan asentel unbiyi n Ruma. AꜤimtihan ameqqran i d-yeḍran send ad ttwaseglen agdud n Öebbi, yerza tskemmel n tugna n ubeḥri arumi. Lbeḥr d tazmert tapawit, yerna Yiwunak n Merca ad yesnulfu tugna n tezmmert tapawit mi ara yettnerni ar usefru n wass n lḥedd i d-iteddun s tɣawla.</w:t>
      </w:r>
    </w:p>
    <w:p>
      <w:pPr>
        <w:pStyle w:val="ArticleScripture"/>
        <w:jc w:val="left"/>
      </w:pPr>
      <w:r>
        <w:rPr>
          <w:rFonts w:ascii="Times New Roman" w:hAnsi="Times New Roman" w:eastAsia="Times New Roman" w:cs="Times New Roman"/>
        </w:rPr>
        <w:t>« Afin que les États-Unis forment une image de la bête, il faut que le pouvoir religieux exerce sur le gouvernement civil une telle emprise que l’autorité de l’État soit, elle aussi, employée par l’Église pour accomplir ses propres desseins. » The Great Controversy, 443.</w:t>
      </w:r>
    </w:p>
    <w:p>
      <w:pPr>
        <w:pStyle w:val="ArticleBody"/>
        <w:jc w:val="left"/>
      </w:pPr>
      <w:r>
        <w:rPr>
          <w:rFonts w:ascii="Times New Roman" w:hAnsi="Times New Roman" w:eastAsia="Times New Roman" w:cs="Times New Roman"/>
        </w:rPr>
        <w:t>Tua sheria ya Jumapili katika Marekani inathibitisha kwamba sanamu ya mnyama imekwisha kuundwa kikamilifu katika Marekani.</w:t>
      </w:r>
    </w:p>
    <w:p>
      <w:pPr>
        <w:pStyle w:val="ArticleScripture"/>
        <w:jc w:val="left"/>
      </w:pPr>
      <w:r>
        <w:rPr>
          <w:rFonts w:ascii="Times New Roman" w:hAnsi="Times New Roman" w:eastAsia="Times New Roman" w:cs="Times New Roman"/>
        </w:rPr>
        <w:t>«Αλλά με την ίδια την πράξη της επιβολής ενός θρησκευτικού καθήκοντος μέσω κοσμικής εξουσίας, οι εκκλησίες θα σχημάτιζαν οι ίδιες μια εικόνα προς το θηρίο· επομένως, η επιβολή της τήρησης της Κυριακής στις Ηνωμένες Πολιτείες θα αποτελούσε επιβολή της λατρείας του θηρίου και της εικόνας του». Η Μεγάλη Διαμάχη, 449.</w:t>
      </w:r>
    </w:p>
    <w:p>
      <w:pPr>
        <w:pStyle w:val="ArticleBody"/>
        <w:jc w:val="left"/>
      </w:pPr>
      <w:r>
        <w:rPr>
          <w:rFonts w:ascii="Times New Roman" w:hAnsi="Times New Roman" w:eastAsia="Times New Roman" w:cs="Times New Roman"/>
        </w:rPr>
        <w:t>Op de zondagwet is het beeld van het beest in de Verenigde Staten volledig gevormd, en de Verenigde Staten zijn dan volledig van God losgemaakt; vervolgens begint het zijn profetische werk om de gehele wereld te dwingen een beeld van het beest te vormen. Op de zondagwet in de Verenigde Staten begint Satan zijn wonderbaarlijke werk door de naties der wereld ertoe te leiden het proces te herhalen van het vormen van een beeld van het beest dat alle naties der wereld omvat.</w:t>
      </w:r>
    </w:p>
    <w:p>
      <w:pPr>
        <w:pStyle w:val="ArticleScripture"/>
        <w:jc w:val="left"/>
      </w:pPr>
      <w:r>
        <w:rPr>
          <w:rFonts w:ascii="Microsoft YaHei" w:hAnsi="Microsoft YaHei" w:eastAsia="Microsoft YaHei" w:cs="Microsoft YaHei"/>
        </w:rPr>
        <w:t>「當以法令強制設立教皇權、違犯上帝律法之時</w:t>
      </w:r>
      <w:r>
        <w:rPr>
          <w:rFonts w:ascii="Times New Roman" w:hAnsi="Times New Roman" w:eastAsia="Times New Roman" w:cs="Times New Roman"/>
        </w:rPr>
        <w:t>,</w:t>
      </w:r>
      <w:r>
        <w:rPr>
          <w:rFonts w:ascii="Microsoft YaHei" w:hAnsi="Microsoft YaHei" w:eastAsia="Microsoft YaHei" w:cs="Microsoft YaHei"/>
        </w:rPr>
        <w:t>我國便要使自己完全與公義隔絕</w:t>
      </w:r>
      <w:r>
        <w:rPr>
          <w:rFonts w:ascii="Times New Roman" w:hAnsi="Times New Roman" w:eastAsia="Times New Roman" w:cs="Times New Roman"/>
        </w:rPr>
        <w:t>.</w:t>
      </w:r>
      <w:r>
        <w:rPr>
          <w:rFonts w:ascii="Microsoft YaHei" w:hAnsi="Microsoft YaHei" w:eastAsia="Microsoft YaHei" w:cs="Microsoft YaHei"/>
        </w:rPr>
        <w:t>當更正教伸手越過鴻溝</w:t>
      </w:r>
      <w:r>
        <w:rPr>
          <w:rFonts w:ascii="Times New Roman" w:hAnsi="Times New Roman" w:eastAsia="Times New Roman" w:cs="Times New Roman"/>
        </w:rPr>
        <w:t>,</w:t>
      </w:r>
      <w:r>
        <w:rPr>
          <w:rFonts w:ascii="Microsoft YaHei" w:hAnsi="Microsoft YaHei" w:eastAsia="Microsoft YaHei" w:cs="Microsoft YaHei"/>
        </w:rPr>
        <w:t>去握羅馬權勢之手</w:t>
      </w:r>
      <w:r>
        <w:rPr>
          <w:rFonts w:ascii="Times New Roman" w:hAnsi="Times New Roman" w:eastAsia="Times New Roman" w:cs="Times New Roman"/>
        </w:rPr>
        <w:t>;</w:t>
      </w:r>
      <w:r>
        <w:rPr>
          <w:rFonts w:ascii="Microsoft YaHei" w:hAnsi="Microsoft YaHei" w:eastAsia="Microsoft YaHei" w:cs="Microsoft YaHei"/>
        </w:rPr>
        <w:t>當她越過深淵</w:t>
      </w:r>
      <w:r>
        <w:rPr>
          <w:rFonts w:ascii="Times New Roman" w:hAnsi="Times New Roman" w:eastAsia="Times New Roman" w:cs="Times New Roman"/>
        </w:rPr>
        <w:t>,</w:t>
      </w:r>
      <w:r>
        <w:rPr>
          <w:rFonts w:ascii="Microsoft YaHei" w:hAnsi="Microsoft YaHei" w:eastAsia="Microsoft YaHei" w:cs="Microsoft YaHei"/>
        </w:rPr>
        <w:t>與招魂術攜手</w:t>
      </w:r>
      <w:r>
        <w:rPr>
          <w:rFonts w:ascii="Times New Roman" w:hAnsi="Times New Roman" w:eastAsia="Times New Roman" w:cs="Times New Roman"/>
        </w:rPr>
        <w:t>;</w:t>
      </w:r>
      <w:r>
        <w:rPr>
          <w:rFonts w:ascii="Microsoft YaHei" w:hAnsi="Microsoft YaHei" w:eastAsia="Microsoft YaHei" w:cs="Microsoft YaHei"/>
        </w:rPr>
        <w:t>當在這三重聯合的影響之下</w:t>
      </w:r>
      <w:r>
        <w:rPr>
          <w:rFonts w:ascii="Times New Roman" w:hAnsi="Times New Roman" w:eastAsia="Times New Roman" w:cs="Times New Roman"/>
        </w:rPr>
        <w:t>,</w:t>
      </w:r>
      <w:r>
        <w:rPr>
          <w:rFonts w:ascii="Microsoft YaHei" w:hAnsi="Microsoft YaHei" w:eastAsia="Microsoft YaHei" w:cs="Microsoft YaHei"/>
        </w:rPr>
        <w:t>我國將否棄其作為一個更正教並共和政體之政府的憲法上一切原則</w:t>
      </w:r>
      <w:r>
        <w:rPr>
          <w:rFonts w:ascii="Times New Roman" w:hAnsi="Times New Roman" w:eastAsia="Times New Roman" w:cs="Times New Roman"/>
        </w:rPr>
        <w:t>,</w:t>
      </w:r>
      <w:r>
        <w:rPr>
          <w:rFonts w:ascii="Microsoft YaHei" w:hAnsi="Microsoft YaHei" w:eastAsia="Microsoft YaHei" w:cs="Microsoft YaHei"/>
        </w:rPr>
        <w:t>並為宣揚教皇制度的虛謊與迷惑預作安排之時</w:t>
      </w:r>
      <w:r>
        <w:rPr>
          <w:rFonts w:ascii="Times New Roman" w:hAnsi="Times New Roman" w:eastAsia="Times New Roman" w:cs="Times New Roman"/>
        </w:rPr>
        <w:t>,</w:t>
      </w:r>
      <w:r>
        <w:rPr>
          <w:rFonts w:ascii="Microsoft YaHei" w:hAnsi="Microsoft YaHei" w:eastAsia="Microsoft YaHei" w:cs="Microsoft YaHei"/>
        </w:rPr>
        <w:t>那時我們便可知道</w:t>
      </w:r>
      <w:r>
        <w:rPr>
          <w:rFonts w:ascii="Times New Roman" w:hAnsi="Times New Roman" w:eastAsia="Times New Roman" w:cs="Times New Roman"/>
        </w:rPr>
        <w:t>,</w:t>
      </w:r>
      <w:r>
        <w:rPr>
          <w:rFonts w:ascii="Microsoft YaHei" w:hAnsi="Microsoft YaHei" w:eastAsia="Microsoft YaHei" w:cs="Microsoft YaHei"/>
        </w:rPr>
        <w:t>撒但奇異作工的時候已經來到</w:t>
      </w:r>
      <w:r>
        <w:rPr>
          <w:rFonts w:ascii="Times New Roman" w:hAnsi="Times New Roman" w:eastAsia="Times New Roman" w:cs="Times New Roman"/>
        </w:rPr>
        <w:t>,</w:t>
      </w:r>
      <w:r>
        <w:rPr>
          <w:rFonts w:ascii="Microsoft YaHei" w:hAnsi="Microsoft YaHei" w:eastAsia="Microsoft YaHei" w:cs="Microsoft YaHei"/>
        </w:rPr>
        <w:t>而末日近了</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證言</w:t>
      </w:r>
      <w:r>
        <w:rPr>
          <w:rFonts w:ascii="Times New Roman" w:hAnsi="Times New Roman" w:eastAsia="Times New Roman" w:cs="Times New Roman"/>
        </w:rPr>
        <w:t>»</w:t>
      </w:r>
      <w:r>
        <w:rPr>
          <w:rFonts w:ascii="Microsoft YaHei" w:hAnsi="Microsoft YaHei" w:eastAsia="Microsoft YaHei" w:cs="Microsoft YaHei"/>
        </w:rPr>
        <w:t>卷五</w:t>
      </w:r>
      <w:r>
        <w:rPr>
          <w:rFonts w:ascii="Times New Roman" w:hAnsi="Times New Roman" w:eastAsia="Times New Roman" w:cs="Times New Roman"/>
        </w:rPr>
        <w:t>,451</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Au moment de la loi dominicale qui sera bientôt promulguée aux États-Unis, Satan, en coopération avec les États-Unis, contraindra toutes les nations à suivre l’exemple des États-Unis en établissant un système d’Église et d’État et en imposant l’adoration du dimanche.</w:t>
      </w:r>
    </w:p>
    <w:p>
      <w:pPr>
        <w:pStyle w:val="ArticleScripture"/>
        <w:jc w:val="left"/>
      </w:pPr>
      <w:r>
        <w:rPr>
          <w:rFonts w:ascii="Times New Roman" w:hAnsi="Times New Roman" w:eastAsia="Times New Roman" w:cs="Times New Roman"/>
        </w:rPr>
        <w:t>“Satani atafanya miujiza ili kuwadanganya wakaao juu ya nchi. Uroho wa kuwasiliana na roho za wafu utafanya kazi yake kwa kusababisha wafu kuigwa. Makanisa yale ya kidini yanayokataa kusikia ujumbe wa Mungu wa onyo yatakuwa chini ya udanganyifu mkuu, nayo yataungana na mamlaka ya kiraia ili kuwatesa watakatifu. Makanisa ya Kiprotestanti yataungana na mamlaka ya upapa katika kuwatesa watu wa Mungu wazishikao amri. Hiyo ndiyo nguvu ile inayounda mfumo mkuu wa mateso ambao utatumia udhalimu wa kiroho juu ya dhamiri za wanadamu. ”</w:t>
      </w:r>
    </w:p>
    <w:p>
      <w:pPr>
        <w:pStyle w:val="ArticleScripture"/>
        <w:jc w:val="left"/>
      </w:pPr>
      <w:r>
        <w:rPr>
          <w:rFonts w:ascii="Times New Roman" w:hAnsi="Times New Roman" w:eastAsia="Times New Roman" w:cs="Times New Roman"/>
        </w:rPr>
        <w:t>«Тэрбээр хурганы адил хоёр эвэртэй байсан бөгөөд луу шиг ярьж байв». Бурханы Хурганы дагалдагчид хэмээн өөрсдийгөө тунхагладаг атлаа хүмүүс луугийн сүнсээр нэвчдэг. Тэд өөрсдийгөө даруу төлөв, номхон хүлцэнгүй хэмээн тунхагладаг боловч Сатаны сүнсээр ярьж, хууль тогтоодог бөгөөд үйлсээрээ өөрсдийнх нь тунхагладаг зүйлд эсрэг болохоо харуулдаг. Хурга мэт энэ хүч Бурханы тушаалуудыг сахиж, Есүс Христийн гэрчлэлийг эзэмшигчдийн эсрэг дайн хийхдээ луутай нэгддэг. Сатан ч мөн протестантууд болон папынхны хамт нэгдэж, тэдэнтэй сүлбэлдэн энэ ертөнцийн бурхан мэт үйлдэж, хүмүүсийг өөрийн хаанчлалын харьяат мэтээр захиран зааварлаж, өөрийн хүссэнээр харьцаж, жолоодож, хянадаг.</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कैद</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परिषदों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दण्डित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धनवान</w:t>
      </w:r>
      <w:r>
        <w:rPr>
          <w:rFonts w:ascii="Times New Roman" w:hAnsi="Times New Roman" w:eastAsia="Times New Roman" w:cs="Times New Roman"/>
        </w:rPr>
        <w:t>-</w:t>
      </w:r>
      <w:r>
        <w:rPr>
          <w:rFonts w:ascii="Nirmala UI" w:hAnsi="Nirmala UI" w:eastAsia="Nirmala UI" w:cs="Nirmala UI"/>
        </w:rPr>
        <w:t>निर्धन</w:t>
      </w:r>
      <w:r>
        <w:rPr>
          <w:rFonts w:ascii="Times New Roman" w:hAnsi="Times New Roman" w:eastAsia="Times New Roman" w:cs="Times New Roman"/>
        </w:rPr>
        <w:t xml:space="preserve">, </w:t>
      </w:r>
      <w:r>
        <w:rPr>
          <w:rFonts w:ascii="Nirmala UI" w:hAnsi="Nirmala UI" w:eastAsia="Nirmala UI" w:cs="Nirmala UI"/>
        </w:rPr>
        <w:t>स्वतंत्र</w:t>
      </w:r>
      <w:r>
        <w:rPr>
          <w:rFonts w:ascii="Times New Roman" w:hAnsi="Times New Roman" w:eastAsia="Times New Roman" w:cs="Times New Roman"/>
        </w:rPr>
        <w:t>-</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प्रकाशितवाक्य</w:t>
      </w:r>
      <w:r>
        <w:rPr>
          <w:rFonts w:ascii="Times New Roman" w:hAnsi="Times New Roman" w:eastAsia="Times New Roman" w:cs="Times New Roman"/>
        </w:rPr>
        <w:t xml:space="preserve"> 13:16]</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डालने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मरवा</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w:t>
      </w:r>
      <w:r>
        <w:rPr>
          <w:rFonts w:ascii="Nirmala UI" w:hAnsi="Nirmala UI" w:eastAsia="Nirmala UI" w:cs="Nirmala UI"/>
        </w:rPr>
        <w:t>पद</w:t>
      </w:r>
      <w:r>
        <w:rPr>
          <w:rFonts w:ascii="Times New Roman" w:hAnsi="Times New Roman" w:eastAsia="Times New Roman" w:cs="Times New Roman"/>
        </w:rPr>
        <w:t xml:space="preserve"> 15]</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Manuscript Releases, volume 14, 162.</w:t>
      </w:r>
    </w:p>
    <w:p>
      <w:pPr>
        <w:pStyle w:val="ArticleBody"/>
        <w:jc w:val="left"/>
      </w:pPr>
      <w:r>
        <w:rPr>
          <w:rFonts w:ascii="Times New Roman" w:hAnsi="Times New Roman" w:eastAsia="Times New Roman" w:cs="Times New Roman"/>
        </w:rPr>
        <w:t>Puissance papale la se bête, les Nations Unies la se dragon, et les États-Unis la se faux prophète. Ceux qui deviennent confus quant au sens de l’antichrist, qui est à la fois Satan et le représentant terrestre de Satan, le pape de Rome, finiront par se ranger du côté de l’antichrist.</w:t>
      </w:r>
    </w:p>
    <w:p>
      <w:pPr>
        <w:pStyle w:val="ArticleBody"/>
        <w:jc w:val="left"/>
      </w:pPr>
      <w:r>
        <w:rPr>
          <w:rFonts w:ascii="Times New Roman" w:hAnsi="Times New Roman" w:eastAsia="Times New Roman" w:cs="Times New Roman"/>
        </w:rPr>
        <w:t>Leta Zunze Ubumwe za Amerika si zo muntu w’icyaha. Muntu w’icyaha ni antikristo, kandi ni we uhagarariye Satani ku isi. Guhuriza hamwe ububasha bushyira ubupapa ku ntebe y’ubutegetsi bw’isi n’ubupapa ubwabwo, Pawulo abigaragaza nk’ikimenyetso cy’uko umuntu adakunda ukuri. Kwanga isano y’ubuhanuzi y’i Roma ya gipagani yabuzaga ububasha bwa gipapa, kugeza igihe i Roma ya gipagani yakurwagaho, kugira ngo ububasha bwa gipapa buboneke, nk’uko biteganywa muri 2 Abatesalonike igice cya kabiri, ni ukwanga isukwa rya Mwuka Wera no kwemera isukwa ry’umwuka utari uwera, Pawulo yita ubushukanyi bukomeye. Ibyo bivuzwe, buri umwe mu bahanuzi ba kera yavuze mu buryo bwerekeye iminsi y’imperuka kurusha iminsi babayemo.</w:t>
      </w:r>
    </w:p>
    <w:p>
      <w:pPr>
        <w:pStyle w:val="ArticleScripture"/>
        <w:jc w:val="left"/>
      </w:pPr>
      <w:r>
        <w:rPr>
          <w:rFonts w:ascii="Times New Roman" w:hAnsi="Times New Roman" w:eastAsia="Times New Roman" w:cs="Times New Roman"/>
        </w:rPr>
        <w:t>“Setiap nabi zaman purba berbicara kurang untuk zaman mereka sendiri daripada untuk zaman kita, sehingga nubuat mereka berlaku bagi kita. ‘Semuanya ini telah menimpa mereka sebagai contoh, dan dituliskan untuk menjadi peringatan bagi kita, yang hidup pada waktu, di mana zaman akhir telah tiba.’ 1 Korintus 10:11. ‘Sebab kepada mereka telah dinyatakan, bahwa mereka bukan melayani diri mereka sendiri, tetapi melayani kamu dengan segala sesuatu yang kini diberitakan kepada kamu oleh mereka, yang telah menyampaikan Injil kepada kamu oleh Roh Kudus, yang diutus dari sorga; yaitu hal-hal yang ingin diketahui oleh malaikat-malaikat.’ 1 Petrus 1:12....”</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ព្រះគម្ពីរបានប្រមូលផ្ដុំ</w:t>
      </w:r>
      <w:r>
        <w:rPr>
          <w:rFonts w:ascii="Times New Roman" w:hAnsi="Times New Roman" w:eastAsia="Times New Roman" w:cs="Times New Roman"/>
        </w:rPr>
        <w:t xml:space="preserve"> </w:t>
      </w:r>
      <w:r>
        <w:rPr>
          <w:rFonts w:ascii="Leelawadee UI" w:hAnsi="Leelawadee UI" w:eastAsia="Leelawadee UI" w:cs="Leelawadee UI"/>
        </w:rPr>
        <w:t>និងបានចងរួមទុក</w:t>
      </w:r>
      <w:r>
        <w:rPr>
          <w:rFonts w:ascii="Times New Roman" w:hAnsi="Times New Roman" w:eastAsia="Times New Roman" w:cs="Times New Roman"/>
        </w:rPr>
        <w:t xml:space="preserve"> </w:t>
      </w:r>
      <w:r>
        <w:rPr>
          <w:rFonts w:ascii="Leelawadee UI" w:hAnsi="Leelawadee UI" w:eastAsia="Leelawadee UI" w:cs="Leelawadee UI"/>
        </w:rPr>
        <w:t>នូវទ្រព្យសម្បត្តិរបស់វាសម្រាប់ជំនាន់ចុងក្រោយនេះ។</w:t>
      </w:r>
      <w:r>
        <w:rPr>
          <w:rFonts w:ascii="Times New Roman" w:hAnsi="Times New Roman" w:eastAsia="Times New Roman" w:cs="Times New Roman"/>
        </w:rPr>
        <w:t xml:space="preserve"> </w:t>
      </w:r>
      <w:r>
        <w:rPr>
          <w:rFonts w:ascii="Leelawadee UI" w:hAnsi="Leelawadee UI" w:eastAsia="Leelawadee UI" w:cs="Leelawadee UI"/>
        </w:rPr>
        <w:t>ព្រឹត្តិការណ៍ដ៏ធំទាំងអស់</w:t>
      </w:r>
      <w:r>
        <w:rPr>
          <w:rFonts w:ascii="Times New Roman" w:hAnsi="Times New Roman" w:eastAsia="Times New Roman" w:cs="Times New Roman"/>
        </w:rPr>
        <w:t xml:space="preserve"> </w:t>
      </w:r>
      <w:r>
        <w:rPr>
          <w:rFonts w:ascii="Leelawadee UI" w:hAnsi="Leelawadee UI" w:eastAsia="Leelawadee UI" w:cs="Leelawadee UI"/>
        </w:rPr>
        <w:t>និងកិច្ចប្រតិបត្តិការដ៏ឧឡារិកទាំងប៉ុន្មាននៃប្រវត្តិសាស្ត្រព្រះគម្ពីរសញ្ញាចាស់</w:t>
      </w:r>
      <w:r>
        <w:rPr>
          <w:rFonts w:ascii="Times New Roman" w:hAnsi="Times New Roman" w:eastAsia="Times New Roman" w:cs="Times New Roman"/>
        </w:rPr>
        <w:t xml:space="preserve"> </w:t>
      </w:r>
      <w:r>
        <w:rPr>
          <w:rFonts w:ascii="Leelawadee UI" w:hAnsi="Leelawadee UI" w:eastAsia="Leelawadee UI" w:cs="Leelawadee UI"/>
        </w:rPr>
        <w:t>បានកំពុងកើតឡើងម្ដងទៀត</w:t>
      </w:r>
      <w:r>
        <w:rPr>
          <w:rFonts w:ascii="Times New Roman" w:hAnsi="Times New Roman" w:eastAsia="Times New Roman" w:cs="Times New Roman"/>
        </w:rPr>
        <w:t xml:space="preserve"> </w:t>
      </w:r>
      <w:r>
        <w:rPr>
          <w:rFonts w:ascii="Leelawadee UI" w:hAnsi="Leelawadee UI" w:eastAsia="Leelawadee UI" w:cs="Leelawadee UI"/>
        </w:rPr>
        <w:t>ហើយកំពុងកើតឡើងម្ដងទៀត</w:t>
      </w:r>
      <w:r>
        <w:rPr>
          <w:rFonts w:ascii="Times New Roman" w:hAnsi="Times New Roman" w:eastAsia="Times New Roman" w:cs="Times New Roman"/>
        </w:rPr>
        <w:t xml:space="preserve"> </w:t>
      </w:r>
      <w:r>
        <w:rPr>
          <w:rFonts w:ascii="Leelawadee UI" w:hAnsi="Leelawadee UI" w:eastAsia="Leelawadee UI" w:cs="Leelawadee UI"/>
        </w:rPr>
        <w:t>នៅក្នុងក្រុមជំនុំនៅថ្ងៃចុងក្រោយទាំងនេះ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Selected Messages, book 3, 338, 339.</w:t>
      </w:r>
    </w:p>
    <w:p>
      <w:pPr>
        <w:pStyle w:val="ArticleBody"/>
        <w:jc w:val="left"/>
      </w:pPr>
      <w:r>
        <w:rPr>
          <w:rFonts w:ascii="Times New Roman" w:hAnsi="Times New Roman" w:eastAsia="Times New Roman" w:cs="Times New Roman"/>
        </w:rPr>
        <w:t>Rome païenne et l’homme du péché de 2 Thessaloniciens représentent les États-Unis et la Rome papale des derniers jours. Mal comprendre cette vérité, c’est démontrer, entre autres, que même si une personne prétend fonder son interprétation privée sur le principe du « type et de l’antitype », elle ne comprend en réalité ni le « type » ni l’« antitype ». Les États-Unis ont été préfigurés par plusieurs puissances dans l’histoire sacrée. Toute puissance à deux cornes représente les États-Unis dans les derniers jours, qu’il s’agisse des royaumes du nord et du sud d’Israël, de l’Empire médo-perse, ou de la France athée représentée par Sodome et l’Égypte.</w:t>
      </w:r>
    </w:p>
    <w:p>
      <w:pPr>
        <w:pStyle w:val="ArticleBody"/>
        <w:jc w:val="left"/>
      </w:pPr>
      <w:r>
        <w:rPr>
          <w:rFonts w:ascii="Times New Roman" w:hAnsi="Times New Roman" w:eastAsia="Times New Roman" w:cs="Times New Roman"/>
        </w:rPr>
        <w:t>ئەو ماوەیەی کە ئەمریکای یەکگرتوو وێنەیەک بۆ ئاژەڵەکە و لە ئاژەڵەکە دروست دەکات، لە ئاسن و گڵی دانیال دوودا نمونەکراوە؛ هەروەها لە شاخۆڵە بچووکەکەی دانیال هەشتدا کە وەک نێر و مێ دەردەکەوێت، و لە پێغەمبەرانی بەعل و کاهینانی دارستان لە شایەتیی ئیلیا لەسەر چیای کارمەڵ. سالۆمە لە شایەتیی ئاهەنگی لەدایکبوونی سەرخۆشانەی هیرۆددا ئەمریکای یەکگرتوو نمونە دەکات. پەرگامۆس ئەمریکای یەکگرتوو نمونە دەکات و ئەو سازشە دیاری دەکات کە دەبات بۆ سەعاتیرا، کە هێزی پاپایەتیی ڕۆژانی دوا نمونە دەکات.</w:t>
      </w:r>
    </w:p>
    <w:p>
      <w:pPr>
        <w:pStyle w:val="ArticleBody"/>
        <w:jc w:val="left"/>
      </w:pPr>
      <w:r>
        <w:rPr>
          <w:rFonts w:ascii="Times New Roman" w:hAnsi="Times New Roman" w:eastAsia="Times New Roman" w:cs="Times New Roman"/>
        </w:rPr>
        <w:t>Clovis, roi des Francs en 496, est une figure typologique des États-Unis à l’époque de Ronald Reagan. Justinien, en 533, représente Donald Trump avant la loi du dimanche. Dans chacune de ces typifications, les États-Unis représentent la puissance qui s’incline en soumission devant le pouvoir papal des derniers jours. La puissance qui s’incline en soumission est représentée comme rendant hommage à Rome. L’acte d’« hommage » comprend le fait de s’incliner devant le roi, qui est la tête.</w:t>
      </w:r>
    </w:p>
    <w:p>
      <w:pPr>
        <w:pStyle w:val="ArticleScripture"/>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प्रदर्शन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सर्वोच्चता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स्वीकृति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श्रद्धांजलि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अकेला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पुनर्स्थापना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पूर्वकथन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घात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प्राणघातक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अच्छा</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अचम्भा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3</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प्राणघातक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"Amidaxaa kanatti, jechuun raajichi, ‘madaan isaa inni nama ajjeesu fayye; guutuun biyya lafaa immoo bineensicha duukaa dinqisiifate.’ Phaawuloos ifatti akka ibsutti, ‘namichi cubbuu’ hanga dhufaatii lammaffaa tura. 2 Tasalonqee 2:3-8. Inni hanga dhuma yeroootti hojii gowwoomsaa sana fuulduratti ni adeemsisa. Mul’ataanis, papasummaa akkasumas irratti akeekaa, akkana jedha: ‘Warri lafa irra jiraatan hundinuu isa ni waaqeffatu; isaan maqaan isaanii kitaaba jireenyaa keessatti hin barreeffamne.’ Mul’ata 13:8. Addunyaa Moofaa fi Addunyaa Haaraa keessatti, papasummaan kabaja dhaabbata Dilbataa sanaaf kennamu keessatti ulfina ni argata; dhaabbanni sun immoo aangoo Waldaa Roomaa qofa irratti hundaa’a." The Great Controversy, 578.</w:t>
      </w:r>
    </w:p>
    <w:p>
      <w:pPr>
        <w:pStyle w:val="ArticleBody"/>
        <w:jc w:val="left"/>
      </w:pPr>
      <w:r>
        <w:rPr>
          <w:rFonts w:ascii="Times New Roman" w:hAnsi="Times New Roman" w:eastAsia="Times New Roman" w:cs="Times New Roman"/>
        </w:rPr>
        <w:t>La dernière phrase apporte une preuve supplémentaire que Sœur White comprenait l’expression « ancien monde » comme désignant l’Europe, et le « nouveau monde » comme désignant les Amériques. Cela étant, les États-Unis rendent hommage à la puissance papale et contraignent le reste du monde à faire de même. Cela identifie les États-Unis comme étant soumis aux directives de la puissance papale. L’identification par Ésaïe et l’insistance qu’il met sur la compréhension de la « tête » afin d’être affermis trouvent leur dessein divin en ce que le symbole de la « tête » devient une clé pour comprendre la ligne externe de la prophétie, ainsi que la ligne interne de la prophétie.</w:t>
      </w:r>
    </w:p>
    <w:p>
      <w:pPr>
        <w:pStyle w:val="ArticleScripture"/>
        <w:jc w:val="left"/>
      </w:pP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दमिश्क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दमिश्क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रज़ीन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एप्रैम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एप्रैम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सामरिया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रमल्याह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ठहरोगे।</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7:8, 9</w:t>
      </w:r>
      <w:r>
        <w:rPr>
          <w:rFonts w:ascii="Nirmala UI" w:hAnsi="Nirmala UI" w:eastAsia="Nirmala UI" w:cs="Nirmala UI"/>
        </w:rPr>
        <w:t>।</w:t>
      </w:r>
    </w:p>
    <w:p>
      <w:pPr>
        <w:pStyle w:val="ArticleBody"/>
        <w:jc w:val="left"/>
      </w:pPr>
      <w:r>
        <w:rPr>
          <w:rFonts w:ascii="Times New Roman" w:hAnsi="Times New Roman" w:eastAsia="Times New Roman" w:cs="Times New Roman"/>
        </w:rPr>
        <w:t>En les derniers jours, époque où le témoignage de chaque prophète est en vigueur, les « ravisseurs de ton peuple » établissent la vision. Sur l’autorité de l’Esprit de prophétie, et en accord avec les vérités fondamentales de l’adventisme, telles qu’elles sont représentées sur les deux cartes sacrées d’Habacuc, les « ravisseurs » sont un symbole de Rome. Lorsque la Rome païenne s’inséra pour la première fois dans l’histoire en 200 av. J.-C., elle préfigura la Rome moderne des derniers jours. Cette vérité prophétique est ce qui établit la vision prophétique des derniers jours, et si vous refusez de voir que la « tête » de la Rome moderne est la puissance papale, alors assurément vous ne serez pas affermi.</w:t>
      </w:r>
    </w:p>
    <w:p>
      <w:pPr>
        <w:pStyle w:val="ArticleScripture"/>
        <w:jc w:val="left"/>
      </w:pPr>
      <w:r>
        <w:rPr>
          <w:rFonts w:ascii="Times New Roman" w:hAnsi="Times New Roman" w:eastAsia="Times New Roman" w:cs="Times New Roman"/>
        </w:rPr>
        <w:t>« Le monde est rempli de tempête, de guerre et de dissension. Pourtant, sous un seul chef — la puissance papale — les peuples s’uniront pour s’opposer à Dieu en la personne de Ses témoins. » Testimonies, volume 7, 182.</w:t>
      </w:r>
    </w:p>
    <w:p>
      <w:pPr>
        <w:pStyle w:val="ArticleBody"/>
        <w:jc w:val="left"/>
      </w:pPr>
      <w:r>
        <w:rPr>
          <w:rFonts w:ascii="Times New Roman" w:hAnsi="Times New Roman" w:eastAsia="Times New Roman" w:cs="Times New Roman"/>
        </w:rPr>
        <w:t>Si vous avez des oreilles pour entendre, alors vous pouvez comprendre qu’une défaillance majeure des Juifs à l’époque du Christ fut d’identifier « l’ombre » comme étant « la réalité ». Les Juifs, avant et après la croix, se fiaient aux figures de leur système de culte et rejetèrent l’Antitype. Ils soutenaient que « l’ombre » était « la réalité » et, ce faisant, ils ont laissé dans le récit inspiré un peuple des derniers jours qui identifiera lui aussi l’ombre comme étant la réalité.</w:t>
      </w:r>
    </w:p>
    <w:p>
      <w:pPr>
        <w:pStyle w:val="ArticleBody"/>
        <w:jc w:val="left"/>
      </w:pPr>
      <w:r>
        <w:rPr>
          <w:rFonts w:ascii="Times New Roman" w:hAnsi="Times New Roman" w:eastAsia="Times New Roman" w:cs="Times New Roman"/>
        </w:rPr>
        <w:t>Lorsque les États-Unis formeront une image de la bête, ils formeront une ombre de la bête. Ils formeront une ombre de la substance, car une image est une préfiguration typologique. Identifier les États-Unis, lorsqu’ils formeront l’image de la bête, comme le symbole de la Rome moderne, c’est établir un parallèle avec le rejet et la crucifixion, par l’ancien Israël, du grand Antitype.</w:t>
      </w:r>
    </w:p>
    <w:p>
      <w:pPr>
        <w:pStyle w:val="ArticleBody"/>
        <w:jc w:val="left"/>
      </w:pPr>
      <w:r>
        <w:rPr>
          <w:rFonts w:ascii="Times New Roman" w:hAnsi="Times New Roman" w:eastAsia="Times New Roman" w:cs="Times New Roman"/>
        </w:rPr>
        <w:t>Les partisans de l’opinion erronée selon laquelle les États-Unis sont « les ravisseurs de ton peuple » parlent abondamment de leur recours au type et à l’antitype, et ils identifient souvent les États-Unis à l’image de la bête, pensant d’une manière ou d’une autre que le fait d’identifier les États-Unis à l’image de la bête prouve en quelque façon que les États-Unis sont « les ravisseurs ». S’ils se laissaient véritablement gouverner par les principes fondamentaux du « type et antitype », ils verraient rapidement que le rôle prophétique des États-Unis, maintes fois préfiguré dans la Parole de Dieu, désigne les États-Unis comme la puissance soumise à l’autorité papale. Ils verraient que, sans la bête comme point de référence, il est absurde d’identifier une image de la bête qui n’existait pas. La seule chose qui puisse définir l’image de la bête, c’est la bête elle-même, car c’est la puissance papale qui établit l’image dans la vision du miroir.</w:t>
      </w:r>
    </w:p>
    <w:p>
      <w:pPr>
        <w:pStyle w:val="ArticleBody"/>
        <w:jc w:val="left"/>
      </w:pP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ምስሊ</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ኣራዊት</w:t>
      </w:r>
      <w:r>
        <w:rPr>
          <w:rFonts w:ascii="Times New Roman" w:hAnsi="Times New Roman" w:eastAsia="Times New Roman" w:cs="Times New Roman"/>
        </w:rPr>
        <w:t xml:space="preserve"> </w:t>
      </w:r>
      <w:r>
        <w:rPr>
          <w:rFonts w:ascii="Ebrima" w:hAnsi="Ebrima" w:eastAsia="Ebrima" w:cs="Ebrima"/>
        </w:rPr>
        <w:t>ትፈጥር</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ዝመጣጠን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ቀርኒ</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ፕሮቴስታንቲዝም</w:t>
      </w:r>
      <w:r>
        <w:rPr>
          <w:rFonts w:ascii="Times New Roman" w:hAnsi="Times New Roman" w:eastAsia="Times New Roman" w:cs="Times New Roman"/>
        </w:rPr>
        <w:t xml:space="preserve"> </w:t>
      </w:r>
      <w:r>
        <w:rPr>
          <w:rFonts w:ascii="Ebrima" w:hAnsi="Ebrima" w:eastAsia="Ebrima" w:cs="Ebrima"/>
        </w:rPr>
        <w:t>ምስሊ</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ክፈጥር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ምፍጣር</w:t>
      </w:r>
      <w:r>
        <w:rPr>
          <w:rFonts w:ascii="Times New Roman" w:hAnsi="Times New Roman" w:eastAsia="Times New Roman" w:cs="Times New Roman"/>
        </w:rPr>
        <w:t xml:space="preserve"> </w:t>
      </w:r>
      <w:r>
        <w:rPr>
          <w:rFonts w:ascii="Ebrima" w:hAnsi="Ebrima" w:eastAsia="Ebrima" w:cs="Ebrima"/>
        </w:rPr>
        <w:t>ብፍሉይ</w:t>
      </w:r>
      <w:r>
        <w:rPr>
          <w:rFonts w:ascii="Times New Roman" w:hAnsi="Times New Roman" w:eastAsia="Times New Roman" w:cs="Times New Roman"/>
        </w:rPr>
        <w:t xml:space="preserve"> </w:t>
      </w:r>
      <w:r>
        <w:rPr>
          <w:rFonts w:ascii="Ebrima" w:hAnsi="Ebrima" w:eastAsia="Ebrima" w:cs="Ebrima"/>
        </w:rPr>
        <w:t>ብዳንኤል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ይፍለጥ፣</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“marah”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ይርኢ፣</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“looking glass”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ንክርስቶስ</w:t>
      </w:r>
      <w:r>
        <w:rPr>
          <w:rFonts w:ascii="Times New Roman" w:hAnsi="Times New Roman" w:eastAsia="Times New Roman" w:cs="Times New Roman"/>
        </w:rPr>
        <w:t xml:space="preserve"> </w:t>
      </w:r>
      <w:r>
        <w:rPr>
          <w:rFonts w:ascii="Ebrima" w:hAnsi="Ebrima" w:eastAsia="Ebrima" w:cs="Ebrima"/>
        </w:rPr>
        <w:t>ዝርእዩ</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እናዚ</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ዚገብሩ</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የንጸባርቑ።</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ንዳንኤል</w:t>
      </w:r>
      <w:r>
        <w:rPr>
          <w:rFonts w:ascii="Times New Roman" w:hAnsi="Times New Roman" w:eastAsia="Times New Roman" w:cs="Times New Roman"/>
        </w:rPr>
        <w:t xml:space="preserve"> </w:t>
      </w:r>
      <w:r>
        <w:rPr>
          <w:rFonts w:ascii="Ebrima" w:hAnsi="Ebrima" w:eastAsia="Ebrima" w:cs="Ebrima"/>
        </w:rPr>
        <w:t>እንተዘይቀረበሉ፣</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ከንጸባርቕ</w:t>
      </w:r>
      <w:r>
        <w:rPr>
          <w:rFonts w:ascii="Times New Roman" w:hAnsi="Times New Roman" w:eastAsia="Times New Roman" w:cs="Times New Roman"/>
        </w:rPr>
        <w:t xml:space="preserve"> </w:t>
      </w:r>
      <w:r>
        <w:rPr>
          <w:rFonts w:ascii="Ebrima" w:hAnsi="Ebrima" w:eastAsia="Ebrima" w:cs="Ebrima"/>
        </w:rPr>
        <w:t>ኣይምኸኣለን</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ውሽጦም</w:t>
      </w:r>
      <w:r>
        <w:rPr>
          <w:rFonts w:ascii="Times New Roman" w:hAnsi="Times New Roman" w:eastAsia="Times New Roman" w:cs="Times New Roman"/>
        </w:rPr>
        <w:t xml:space="preserve"> </w:t>
      </w:r>
      <w:r>
        <w:rPr>
          <w:rFonts w:ascii="Ebrima" w:hAnsi="Ebrima" w:eastAsia="Ebrima" w:cs="Ebrima"/>
        </w:rPr>
        <w:t>ምስሊ</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ዝፈጥሩ</w:t>
      </w:r>
      <w:r>
        <w:rPr>
          <w:rFonts w:ascii="Times New Roman" w:hAnsi="Times New Roman" w:eastAsia="Times New Roman" w:cs="Times New Roman"/>
        </w:rPr>
        <w:t xml:space="preserve"> </w:t>
      </w:r>
      <w:r>
        <w:rPr>
          <w:rFonts w:ascii="Ebrima" w:hAnsi="Ebrima" w:eastAsia="Ebrima" w:cs="Ebrima"/>
        </w:rPr>
        <w:t>ብዳንኤል</w:t>
      </w:r>
      <w:r>
        <w:rPr>
          <w:rFonts w:ascii="Times New Roman" w:hAnsi="Times New Roman" w:eastAsia="Times New Roman" w:cs="Times New Roman"/>
        </w:rPr>
        <w:t xml:space="preserve"> </w:t>
      </w:r>
      <w:r>
        <w:rPr>
          <w:rFonts w:ascii="Ebrima" w:hAnsi="Ebrima" w:eastAsia="Ebrima" w:cs="Ebrima"/>
        </w:rPr>
        <w:t>ዝተወከሉ</w:t>
      </w:r>
      <w:r>
        <w:rPr>
          <w:rFonts w:ascii="Times New Roman" w:hAnsi="Times New Roman" w:eastAsia="Times New Roman" w:cs="Times New Roman"/>
        </w:rPr>
        <w:t xml:space="preserve"> </w:t>
      </w:r>
      <w:r>
        <w:rPr>
          <w:rFonts w:ascii="Ebrima" w:hAnsi="Ebrima" w:eastAsia="Ebrima" w:cs="Ebrima"/>
        </w:rPr>
        <w:t>ሚእቲን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ባህርዩ</w:t>
      </w:r>
      <w:r>
        <w:rPr>
          <w:rFonts w:ascii="Times New Roman" w:hAnsi="Times New Roman" w:eastAsia="Times New Roman" w:cs="Times New Roman"/>
        </w:rPr>
        <w:t xml:space="preserve"> </w:t>
      </w:r>
      <w:r>
        <w:rPr>
          <w:rFonts w:ascii="Ebrima" w:hAnsi="Ebrima" w:eastAsia="Ebrima" w:cs="Ebrima"/>
        </w:rPr>
        <w:t>ክርእዩ</w:t>
      </w:r>
      <w:r>
        <w:rPr>
          <w:rFonts w:ascii="Times New Roman" w:hAnsi="Times New Roman" w:eastAsia="Times New Roman" w:cs="Times New Roman"/>
        </w:rPr>
        <w:t xml:space="preserve"> </w:t>
      </w:r>
      <w:r>
        <w:rPr>
          <w:rFonts w:ascii="Ebrima" w:hAnsi="Ebrima" w:eastAsia="Ebrima" w:cs="Ebrima"/>
        </w:rPr>
        <w:t>ግድን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ብምርኣይ</w:t>
      </w:r>
      <w:r>
        <w:rPr>
          <w:rFonts w:ascii="Times New Roman" w:hAnsi="Times New Roman" w:eastAsia="Times New Roman" w:cs="Times New Roman"/>
        </w:rPr>
        <w:t xml:space="preserve"> </w:t>
      </w:r>
      <w:r>
        <w:rPr>
          <w:rFonts w:ascii="Ebrima" w:hAnsi="Ebrima" w:eastAsia="Ebrima" w:cs="Ebrima"/>
        </w:rPr>
        <w:t>ይልወጡ።</w:t>
      </w:r>
    </w:p>
    <w:p>
      <w:pPr>
        <w:pStyle w:val="ArticleScripture"/>
        <w:jc w:val="left"/>
      </w:pPr>
      <w:r>
        <w:rPr>
          <w:rFonts w:ascii="Times New Roman" w:hAnsi="Times New Roman" w:eastAsia="Times New Roman" w:cs="Times New Roman"/>
        </w:rPr>
        <w:t>Mais nous tous, le visage découvert, contemplant comme dans un miroir la gloire du Seigneur, nous sommes transformés en la même image, de gloire en gloire, comme par l’Esprit du Seigneur. 2 Corinthiens 3:18.</w:t>
      </w:r>
    </w:p>
    <w:p>
      <w:pPr>
        <w:pStyle w:val="ArticleBody"/>
        <w:jc w:val="left"/>
      </w:pPr>
      <w:r>
        <w:rPr>
          <w:rFonts w:ascii="Times New Roman" w:hAnsi="Times New Roman" w:eastAsia="Times New Roman" w:cs="Times New Roman"/>
        </w:rPr>
        <w:t>Kiebriešu definīcija “marah” parādībai, ko Daniēls redzēja desmitajā nodaļā, ir: “parādība; arī (cēloniskā nozīmē) spogulis: — raugāmais stikls, parādība.” Grieķu vārds, kas iepriekšējā pantā tulkots kā stikls, nozīmē raudzīties uz sevi kā spogulī, tas ir, redzēt atspoguļotu (pārnestā nozīmē): — redzēt kā spogulī.</w:t>
      </w:r>
    </w:p>
    <w:p>
      <w:pPr>
        <w:pStyle w:val="ArticleBody"/>
        <w:jc w:val="left"/>
      </w:pPr>
      <w:r>
        <w:rPr>
          <w:rFonts w:ascii="Times New Roman" w:hAnsi="Times New Roman" w:eastAsia="Times New Roman" w:cs="Times New Roman"/>
        </w:rPr>
        <w:t>Jakobus legt auch eine Wahrheitslinie dar, die mit dem Spiegel verbunden ist.</w:t>
      </w:r>
    </w:p>
    <w:p>
      <w:pPr>
        <w:pStyle w:val="ArticleScripture"/>
        <w:jc w:val="left"/>
      </w:pPr>
      <w:r>
        <w:rPr>
          <w:rFonts w:ascii="Times New Roman" w:hAnsi="Times New Roman" w:eastAsia="Times New Roman" w:cs="Times New Roman"/>
        </w:rPr>
        <w:t>Car si quelqu’un écoute la parole sans la mettre en pratique, il est semblable à un homme qui regarde dans un miroir son visage naturel; car, après s’être considéré lui-même, il s’en va, et aussitôt il oublie quel il était. Mais celui qui aura plongé les regards dans la loi parfaite, la loi de la liberté, et qui aura persévéré, n’étant pas un auditeur oublieux, mais se montrant par ses œuvres, celui-là sera heureux dans son activité. Jacques 1:23–25.</w:t>
      </w:r>
    </w:p>
    <w:p>
      <w:pPr>
        <w:pStyle w:val="ArticleBody"/>
        <w:jc w:val="left"/>
      </w:pPr>
      <w:r>
        <w:rPr>
          <w:rFonts w:ascii="Times New Roman" w:hAnsi="Times New Roman" w:eastAsia="Times New Roman" w:cs="Times New Roman"/>
        </w:rPr>
        <w:t>Dan nu ngi bëgg dëgg te, ci noonu, nuy jëfandikukat Kàddu gi, kon seetu bu nu xool mooy yoonu bu mat bi ci jàmm ak moom-sa-bopp; waaye su nu bëggul dëgg te, gannaaw loolu nu dem sunu bopp yoon, ni ña nekkoon ak Daniel ba ñu dawée, kon seetu boobu dafa doon rekk leeru sunu bopp.</w:t>
      </w:r>
    </w:p>
    <w:p>
      <w:pPr>
        <w:pStyle w:val="ArticleScripture"/>
        <w:jc w:val="left"/>
      </w:pPr>
      <w:r>
        <w:rPr>
          <w:rFonts w:ascii="Times New Roman" w:hAnsi="Times New Roman" w:eastAsia="Times New Roman" w:cs="Times New Roman"/>
        </w:rPr>
        <w:t>“Te sa lalwa Bondye-a i sa laglas ki prezant en refleksyon konplet lo sa zonm tel ki i ete, e ki met devan li sa bon resanblans. I annan ki pou detourn zot e oubliy sa portre, tandiske lezot pou servi lekspresyon denigran kont lalwa, konmsi sa ti ava geri zot bann fot dan karakter. Me lezot ankor ki lalwa i kondannen pou repantir zot bann transgresyon e, atraver lafwa dan merit Kris, zot pou parfere karakter Kretyen.” Faith and Works, 31.</w:t>
      </w:r>
    </w:p>
    <w:p>
      <w:pPr>
        <w:pStyle w:val="ArticleBody"/>
        <w:jc w:val="left"/>
      </w:pPr>
      <w:r>
        <w:rPr>
          <w:rFonts w:ascii="Times New Roman" w:hAnsi="Times New Roman" w:eastAsia="Times New Roman" w:cs="Times New Roman"/>
        </w:rPr>
        <w:t>Danyela dia tsy nahita ny tenany tao amin’ilay fahitana toy ny fitaratra; Kristy no hitany, Izay sary tonga lafatra maneho ny lalàna tanteraky ny fahafahana araka an’i Jakoba.</w:t>
      </w:r>
    </w:p>
    <w:p>
      <w:pPr>
        <w:pStyle w:val="ArticleScripture"/>
        <w:jc w:val="left"/>
      </w:pPr>
      <w:r>
        <w:rPr>
          <w:rFonts w:ascii="Times New Roman" w:hAnsi="Times New Roman" w:eastAsia="Times New Roman" w:cs="Times New Roman"/>
        </w:rPr>
        <w:t>« La vie du Christ sur la terre est un reflet parfait de la loi divine. En Lui se trouvent la vie, l’espérance et la lumière. Contemplez-Le, et vous serez transformés à la même ressemblance, de caractère en caractère. » Signs of the Times, 10 mai 1910.</w:t>
      </w:r>
    </w:p>
    <w:p>
      <w:pPr>
        <w:pStyle w:val="ArticleBody"/>
        <w:jc w:val="left"/>
      </w:pP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짐승을</w:t>
      </w:r>
      <w:r>
        <w:rPr>
          <w:rFonts w:ascii="Times New Roman" w:hAnsi="Times New Roman" w:eastAsia="Times New Roman" w:cs="Times New Roman"/>
        </w:rPr>
        <w:t xml:space="preserve"> </w:t>
      </w:r>
      <w:r>
        <w:rPr>
          <w:rFonts w:ascii="Malgun Gothic" w:hAnsi="Malgun Gothic" w:eastAsia="Malgun Gothic" w:cs="Malgun Gothic"/>
        </w:rPr>
        <w:t>반영하며</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우상의</w:t>
      </w:r>
      <w:r>
        <w:rPr>
          <w:rFonts w:ascii="Times New Roman" w:hAnsi="Times New Roman" w:eastAsia="Times New Roman" w:cs="Times New Roman"/>
        </w:rPr>
        <w:t xml:space="preserve"> </w:t>
      </w:r>
      <w:r>
        <w:rPr>
          <w:rFonts w:ascii="Malgun Gothic" w:hAnsi="Malgun Gothic" w:eastAsia="Malgun Gothic" w:cs="Malgun Gothic"/>
        </w:rPr>
        <w:t>형성은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시련이</w:t>
      </w:r>
      <w:r>
        <w:rPr>
          <w:rFonts w:ascii="Times New Roman" w:hAnsi="Times New Roman" w:eastAsia="Times New Roman" w:cs="Times New Roman"/>
        </w:rPr>
        <w:t xml:space="preserve"> </w:t>
      </w:r>
      <w:r>
        <w:rPr>
          <w:rFonts w:ascii="Malgun Gothic" w:hAnsi="Malgun Gothic" w:eastAsia="Malgun Gothic" w:cs="Malgun Gothic"/>
        </w:rPr>
        <w:t>되나니</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영원한</w:t>
      </w:r>
      <w:r>
        <w:rPr>
          <w:rFonts w:ascii="Times New Roman" w:hAnsi="Times New Roman" w:eastAsia="Times New Roman" w:cs="Times New Roman"/>
        </w:rPr>
        <w:t xml:space="preserve"> </w:t>
      </w:r>
      <w:r>
        <w:rPr>
          <w:rFonts w:ascii="Malgun Gothic" w:hAnsi="Malgun Gothic" w:eastAsia="Malgun Gothic" w:cs="Malgun Gothic"/>
        </w:rPr>
        <w:t>운명이</w:t>
      </w:r>
      <w:r>
        <w:rPr>
          <w:rFonts w:ascii="Times New Roman" w:hAnsi="Times New Roman" w:eastAsia="Times New Roman" w:cs="Times New Roman"/>
        </w:rPr>
        <w:t xml:space="preserve"> </w:t>
      </w:r>
      <w:r>
        <w:rPr>
          <w:rFonts w:ascii="Malgun Gothic" w:hAnsi="Malgun Gothic" w:eastAsia="Malgun Gothic" w:cs="Malgun Gothic"/>
        </w:rPr>
        <w:t>결정될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개신교</w:t>
      </w:r>
      <w:r>
        <w:rPr>
          <w:rFonts w:ascii="Times New Roman" w:hAnsi="Times New Roman" w:eastAsia="Times New Roman" w:cs="Times New Roman"/>
        </w:rPr>
        <w:t xml:space="preserve"> </w:t>
      </w:r>
      <w:r>
        <w:rPr>
          <w:rFonts w:ascii="Malgun Gothic" w:hAnsi="Malgun Gothic" w:eastAsia="Malgun Gothic" w:cs="Malgun Gothic"/>
        </w:rPr>
        <w:t>교회들이</w:t>
      </w:r>
      <w:r>
        <w:rPr>
          <w:rFonts w:ascii="Times New Roman" w:hAnsi="Times New Roman" w:eastAsia="Times New Roman" w:cs="Times New Roman"/>
        </w:rPr>
        <w:t xml:space="preserve"> </w:t>
      </w:r>
      <w:r>
        <w:rPr>
          <w:rFonts w:ascii="Malgun Gothic" w:hAnsi="Malgun Gothic" w:eastAsia="Malgun Gothic" w:cs="Malgun Gothic"/>
        </w:rPr>
        <w:t>미국</w:t>
      </w:r>
      <w:r>
        <w:rPr>
          <w:rFonts w:ascii="Times New Roman" w:hAnsi="Times New Roman" w:eastAsia="Times New Roman" w:cs="Times New Roman"/>
        </w:rPr>
        <w:t xml:space="preserve"> </w:t>
      </w:r>
      <w:r>
        <w:rPr>
          <w:rFonts w:ascii="Malgun Gothic" w:hAnsi="Malgun Gothic" w:eastAsia="Malgun Gothic" w:cs="Malgun Gothic"/>
        </w:rPr>
        <w:t>정부를</w:t>
      </w:r>
      <w:r>
        <w:rPr>
          <w:rFonts w:ascii="Times New Roman" w:hAnsi="Times New Roman" w:eastAsia="Times New Roman" w:cs="Times New Roman"/>
        </w:rPr>
        <w:t xml:space="preserve"> </w:t>
      </w:r>
      <w:r>
        <w:rPr>
          <w:rFonts w:ascii="Malgun Gothic" w:hAnsi="Malgun Gothic" w:eastAsia="Malgun Gothic" w:cs="Malgun Gothic"/>
        </w:rPr>
        <w:t>장악하게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교황권이</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사용해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정교</w:t>
      </w:r>
      <w:r>
        <w:rPr>
          <w:rFonts w:ascii="Times New Roman" w:hAnsi="Times New Roman" w:eastAsia="Times New Roman" w:cs="Times New Roman"/>
        </w:rPr>
        <w:t xml:space="preserve"> </w:t>
      </w:r>
      <w:r>
        <w:rPr>
          <w:rFonts w:ascii="Malgun Gothic" w:hAnsi="Malgun Gothic" w:eastAsia="Malgun Gothic" w:cs="Malgun Gothic"/>
        </w:rPr>
        <w:t>결합</w:t>
      </w:r>
      <w:r>
        <w:rPr>
          <w:rFonts w:ascii="Times New Roman" w:hAnsi="Times New Roman" w:eastAsia="Times New Roman" w:cs="Times New Roman"/>
        </w:rPr>
        <w:t xml:space="preserve"> </w:t>
      </w:r>
      <w:r>
        <w:rPr>
          <w:rFonts w:ascii="Malgun Gothic" w:hAnsi="Malgun Gothic" w:eastAsia="Malgun Gothic" w:cs="Malgun Gothic"/>
        </w:rPr>
        <w:t>제도의</w:t>
      </w:r>
      <w:r>
        <w:rPr>
          <w:rFonts w:ascii="Times New Roman" w:hAnsi="Times New Roman" w:eastAsia="Times New Roman" w:cs="Times New Roman"/>
        </w:rPr>
        <w:t xml:space="preserve"> </w:t>
      </w:r>
      <w:r>
        <w:rPr>
          <w:rFonts w:ascii="Malgun Gothic" w:hAnsi="Malgun Gothic" w:eastAsia="Malgun Gothic" w:cs="Malgun Gothic"/>
        </w:rPr>
        <w:t>형상을</w:t>
      </w:r>
      <w:r>
        <w:rPr>
          <w:rFonts w:ascii="Times New Roman" w:hAnsi="Times New Roman" w:eastAsia="Times New Roman" w:cs="Times New Roman"/>
        </w:rPr>
        <w:t xml:space="preserve"> </w:t>
      </w:r>
      <w:r>
        <w:rPr>
          <w:rFonts w:ascii="Malgun Gothic" w:hAnsi="Malgun Gothic" w:eastAsia="Malgun Gothic" w:cs="Malgun Gothic"/>
        </w:rPr>
        <w:t>이루게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시기에</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형상이</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이루어질</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다니엘과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이상을</w:t>
      </w:r>
      <w:r>
        <w:rPr>
          <w:rFonts w:ascii="Times New Roman" w:hAnsi="Times New Roman" w:eastAsia="Times New Roman" w:cs="Times New Roman"/>
        </w:rPr>
        <w:t xml:space="preserve"> </w:t>
      </w:r>
      <w:r>
        <w:rPr>
          <w:rFonts w:ascii="Malgun Gothic" w:hAnsi="Malgun Gothic" w:eastAsia="Malgun Gothic" w:cs="Malgun Gothic"/>
        </w:rPr>
        <w:t>보지</w:t>
      </w:r>
      <w:r>
        <w:rPr>
          <w:rFonts w:ascii="Times New Roman" w:hAnsi="Times New Roman" w:eastAsia="Times New Roman" w:cs="Times New Roman"/>
        </w:rPr>
        <w:t xml:space="preserve"> </w:t>
      </w:r>
      <w:r>
        <w:rPr>
          <w:rFonts w:ascii="Malgun Gothic" w:hAnsi="Malgun Gothic" w:eastAsia="Malgun Gothic" w:cs="Malgun Gothic"/>
        </w:rPr>
        <w:t>못하였으니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도망하였기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Die Gestaltung des Bildes Christi bringt die Offenbarung zweier Klassen von Anbetern hervor. Die eine Klasse verwirft das Prinzip der Widerspiegelung. Das Prinzip der Widerspiegelung wird durch einen Spiegel dargestellt; denn Christus gebraucht die buchstäblichen irdischen Dinge, um geistliche himmlische Wahrheiten darzustellen.</w:t>
      </w:r>
    </w:p>
    <w:p>
      <w:pPr>
        <w:pStyle w:val="ArticleScripture"/>
        <w:jc w:val="left"/>
      </w:pPr>
      <w:r>
        <w:rPr>
          <w:rFonts w:ascii="Times New Roman" w:hAnsi="Times New Roman" w:eastAsia="Times New Roman" w:cs="Times New Roman"/>
        </w:rPr>
        <w:t>“Dans l’enseignement parabolique du Christ, on retrouve le même principe que dans sa propre mission envers le monde. Afin que nous puissions connaître son caractère et sa vie divins, le Christ a pris notre nature et a demeuré parmi nous. La divinité a été révélée dans l’humanité; la gloire invisible, dans la forme humaine visible. Les hommes pouvaient apprendre ce qui était inconnu par ce qui était connu; les choses célestes étaient révélées au moyen des choses terrestres; Dieu était rendu manifeste dans la ressemblance des hommes. Ainsi en était-il dans l’enseignement du Christ: l’inconnu était illustré par le connu; les vérités divines, par les choses terrestres avec lesquelles le peuple était le plus familier.”</w:t>
      </w:r>
    </w:p>
    <w:p>
      <w:pPr>
        <w:pStyle w:val="ArticleScripture"/>
        <w:jc w:val="left"/>
      </w:pPr>
      <w:r>
        <w:rPr>
          <w:rFonts w:ascii="Times New Roman" w:hAnsi="Times New Roman" w:eastAsia="Times New Roman" w:cs="Times New Roman"/>
        </w:rPr>
        <w:t>Le hoc’h Ef a lavar: “An holl draoù-se a gomzas Jezuz d’an dud dre barabolennoù; … evit ma vije peurc’hraet ar pezh a oa bet lavaret gant ar profed, o lavarout: Digoriñ a rin va genoù e parabolennoù; distagañ a rin traoù a zo bet miret kuzhet abaoe diazez ar bed.” Mattha 13:34, 35. An traoù naturel a oa ar vmedium evit ar re speredel; traoù an natur hag an darvoudoù a vuhez e selaouerien a oa kevreet gant gwirionezioù ar ger skrivet. O ren evel-se eus ar rouantelezh naturel d’ar rouantelezh speredel, parabolennoù Krist a zo liammoù er chadenn a wirionez a unvan an den gant Doue, hag an douar gant an neñv. “Christ’s Object Lessons”, 17.</w:t>
      </w:r>
    </w:p>
    <w:p>
      <w:pPr>
        <w:pStyle w:val="ArticleBody"/>
        <w:jc w:val="left"/>
      </w:pPr>
      <w:r>
        <w:rPr>
          <w:rFonts w:ascii="Times New Roman" w:hAnsi="Times New Roman" w:eastAsia="Times New Roman" w:cs="Times New Roman"/>
        </w:rPr>
        <w:t>Kanuni ya kiroho ya uakisi hutimizwa kwa kutazama ndani ya kioo kinachomwakilisha Kristo, na kwa kuwa maono ya “marah” ni maono ya kisababishi, sura ya Kristo iliyo katika kioo huzalisha sura ya Kristo ndani ya ubinadamu.</w:t>
      </w:r>
    </w:p>
    <w:p>
      <w:pPr>
        <w:pStyle w:val="ArticleBody"/>
        <w:jc w:val="left"/>
      </w:pPr>
      <w:r>
        <w:rPr>
          <w:rFonts w:ascii="Times New Roman" w:hAnsi="Times New Roman" w:eastAsia="Times New Roman" w:cs="Times New Roman"/>
        </w:rPr>
        <w:t>Kudai kwamba Marekani ndiyo inayothibitisha maono ni kudai kwamba sanamu ya Danieli ndiyo inayomthibitisha Kristo. Kristo ndiye anayethibitisha maono ya tabia Yake na kazi Yake, na mpinga-Kristo ndiye anayethibitisha maono ya tabia yake na kazi yake. Maono ndiyo yanayoakisiwa kwa kioo cha kujitazamia, na maono yanathibitishwa na wanyang’anyi. Kutoelewa sanamu ya mnyama, kwa kuitambulisha sanamu hiyo kama mnyama halisi, huzalisha mistari sambamba.</w:t>
      </w:r>
    </w:p>
    <w:p>
      <w:pPr>
        <w:pStyle w:val="ArticleBody"/>
        <w:jc w:val="left"/>
      </w:pPr>
      <w:r>
        <w:rPr>
          <w:rFonts w:ascii="Times New Roman" w:hAnsi="Times New Roman" w:eastAsia="Times New Roman" w:cs="Times New Roman"/>
        </w:rPr>
        <w:t>Isen kalon nitaw-paltianan ay kitkitan na ti bagina iti espejo, wenno no kitkitan na met ti linteg ti Dios, ibabainna ti linteg iti panangpadasna a mailiklik dagiti kiddawna. Ti maysa a napagbalinen a tao ket kitkitan na ni Cristo ken ti Lintegna iti salaming. Ti Estados Unidos ket mangaramid iti maysa nga imahen iti kapangyarihan ti papa babaen iti panangkitana iti kapangyarihan ti papa ken panangulittana dayta. Ti anticristo ket maulit iti babaen ti Estados Unidos.</w:t>
      </w:r>
    </w:p>
    <w:p>
      <w:pPr>
        <w:pStyle w:val="ArticleBody"/>
        <w:jc w:val="left"/>
      </w:pPr>
      <w:r>
        <w:rPr>
          <w:rFonts w:ascii="Nirmala UI" w:hAnsi="Nirmala UI" w:eastAsia="Nirmala UI" w:cs="Nirmala UI"/>
        </w:rPr>
        <w:t>लूसिफ़र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विराजमान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Ô Lucifer, mwana wa tongo, ndenge nini okwei uta na likoló! Ndenge nini babwaki yo na nse, yo oyo olembisaki bikólo! Pamba te olobaki na motema na yo ete: Nakomata na likoló, nakotombola kiti na ngai ya bokonzi likoló ya minzoto ya Nzambe; nakofanda mpe na ngomba ya liyangani, na nsuka ya nɔrdi; nakomata likoló ya bosanda ya mapata; nakokóma lokola Ye-Oyo-Aleki-Likoló-Nyonso. Ezekiel 14:12–14.</w:t>
      </w:r>
    </w:p>
    <w:p>
      <w:pPr>
        <w:pStyle w:val="ArticleBody"/>
        <w:jc w:val="left"/>
      </w:pPr>
      <w:r>
        <w:rPr>
          <w:rFonts w:ascii="Times New Roman" w:hAnsi="Times New Roman" w:eastAsia="Times New Roman" w:cs="Times New Roman"/>
        </w:rPr>
        <w:t>Satan est l’antichrist, et la puissance papale l’est également. La puissance papale fut établie dans l’Église et régna sur les trônes politiques de l’Europe. Le miroir causal de Daniel chapitre dix, lorsqu’il est considéré dans son application spirituelle, transforme ceux qui le contemplent à l’image du Christ. Cette vérité régit la ligne de l’antichrist. Lorsqu’une nation ou un individu regarde dans la vision du miroir, cela produit un effet causal, en ce qu’elle reproduit son image soit dans l’individu, soit dans la nation qui la contemple, et cela produit soit l’image du Christ, soit l’image de la bête. Cela est parallèle au même effet représenté par Daniel. C’est le Christ qui a établi la vision pour Daniel, et l’antichrist établit la vision pour les États-Unis lorsqu’ils forment une image de la bête.</w:t>
      </w:r>
    </w:p>
    <w:p>
      <w:pPr>
        <w:pStyle w:val="ArticleBody"/>
        <w:jc w:val="left"/>
      </w:pPr>
      <w:r>
        <w:rPr>
          <w:rFonts w:ascii="Times New Roman" w:hAnsi="Times New Roman" w:eastAsia="Times New Roman" w:cs="Times New Roman"/>
        </w:rPr>
        <w:t>Nous poursuivrons ces réflexions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ویژن کو قائم کرتی ہے — عدد تیرہ</dc:title>
  <dc:subject>Controverses de Rome : comprendre l’épreuve finale de l’image de la bête</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