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రోము</w:t>
      </w:r>
      <w:r>
        <w:rPr>
          <w:rFonts w:ascii="Arial" w:hAnsi="Arial" w:eastAsia="Arial" w:cs="Arial"/>
        </w:rPr>
        <w:t xml:space="preserve"> </w:t>
      </w:r>
      <w:r>
        <w:rPr>
          <w:rFonts w:ascii="Nirmala UI" w:hAnsi="Nirmala UI" w:eastAsia="Nirmala UI" w:cs="Nirmala UI"/>
        </w:rPr>
        <w:t>దర్శనాన్ని</w:t>
      </w:r>
      <w:r>
        <w:rPr>
          <w:rFonts w:ascii="Arial" w:hAnsi="Arial" w:eastAsia="Arial" w:cs="Arial"/>
        </w:rPr>
        <w:t xml:space="preserve"> </w:t>
      </w:r>
      <w:r>
        <w:rPr>
          <w:rFonts w:ascii="Nirmala UI" w:hAnsi="Nirmala UI" w:eastAsia="Nirmala UI" w:cs="Nirmala UI"/>
        </w:rPr>
        <w:t>స్థాపిస్తుంది</w:t>
      </w:r>
      <w:r>
        <w:rPr>
          <w:rFonts w:ascii="Arial" w:hAnsi="Arial" w:eastAsia="Arial" w:cs="Arial"/>
        </w:rPr>
        <w:t xml:space="preserve"> - </w:t>
      </w:r>
      <w:r>
        <w:rPr>
          <w:rFonts w:ascii="Nirmala UI" w:hAnsi="Nirmala UI" w:eastAsia="Nirmala UI" w:cs="Nirmala UI"/>
        </w:rPr>
        <w:t>సంఖ్య</w:t>
      </w:r>
      <w:r>
        <w:rPr>
          <w:rFonts w:ascii="Arial" w:hAnsi="Arial" w:eastAsia="Arial" w:cs="Arial"/>
        </w:rPr>
        <w:t xml:space="preserve"> </w:t>
      </w:r>
      <w:r>
        <w:rPr>
          <w:rFonts w:ascii="Nirmala UI" w:hAnsi="Nirmala UI" w:eastAsia="Nirmala UI" w:cs="Nirmala UI"/>
        </w:rPr>
        <w:t>పద్నాలుగు</w:t>
      </w:r>
    </w:p>
    <w:p>
      <w:pPr>
        <w:pStyle w:val="ArticleSubtitle"/>
        <w:jc w:val="left"/>
      </w:pPr>
      <w:r>
        <w:rPr>
          <w:rFonts w:ascii="Arial" w:hAnsi="Arial" w:eastAsia="Arial" w:cs="Arial"/>
        </w:rPr>
        <w:t>Reflets du Christ et formation de l’image de la bête : un parallèle prophétique dans les derniers jours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La ligne prophétique qui identifie le moment où les États-Unis forment une image à la bête et de la bête se manifeste lorsque la corne du protestantisme est en train de former l’image de Christ. Cette formation est spécifiquement identifiée dans Daniel, chapitre dix, lorsque Daniel contemple la vision, le miroir causal, « marah ». Daniel représente ceux qui contemplent Christ, et, ce faisant, ils reflètent le caractère de Christ. Les cent quarante-quatre mille, qui sont représentés par Daniel au chapitre dix, ne forment l’image de Christ au-dedans d’eux-mêmes qu’en contemplant son caractère. C’est en contemplant qu’ils sont transformés.</w:t>
      </w:r>
    </w:p>
    <w:p>
      <w:pPr>
        <w:pStyle w:val="ArticleBody"/>
        <w:jc w:val="left"/>
      </w:pPr>
      <w:r>
        <w:rPr>
          <w:rFonts w:ascii="Times New Roman" w:hAnsi="Times New Roman" w:eastAsia="Times New Roman" w:cs="Times New Roman"/>
        </w:rPr>
        <w:t>La imagen de la bestia refleja a la bestia, y la formación de la imagen de la bestia es la gran prueba para el pueblo de Dios, por la cual será decidido su destino eterno. Cuando las iglesias protestantes tomen el control del gobierno de los Estados Unidos, habrán formado una imagen del sistema de iglesia y estado que identifica la estructura de control que el poder papal empleó antes de que le fuese retirado el apoyo político. En el mismo período de tiempo, la imagen de Cristo será producida en Su pueblo de los últimos días. Sin embargo, hubo quienes estaban con Daniel y no vieron la visión, porque huyeron de la visión. Fracasaron en la prueba de la formación de la imagen de la bestia, al negarse a permitir que la imagen de Cristo fuese formada dentro de ellos durante el tiempo de prueba.</w:t>
      </w:r>
    </w:p>
    <w:p>
      <w:pPr>
        <w:pStyle w:val="ArticleBody"/>
        <w:jc w:val="left"/>
      </w:pPr>
      <w:r>
        <w:rPr>
          <w:rFonts w:ascii="Times New Roman" w:hAnsi="Times New Roman" w:eastAsia="Times New Roman" w:cs="Times New Roman"/>
        </w:rPr>
        <w:t>Tha masaala hafuuraa kan calaqqisiisuu jechuun, keessatti of ilaaluun raawwatama; inniis daawwitii Kiristoosin bakka bu’uun, akkasumas mul’anni “marah” mul’ata sababa uumu waan ta’eef, fakkiin Kiristoos daawwitii keessa jiru fakkii Kiristoos namummaa keessatti ni uuma. Daawwiitiin jechuun isa dhugaa, fakkii nama daawwiticha keessa ilaalu ni calaqqisiisa; garuu hojii hafuuraa masaala kanaa keessatti, wantoonni garaa garaa daawwitichaan walqabatan jiru. Warri salphaatti “dhaga’aa dubbichaa malee, raawwachaa miti,” inni “of ilaala, karaa isaatti deema, yeruma sana nama akkamii akka ture ni dagata.” Isaan daawwiticha ilaalu; namumma qofa argus.</w:t>
      </w:r>
    </w:p>
    <w:p>
      <w:pPr>
        <w:pStyle w:val="ArticleBody"/>
        <w:jc w:val="left"/>
      </w:pPr>
      <w:r>
        <w:rPr>
          <w:rFonts w:ascii="Leelawadee UI" w:hAnsi="Leelawadee UI" w:eastAsia="Leelawadee UI" w:cs="Leelawadee UI"/>
        </w:rPr>
        <w:t>อีกจำพวกหนึ่งซึ่งเป็นผู้ที่</w:t>
      </w:r>
      <w:r>
        <w:rPr>
          <w:rFonts w:ascii="Times New Roman" w:hAnsi="Times New Roman" w:eastAsia="Times New Roman" w:cs="Times New Roman"/>
        </w:rPr>
        <w:t xml:space="preserve"> “</w:t>
      </w:r>
      <w:r>
        <w:rPr>
          <w:rFonts w:ascii="Leelawadee UI" w:hAnsi="Leelawadee UI" w:eastAsia="Leelawadee UI" w:cs="Leelawadee UI"/>
        </w:rPr>
        <w:t>มิใช่ผู้ฟังแล้วลืมเลือน</w:t>
      </w:r>
      <w:r>
        <w:rPr>
          <w:rFonts w:ascii="Times New Roman" w:hAnsi="Times New Roman" w:eastAsia="Times New Roman" w:cs="Times New Roman"/>
        </w:rPr>
        <w:t xml:space="preserve"> </w:t>
      </w:r>
      <w:r>
        <w:rPr>
          <w:rFonts w:ascii="Leelawadee UI" w:hAnsi="Leelawadee UI" w:eastAsia="Leelawadee UI" w:cs="Leelawadee UI"/>
        </w:rPr>
        <w:t>แต่เป็นผู้กระทำตามพระวจนะนั้น</w:t>
      </w:r>
      <w:r>
        <w:rPr>
          <w:rFonts w:ascii="Times New Roman" w:hAnsi="Times New Roman" w:eastAsia="Times New Roman" w:cs="Times New Roman"/>
        </w:rPr>
        <w:t xml:space="preserve">” </w:t>
      </w:r>
      <w:r>
        <w:rPr>
          <w:rFonts w:ascii="Leelawadee UI" w:hAnsi="Leelawadee UI" w:eastAsia="Leelawadee UI" w:cs="Leelawadee UI"/>
        </w:rPr>
        <w:t>ย่อมเห็นพระราชบัญญัติของพระเจ้า</w:t>
      </w:r>
      <w:r>
        <w:rPr>
          <w:rFonts w:ascii="Times New Roman" w:hAnsi="Times New Roman" w:eastAsia="Times New Roman" w:cs="Times New Roman"/>
        </w:rPr>
        <w:t xml:space="preserve"> </w:t>
      </w:r>
      <w:r>
        <w:rPr>
          <w:rFonts w:ascii="Leelawadee UI" w:hAnsi="Leelawadee UI" w:eastAsia="Leelawadee UI" w:cs="Leelawadee UI"/>
        </w:rPr>
        <w:t>เขาย่อมเห็นพระคริสต์ในกระจกเงา</w:t>
      </w:r>
      <w:r>
        <w:rPr>
          <w:rFonts w:ascii="Times New Roman" w:hAnsi="Times New Roman" w:eastAsia="Times New Roman" w:cs="Times New Roman"/>
        </w:rPr>
        <w:t xml:space="preserve"> </w:t>
      </w:r>
      <w:r>
        <w:rPr>
          <w:rFonts w:ascii="Leelawadee UI" w:hAnsi="Leelawadee UI" w:eastAsia="Leelawadee UI" w:cs="Leelawadee UI"/>
        </w:rPr>
        <w:t>งานนั้นคือการเข้าใจว่าหลักการแห่งการสะท้อนมีทั้งความเป็นจริงตาม</w:t>
      </w:r>
      <w:r>
        <w:rPr>
          <w:rFonts w:ascii="Times New Roman" w:hAnsi="Times New Roman" w:eastAsia="Times New Roman" w:cs="Times New Roman"/>
        </w:rPr>
        <w:t xml:space="preserve"> “</w:t>
      </w:r>
      <w:r>
        <w:rPr>
          <w:rFonts w:ascii="Leelawadee UI" w:hAnsi="Leelawadee UI" w:eastAsia="Leelawadee UI" w:cs="Leelawadee UI"/>
        </w:rPr>
        <w:t>ธรรมชาติ</w:t>
      </w:r>
      <w:r>
        <w:rPr>
          <w:rFonts w:ascii="Times New Roman" w:hAnsi="Times New Roman" w:eastAsia="Times New Roman" w:cs="Times New Roman"/>
        </w:rPr>
        <w:t xml:space="preserve">” </w:t>
      </w:r>
      <w:r>
        <w:rPr>
          <w:rFonts w:ascii="Leelawadee UI" w:hAnsi="Leelawadee UI" w:eastAsia="Leelawadee UI" w:cs="Leelawadee UI"/>
        </w:rPr>
        <w:t>และความเป็นจริงฝ่ายจิตวิญญาณ</w:t>
      </w:r>
      <w:r>
        <w:rPr>
          <w:rFonts w:ascii="Times New Roman" w:hAnsi="Times New Roman" w:eastAsia="Times New Roman" w:cs="Times New Roman"/>
        </w:rPr>
        <w:t xml:space="preserve"> </w:t>
      </w:r>
      <w:r>
        <w:rPr>
          <w:rFonts w:ascii="Leelawadee UI" w:hAnsi="Leelawadee UI" w:eastAsia="Leelawadee UI" w:cs="Leelawadee UI"/>
        </w:rPr>
        <w:t>ดาเนียลเป็นภาพประกอบของผู้ที่ได้กระทำ</w:t>
      </w:r>
      <w:r>
        <w:rPr>
          <w:rFonts w:ascii="Times New Roman" w:hAnsi="Times New Roman" w:eastAsia="Times New Roman" w:cs="Times New Roman"/>
        </w:rPr>
        <w:t xml:space="preserve"> “</w:t>
      </w:r>
      <w:r>
        <w:rPr>
          <w:rFonts w:ascii="Leelawadee UI" w:hAnsi="Leelawadee UI" w:eastAsia="Leelawadee UI" w:cs="Leelawadee UI"/>
        </w:rPr>
        <w:t>งาน</w:t>
      </w:r>
      <w:r>
        <w:rPr>
          <w:rFonts w:ascii="Times New Roman" w:hAnsi="Times New Roman" w:eastAsia="Times New Roman" w:cs="Times New Roman"/>
        </w:rPr>
        <w:t xml:space="preserve">” </w:t>
      </w:r>
      <w:r>
        <w:rPr>
          <w:rFonts w:ascii="Leelawadee UI" w:hAnsi="Leelawadee UI" w:eastAsia="Leelawadee UI" w:cs="Leelawadee UI"/>
        </w:rPr>
        <w:t>นั้น</w:t>
      </w:r>
      <w:r>
        <w:rPr>
          <w:rFonts w:ascii="Times New Roman" w:hAnsi="Times New Roman" w:eastAsia="Times New Roman" w:cs="Times New Roman"/>
        </w:rPr>
        <w:t xml:space="preserve"> </w:t>
      </w:r>
      <w:r>
        <w:rPr>
          <w:rFonts w:ascii="Leelawadee UI" w:hAnsi="Leelawadee UI" w:eastAsia="Leelawadee UI" w:cs="Leelawadee UI"/>
        </w:rPr>
        <w:t>เพราะในบทที่เก้าและสิบนั้น</w:t>
      </w:r>
      <w:r>
        <w:rPr>
          <w:rFonts w:ascii="Times New Roman" w:hAnsi="Times New Roman" w:eastAsia="Times New Roman" w:cs="Times New Roman"/>
        </w:rPr>
        <w:t xml:space="preserve"> </w:t>
      </w:r>
      <w:r>
        <w:rPr>
          <w:rFonts w:ascii="Leelawadee UI" w:hAnsi="Leelawadee UI" w:eastAsia="Leelawadee UI" w:cs="Leelawadee UI"/>
        </w:rPr>
        <w:t>เขาแสดงให้เห็นงานซึ่งก่อให้เกิดหลักการฝ่ายจิตวิญญาณแห่งการสะท้อน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 naqueles dias eu, Daniel, estive pranteando por três semanas inteiras. Não comi pão aprazível, nem carne nem vinho entraram na minha boca; tampouco me ungi de modo algum, até se cumprirem três semanas completas. Daniel 10:1, 2.</w:t>
      </w:r>
    </w:p>
    <w:p>
      <w:pPr>
        <w:pStyle w:val="ArticleBody"/>
        <w:jc w:val="left"/>
      </w:pPr>
      <w:r>
        <w:rPr>
          <w:rFonts w:ascii="Times New Roman" w:hAnsi="Times New Roman" w:eastAsia="Times New Roman" w:cs="Times New Roman"/>
        </w:rPr>
        <w:t>Gabrieli alikuwa amempa Danieli tafsiri ya sehemu ya maono ya sura ya nane, lakini Danieli hakuwa ameyaelewa yote.</w:t>
      </w:r>
    </w:p>
    <w:p>
      <w:pPr>
        <w:pStyle w:val="ArticleScripture"/>
        <w:jc w:val="left"/>
      </w:pPr>
      <w:r>
        <w:rPr>
          <w:rFonts w:ascii="Times New Roman" w:hAnsi="Times New Roman" w:eastAsia="Times New Roman" w:cs="Times New Roman"/>
        </w:rPr>
        <w:t>Y yo Daniel desfallecí, y estuve enfermo algunos días; después me levanté y atendí los negocios del rey; y estaba asombrado de la visión, pero no había quien la entendiese. Daniel 8:27.</w:t>
      </w:r>
    </w:p>
    <w:p>
      <w:pPr>
        <w:pStyle w:val="ArticleBody"/>
        <w:jc w:val="left"/>
      </w:pPr>
      <w:r>
        <w:rPr>
          <w:rFonts w:ascii="Times New Roman" w:hAnsi="Times New Roman" w:eastAsia="Times New Roman" w:cs="Times New Roman"/>
        </w:rPr>
        <w:t>Soeur White nous informe que Daniel cherchait à comprendre l’interprétation du message de Daniel au chapitre huit, que Gabriel avait apporté à Daniel au chapitre neuf.</w:t>
      </w:r>
    </w:p>
    <w:p>
      <w:pPr>
        <w:pStyle w:val="ArticleScripture"/>
        <w:jc w:val="left"/>
      </w:pPr>
      <w:r>
        <w:rPr>
          <w:rFonts w:ascii="Times New Roman" w:hAnsi="Times New Roman" w:eastAsia="Times New Roman" w:cs="Times New Roman"/>
        </w:rPr>
        <w:t>« Avec une ardeur nouvelle et plus profonde, Miller poursuivit l’examen des prophéties, consacrant à cette étude des nuits entières aussi bien que des jours, tant ce qui apparaissait désormais revêtait une importance si prodigieuse et un intérêt absorbant. Dans le huitième chapitre de Daniel, il ne pouvait découvrir aucun indice quant au point de départ des 2300 jours ; l’ange Gabriel, bien qu’ayant reçu l’ordre de faire comprendre la vision à Daniel, ne lui en donna qu’une explication partielle. À mesure que se déployait devant la vision du prophète la terrible persécution qui devait s’abattre sur l’Église, ses forces physiques l’abandonnèrent. Il n’en pouvait supporter davantage, et l’ange le quitta pour un temps. Daniel « s’évanouit, et fut malade plusieurs jours ». « Et j’étais dans l’étonnement à cause de la vision, dit-il, et personne ne la comprenait. » »</w:t>
      </w:r>
    </w:p>
    <w:p>
      <w:pPr>
        <w:pStyle w:val="ArticleScripture"/>
        <w:jc w:val="left"/>
      </w:pPr>
      <w:r>
        <w:rPr>
          <w:rFonts w:ascii="Times New Roman" w:hAnsi="Times New Roman" w:eastAsia="Times New Roman" w:cs="Times New Roman"/>
        </w:rPr>
        <w:t>“Eppure Dio aveva comandato al Suo messaggero: ‘Fa’ comprendere a quest’uomo la visione’. Tale incarico doveva essere adempiuto. In ubbidienza ad esso, l’angelo, qualche tempo dopo, tornò da Daniele, dicendo: ‘Sono venuto ora per darti intendimento e comprensione’; ‘comprendi dunque la parola e considera la visione’. Daniele 8:27, 16; 9:22, 23, 25–27. Vi era un punto importante nella visione del capitolo 8 che era rimasto senza spiegazione, cioè quello relativo al tempo — il periodo dei 2300 giorni; perciò l’angelo, nel riprendere la sua spiegazione, si sofferma soprattutto sull’argomento del tempo.” Il gran conflitto, 325.</w:t>
      </w:r>
    </w:p>
    <w:p>
      <w:pPr>
        <w:pStyle w:val="ArticleBody"/>
        <w:jc w:val="left"/>
      </w:pPr>
      <w:r>
        <w:rPr>
          <w:rFonts w:ascii="Leelawadee UI" w:hAnsi="Leelawadee UI" w:eastAsia="Leelawadee UI" w:cs="Leelawadee UI"/>
        </w:rPr>
        <w:t>ຢູ່ໃນບົດທີສິບ</w:t>
      </w:r>
      <w:r>
        <w:rPr>
          <w:rFonts w:ascii="Times New Roman" w:hAnsi="Times New Roman" w:eastAsia="Times New Roman" w:cs="Times New Roman"/>
        </w:rPr>
        <w:t xml:space="preserve"> </w:t>
      </w:r>
      <w:r>
        <w:rPr>
          <w:rFonts w:ascii="Leelawadee UI" w:hAnsi="Leelawadee UI" w:eastAsia="Leelawadee UI" w:cs="Leelawadee UI"/>
        </w:rPr>
        <w:t>ເຮົາໄດ້ຮັບຮູ້ວ່າ</w:t>
      </w:r>
      <w:r>
        <w:rPr>
          <w:rFonts w:ascii="Times New Roman" w:hAnsi="Times New Roman" w:eastAsia="Times New Roman" w:cs="Times New Roman"/>
        </w:rPr>
        <w:t xml:space="preserve"> </w:t>
      </w:r>
      <w:r>
        <w:rPr>
          <w:rFonts w:ascii="Leelawadee UI" w:hAnsi="Leelawadee UI" w:eastAsia="Leelawadee UI" w:cs="Leelawadee UI"/>
        </w:rPr>
        <w:t>ດານີເອນເຂົ້າໃຈ</w:t>
      </w:r>
      <w:r>
        <w:rPr>
          <w:rFonts w:ascii="Times New Roman" w:hAnsi="Times New Roman" w:eastAsia="Times New Roman" w:cs="Times New Roman"/>
        </w:rPr>
        <w:t xml:space="preserve"> “</w:t>
      </w:r>
      <w:r>
        <w:rPr>
          <w:rFonts w:ascii="Leelawadee UI" w:hAnsi="Leelawadee UI" w:eastAsia="Leelawadee UI" w:cs="Leelawadee UI"/>
        </w:rPr>
        <w:t>ນິມິດ</w:t>
      </w:r>
      <w:r>
        <w:rPr>
          <w:rFonts w:ascii="Times New Roman" w:hAnsi="Times New Roman" w:eastAsia="Times New Roman" w:cs="Times New Roman"/>
        </w:rPr>
        <w:t xml:space="preserve">” </w:t>
      </w:r>
      <w:r>
        <w:rPr>
          <w:rFonts w:ascii="Leelawadee UI" w:hAnsi="Leelawadee UI" w:eastAsia="Leelawadee UI" w:cs="Leelawadee UI"/>
        </w:rPr>
        <w:t>ແລະ</w:t>
      </w:r>
      <w:r>
        <w:rPr>
          <w:rFonts w:ascii="Times New Roman" w:hAnsi="Times New Roman" w:eastAsia="Times New Roman" w:cs="Times New Roman"/>
        </w:rPr>
        <w:t xml:space="preserve"> “</w:t>
      </w:r>
      <w:r>
        <w:rPr>
          <w:rFonts w:ascii="Leelawadee UI" w:hAnsi="Leelawadee UI" w:eastAsia="Leelawadee UI" w:cs="Leelawadee UI"/>
        </w:rPr>
        <w:t>ເລື່ອງນັ້ນ</w:t>
      </w:r>
      <w:r>
        <w:rPr>
          <w:rFonts w:ascii="Times New Roman" w:hAnsi="Times New Roman" w:eastAsia="Times New Roman" w:cs="Times New Roman"/>
        </w:rPr>
        <w:t xml:space="preserve">” </w:t>
      </w:r>
      <w:r>
        <w:rPr>
          <w:rFonts w:ascii="Leelawadee UI" w:hAnsi="Leelawadee UI" w:eastAsia="Leelawadee UI" w:cs="Leelawadee UI"/>
        </w:rPr>
        <w:t>ແລ້ວ</w:t>
      </w:r>
      <w:r>
        <w:rPr>
          <w:rFonts w:ascii="Times New Roman" w:hAnsi="Times New Roman" w:eastAsia="Times New Roman" w:cs="Times New Roman"/>
        </w:rPr>
        <w:t xml:space="preserve">, </w:t>
      </w:r>
      <w:r>
        <w:rPr>
          <w:rFonts w:ascii="Leelawadee UI" w:hAnsi="Leelawadee UI" w:eastAsia="Leelawadee UI" w:cs="Leelawadee UI"/>
        </w:rPr>
        <w:t>ແຕ່ດານີເອນປາຖະໜາແສງສະຫວ່າງເພີ່ມອີກ</w:t>
      </w:r>
      <w:r>
        <w:rPr>
          <w:rFonts w:ascii="Times New Roman" w:hAnsi="Times New Roman" w:eastAsia="Times New Roman" w:cs="Times New Roman"/>
        </w:rPr>
        <w:t xml:space="preserve">, </w:t>
      </w:r>
      <w:r>
        <w:rPr>
          <w:rFonts w:ascii="Leelawadee UI" w:hAnsi="Leelawadee UI" w:eastAsia="Leelawadee UI" w:cs="Leelawadee UI"/>
        </w:rPr>
        <w:t>ດັ່ງນັ້ນ</w:t>
      </w:r>
      <w:r>
        <w:rPr>
          <w:rFonts w:ascii="Times New Roman" w:hAnsi="Times New Roman" w:eastAsia="Times New Roman" w:cs="Times New Roman"/>
        </w:rPr>
        <w:t xml:space="preserve"> </w:t>
      </w:r>
      <w:r>
        <w:rPr>
          <w:rFonts w:ascii="Leelawadee UI" w:hAnsi="Leelawadee UI" w:eastAsia="Leelawadee UI" w:cs="Leelawadee UI"/>
        </w:rPr>
        <w:t>ທ່ານຈຶ່ງຕັ້ງໃຈຂອງຕົນໄວ້ເພື່ອຄົ້ນຫາຄວາມເຂົ້າໃຈນັ້ນ</w:t>
      </w:r>
      <w:r>
        <w:rPr>
          <w:rFonts w:ascii="Times New Roman" w:hAnsi="Times New Roman" w:eastAsia="Times New Roman" w:cs="Times New Roman"/>
        </w:rPr>
        <w:t xml:space="preserve"> </w:t>
      </w:r>
      <w:r>
        <w:rPr>
          <w:rFonts w:ascii="Leelawadee UI" w:hAnsi="Leelawadee UI" w:eastAsia="Leelawadee UI" w:cs="Leelawadee UI"/>
        </w:rPr>
        <w:t>ແລະໄດ້ອົດອາຫານເປັນເວລາຊາວເອັດວັນ</w:t>
      </w:r>
      <w:r>
        <w:rPr>
          <w:rFonts w:ascii="Times New Roman" w:hAnsi="Times New Roman" w:eastAsia="Times New Roman" w:cs="Times New Roman"/>
        </w:rPr>
        <w:t xml:space="preserve">. </w:t>
      </w:r>
      <w:r>
        <w:rPr>
          <w:rFonts w:ascii="Leelawadee UI" w:hAnsi="Leelawadee UI" w:eastAsia="Leelawadee UI" w:cs="Leelawadee UI"/>
        </w:rPr>
        <w:t>ໃນການກະທຳດັ່ງນີ້</w:t>
      </w:r>
      <w:r>
        <w:rPr>
          <w:rFonts w:ascii="Times New Roman" w:hAnsi="Times New Roman" w:eastAsia="Times New Roman" w:cs="Times New Roman"/>
        </w:rPr>
        <w:t xml:space="preserve"> </w:t>
      </w:r>
      <w:r>
        <w:rPr>
          <w:rFonts w:ascii="Leelawadee UI" w:hAnsi="Leelawadee UI" w:eastAsia="Leelawadee UI" w:cs="Leelawadee UI"/>
        </w:rPr>
        <w:t>ທ່ານເປັນຕົວແທນຂອງຜູ້ຄົນໃນວັນສຸດທ້າຍ</w:t>
      </w:r>
      <w:r>
        <w:rPr>
          <w:rFonts w:ascii="Times New Roman" w:hAnsi="Times New Roman" w:eastAsia="Times New Roman" w:cs="Times New Roman"/>
        </w:rPr>
        <w:t xml:space="preserve"> </w:t>
      </w:r>
      <w:r>
        <w:rPr>
          <w:rFonts w:ascii="Leelawadee UI" w:hAnsi="Leelawadee UI" w:eastAsia="Leelawadee UI" w:cs="Leelawadee UI"/>
        </w:rPr>
        <w:t>ຜູ້ຊຶ່ງເຂົ້າໃຈຫຼັກການຝ່າຍວິນຍານຂອງການສະທ້ອນ</w:t>
      </w:r>
      <w:r>
        <w:rPr>
          <w:rFonts w:ascii="Times New Roman" w:hAnsi="Times New Roman" w:eastAsia="Times New Roman" w:cs="Times New Roman"/>
        </w:rPr>
        <w:t xml:space="preserve"> </w:t>
      </w:r>
      <w:r>
        <w:rPr>
          <w:rFonts w:ascii="Leelawadee UI" w:hAnsi="Leelawadee UI" w:eastAsia="Leelawadee UI" w:cs="Leelawadee UI"/>
        </w:rPr>
        <w:t>ອັນຖືກເປັນແບບໂດຍຫຼັກການຕາມທຳມະຊາດຂອງການສະທ້ອນ</w:t>
      </w:r>
      <w:r>
        <w:rPr>
          <w:rFonts w:ascii="Times New Roman" w:hAnsi="Times New Roman" w:eastAsia="Times New Roman" w:cs="Times New Roman"/>
        </w:rPr>
        <w:t xml:space="preserve">. </w:t>
      </w:r>
      <w:r>
        <w:rPr>
          <w:rFonts w:ascii="Leelawadee UI" w:hAnsi="Leelawadee UI" w:eastAsia="Leelawadee UI" w:cs="Leelawadee UI"/>
        </w:rPr>
        <w:t>ຄວາມເຂົ້າໃຈນັ້ນຖືກສະແດງໃຫ້ປະຈັກໂດຍການງານຂອງເຂົາ</w:t>
      </w:r>
      <w:r>
        <w:rPr>
          <w:rFonts w:ascii="Times New Roman" w:hAnsi="Times New Roman" w:eastAsia="Times New Roman" w:cs="Times New Roman"/>
        </w:rPr>
        <w:t xml:space="preserve">, </w:t>
      </w:r>
      <w:r>
        <w:rPr>
          <w:rFonts w:ascii="Leelawadee UI" w:hAnsi="Leelawadee UI" w:eastAsia="Leelawadee UI" w:cs="Leelawadee UI"/>
        </w:rPr>
        <w:t>ແລະການງານຂອງເຂົານັ້ນຖືກແທນຄ່າໂດຍດານີເອນ</w:t>
      </w:r>
      <w:r>
        <w:rPr>
          <w:rFonts w:ascii="Times New Roman" w:hAnsi="Times New Roman" w:eastAsia="Times New Roman" w:cs="Times New Roman"/>
        </w:rPr>
        <w:t xml:space="preserve"> </w:t>
      </w:r>
      <w:r>
        <w:rPr>
          <w:rFonts w:ascii="Leelawadee UI" w:hAnsi="Leelawadee UI" w:eastAsia="Leelawadee UI" w:cs="Leelawadee UI"/>
        </w:rPr>
        <w:t>ໃນຖານະທີ່ກຳລັງສະແຫວງຫາຄວາມເຂົ້າໃຈອັນຖືກຕ້ອງຕໍ່ພຣະວາຈາພະຍາກອນຂອງພຣະເຈົ້າ</w:t>
      </w:r>
      <w:r>
        <w:rPr>
          <w:rFonts w:ascii="Times New Roman" w:hAnsi="Times New Roman" w:eastAsia="Times New Roman" w:cs="Times New Roman"/>
        </w:rPr>
        <w:t xml:space="preserve">. </w:t>
      </w:r>
      <w:r>
        <w:rPr>
          <w:rFonts w:ascii="Leelawadee UI" w:hAnsi="Leelawadee UI" w:eastAsia="Leelawadee UI" w:cs="Leelawadee UI"/>
        </w:rPr>
        <w:t>ຄວາມຕັດກັນຢ່າງຊັດເຈນຂອງຜູ້ທີ່ໄດ້ໜີໄປຈາກນິມິດນັ້ນ</w:t>
      </w:r>
      <w:r>
        <w:rPr>
          <w:rFonts w:ascii="Times New Roman" w:hAnsi="Times New Roman" w:eastAsia="Times New Roman" w:cs="Times New Roman"/>
        </w:rPr>
        <w:t xml:space="preserve"> </w:t>
      </w:r>
      <w:r>
        <w:rPr>
          <w:rFonts w:ascii="Leelawadee UI" w:hAnsi="Leelawadee UI" w:eastAsia="Leelawadee UI" w:cs="Leelawadee UI"/>
        </w:rPr>
        <w:t>ກໍຄືວ່າ</w:t>
      </w:r>
      <w:r>
        <w:rPr>
          <w:rFonts w:ascii="Times New Roman" w:hAnsi="Times New Roman" w:eastAsia="Times New Roman" w:cs="Times New Roman"/>
        </w:rPr>
        <w:t xml:space="preserve"> </w:t>
      </w:r>
      <w:r>
        <w:rPr>
          <w:rFonts w:ascii="Leelawadee UI" w:hAnsi="Leelawadee UI" w:eastAsia="Leelawadee UI" w:cs="Leelawadee UI"/>
        </w:rPr>
        <w:t>ພວກເຂົາບໍ່ໄດ້ສະແຫວງຫາຄວາມເຂົ້າໃຈອັນຖືກຕ້ອງຕໍ່ພຣະວາຈາພະຍາກອນຂອງພຣະເຈົ້າ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Verite konsernan Parol profetik Bondye a, ki Danyèl parèt ap grangou pou l konprann, se limyè dènye jou yo, paske Danyèl tipifye san karannkat mil yo. Konsa, Danyèl ap reprezante yon klas moun k ap chèche konprann limyè Parol profetik Bondye a, ki prezante kòm dènye eprèv la anvan tan gras la fini. Nan sans sa a, se Revelasyon Jezi Kris la ki devwale jis anvan tan gras la fini, men se tou eprèv la ki prezante kòm fòmasyon imaj bèt la.</w:t>
      </w:r>
    </w:p>
    <w:p>
      <w:pPr>
        <w:pStyle w:val="ArticleBody"/>
        <w:jc w:val="left"/>
      </w:pPr>
      <w:r>
        <w:rPr>
          <w:rFonts w:ascii="Times New Roman" w:hAnsi="Times New Roman" w:eastAsia="Times New Roman" w:cs="Times New Roman"/>
        </w:rPr>
        <w:t>Die Bildung des Bildes des Tieres bezeichnet unmittelbar den Vorgang, durch den das Bild des Tieres hervorgebracht wird. Diese Wirklichkeit kann nicht zutreffend bestimmt werden, ohne zuvor den Hauptgegenstand der Prüfung, das Tier, zu identifizieren. Es ist das Tier, das festlegt und bestimmt, wie das Bild geformt wird.</w:t>
      </w:r>
    </w:p>
    <w:p>
      <w:pPr>
        <w:pStyle w:val="ArticleScripture"/>
        <w:jc w:val="left"/>
      </w:pPr>
      <w:r>
        <w:rPr>
          <w:rFonts w:ascii="Times New Roman" w:hAnsi="Times New Roman" w:eastAsia="Times New Roman" w:cs="Times New Roman"/>
        </w:rPr>
        <w:t>«Բայց ի՞նչ է «գազանին պատկերը», և ինչպե՞ս պիտի կազմվի այն։ Պատկերը ստեղծվում է երկեղջյուր գազանի կողմից և գազանի պատկերն է։ Այն նաև կոչվում է գազանի պատկեր։ Ուստի, որպեսզի իմանանք, թե ինչպիսին է պատկերը և ինչպես պիտի կազմվի, պետք է ուսումնասիրենք հենց գազանի՝ պապականության հատկանիշները։»</w:t>
      </w:r>
    </w:p>
    <w:p>
      <w:pPr>
        <w:pStyle w:val="ArticleScripture"/>
        <w:jc w:val="left"/>
      </w:pPr>
      <w:r>
        <w:rPr>
          <w:rFonts w:ascii="Times New Roman" w:hAnsi="Times New Roman" w:eastAsia="Times New Roman" w:cs="Times New Roman"/>
        </w:rPr>
        <w:t>«Wi ko wle gbɔgbɔ la dze sii hẽ to esi wotso nyanyui la ƒe bɔbɔenyenye la me eye wowɔ heathenwo ƒe mawusubɔnu kple wɔnɔviwo dzi dɔ la ta la, ebu Mawu ƒe Gbɔgbɔ kple ŋusẽ la; eye be yeate ŋu adzra ameawo ƒe consciencewo dzi la, edi be yeadze si ŋu le dukɔmenɔla ƒe ŋusẽ dzi. Esi wòva me le papacy la: hame aɖe si nɔa dukɔ la ƒe ŋusẽ dzi eye wòna be wowɔa eya ŋutɔ ƒe tameɖoɖowo ɖe edzi, vevietɔ hena “heresy” ƒe tohehe. Be United States na te ŋugbe wɔ nudzɔdzɔ si nye la ƒe nɔnɔmetata la, ele be subɔsubɔ ŋusẽ la nakpɔ dukɔmenɔla ƒe dziɖuɖu dzi ale gbegbe be hame la hã anɔa dukɔ la ƒe authority zãm be yeawɔ eya ŋutɔ ƒe tameɖoɖowo.» The Great Controversy, 443.</w:t>
      </w:r>
    </w:p>
    <w:p>
      <w:pPr>
        <w:pStyle w:val="ArticleBody"/>
        <w:jc w:val="left"/>
      </w:pPr>
      <w:r>
        <w:rPr>
          <w:rFonts w:ascii="Times New Roman" w:hAnsi="Times New Roman" w:eastAsia="Times New Roman" w:cs="Times New Roman"/>
        </w:rPr>
        <w:t>Afin « d’apprendre à quoi ressemble l’image et comment elle doit être formée, nous devons étudier les caractéristiques de la bête elle-même — la papauté. » C’est la bête qui établit la vision qui constitue l’épreuve des derniers jours et qui est amenée juste avant la fin du temps de grâce. Daniel comprit la vision et la chose.</w:t>
      </w:r>
    </w:p>
    <w:p>
      <w:pPr>
        <w:pStyle w:val="ArticleScripture"/>
        <w:jc w:val="left"/>
      </w:pPr>
      <w:r>
        <w:rPr>
          <w:rFonts w:ascii="Times New Roman" w:hAnsi="Times New Roman" w:eastAsia="Times New Roman" w:cs="Times New Roman"/>
        </w:rPr>
        <w:t>Dina taun katilu pamaréntahan Koresy, raja Pérsia, hiji perkara diwahyukeun ka Daniél, anu ngaranna disebut Béltsasar; jeung éta perkara téh enya, tapi waktu anu geus ditangtukeun téh lila; sarta manéhna ngartos kana éta perkara, jeung miboga pangarti kana éta titingalian. Daniel 10:1.</w:t>
      </w:r>
    </w:p>
    <w:p>
      <w:pPr>
        <w:pStyle w:val="ArticleBody"/>
        <w:jc w:val="left"/>
      </w:pPr>
      <w:r>
        <w:rPr>
          <w:rFonts w:ascii="Times New Roman" w:hAnsi="Times New Roman" w:eastAsia="Times New Roman" w:cs="Times New Roman"/>
        </w:rPr>
        <w:t>La vision est la vision du « mareh » des deux mille trois cents années. La « chose » est le mot hébreu « dabar », qui signifie « parole ». Le même mot (« dabar ») qui est traduit par « chose » au verset un est traduit par « parole » au chapitre neuf, verset vingt-trois.</w:t>
      </w:r>
    </w:p>
    <w:p>
      <w:pPr>
        <w:pStyle w:val="ArticleScripture"/>
        <w:jc w:val="left"/>
      </w:pPr>
      <w:r>
        <w:rPr>
          <w:rFonts w:ascii="Times New Roman" w:hAnsi="Times New Roman" w:eastAsia="Times New Roman" w:cs="Times New Roman"/>
        </w:rPr>
        <w:t>Eny, mitan m t ap pale nan lapriyè, menm nonm Gabriyèl la, ke m te wè nan vizyon an nan kòmansman an, yo te fè vole avèk anpil vitès, vin touche m nan lè ofrann aswè a. Epi li fè m konnen, li pale avè m, li di: O Danyèl, mwen sòti koulye a pou m ba ou ladrès ak konpreyansyon. Depi nan kòmansman siplikasyon ou yo, lòd la te sòti, e mwen vini pou m montre ou sa; paske ou renmen anpil anpil: se poutèt sa, konprann bagay la, epi konsidere vizyon an. Danyèl 9:21–23.</w:t>
      </w:r>
    </w:p>
    <w:p>
      <w:pPr>
        <w:pStyle w:val="ArticleBody"/>
        <w:jc w:val="left"/>
      </w:pPr>
      <w:r>
        <w:rPr>
          <w:rFonts w:ascii="Times New Roman" w:hAnsi="Times New Roman" w:eastAsia="Times New Roman" w:cs="Times New Roman"/>
        </w:rPr>
        <w:t>Gabriel vient vers Daniel en réponse à la prière de celui-ci, laquelle est liée à l’éclairage que Daniel avait reçu lorsqu’il avait compris qu’il se trouvait dans une captivité représentée par la dispersion de Lévitique vingt-six.</w:t>
      </w:r>
    </w:p>
    <w:p>
      <w:pPr>
        <w:pStyle w:val="ArticleScripture"/>
        <w:jc w:val="left"/>
      </w:pPr>
      <w:r>
        <w:rPr>
          <w:rFonts w:ascii="Nirmala UI" w:hAnsi="Nirmala UI" w:eastAsia="Nirmala UI" w:cs="Nirmala UI"/>
        </w:rPr>
        <w:t>स्वराज्यको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वर्षमा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दानिय्येलले</w:t>
      </w:r>
      <w:r>
        <w:rPr>
          <w:rFonts w:ascii="Times New Roman" w:hAnsi="Times New Roman" w:eastAsia="Times New Roman" w:cs="Times New Roman"/>
        </w:rPr>
        <w:t xml:space="preserve"> </w:t>
      </w:r>
      <w:r>
        <w:rPr>
          <w:rFonts w:ascii="Nirmala UI" w:hAnsi="Nirmala UI" w:eastAsia="Nirmala UI" w:cs="Nirmala UI"/>
        </w:rPr>
        <w:t>पुस्तकहरूद्वारा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वर्षहरूको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बुझें</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परमप्रभुको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यर्मिया</w:t>
      </w:r>
      <w:r>
        <w:rPr>
          <w:rFonts w:ascii="Times New Roman" w:hAnsi="Times New Roman" w:eastAsia="Times New Roman" w:cs="Times New Roman"/>
        </w:rPr>
        <w:t xml:space="preserve"> </w:t>
      </w:r>
      <w:r>
        <w:rPr>
          <w:rFonts w:ascii="Nirmala UI" w:hAnsi="Nirmala UI" w:eastAsia="Nirmala UI" w:cs="Nirmala UI"/>
        </w:rPr>
        <w:t>अगमवक्ताकहाँ</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यरूशलेमका</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अवस्थाहरूमा</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9:2.</w:t>
      </w:r>
    </w:p>
    <w:p>
      <w:pPr>
        <w:pStyle w:val="ArticleBody"/>
        <w:jc w:val="left"/>
      </w:pPr>
      <w:r>
        <w:rPr>
          <w:rFonts w:ascii="Times New Roman" w:hAnsi="Times New Roman" w:eastAsia="Times New Roman" w:cs="Times New Roman"/>
        </w:rPr>
        <w:t>La captivité signalée par Jérémie conduisit Daniel à la captivité des « sept temps » consignés par Moïse, laquelle était à la fois un « serment » et une « malédiction ».</w:t>
      </w:r>
    </w:p>
    <w:p>
      <w:pPr>
        <w:pStyle w:val="ArticleScripture"/>
        <w:jc w:val="left"/>
      </w:pPr>
      <w:r>
        <w:rPr>
          <w:rFonts w:ascii="Times New Roman" w:hAnsi="Times New Roman" w:eastAsia="Times New Roman" w:cs="Times New Roman"/>
        </w:rPr>
        <w:t>Oui, tout Israël a transgressé ta loi, et s’en est détourné afin de ne pas obéir à ta voix ; c’est pourquoi la malédiction s’est répandue sur nous, ainsi que le serment qui est écrit dans la loi de Moïse, serviteur de Dieu, parce que nous avons péché contre lui. Il a confirmé les paroles qu’il avait prononcées contre nous et contre nos juges qui nous jugeaient, en faisant venir sur nous un grand malheur ; car, sous tous les cieux, il n’a point été fait ce qui a été fait contre Jérusalem. Comme il est écrit dans la loi de Moïse, tout ce malheur est venu sur nous ; et nous n’avons pas imploré l’Éternel, notre Dieu, afin de nous détourner de nos iniquités et de comprendre ta vérité. Daniel 9:11–13.</w:t>
      </w:r>
    </w:p>
    <w:p>
      <w:pPr>
        <w:pStyle w:val="ArticleBody"/>
        <w:jc w:val="left"/>
      </w:pP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गवाहियों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अवस्था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गवाहियाँ</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गवाहियाँ</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यिर्मयाह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Daniel représente ceux des derniers jours qui comprennent, d’après ces deux témoins, qu’ils ont été dispersés, et qui comprennent, d’après la Bible et l’Esprit de Prophétie, qu’ils ont été réveillés, comme Daniel le fut au fait que lui (eux) avait été en captivité, et que la captivité était représentée dans la Parole prophétique de Dieu.</w:t>
      </w:r>
    </w:p>
    <w:p>
      <w:pPr>
        <w:pStyle w:val="ArticleBody"/>
        <w:jc w:val="left"/>
      </w:pPr>
      <w:r>
        <w:rPr>
          <w:rFonts w:ascii="Times New Roman" w:hAnsi="Times New Roman" w:eastAsia="Times New Roman" w:cs="Times New Roman"/>
        </w:rPr>
        <w:t>L’expérience du peuple de Dieu des derniers jours est celle des dix vierges.</w:t>
      </w:r>
    </w:p>
    <w:p>
      <w:pPr>
        <w:pStyle w:val="ArticleScripture"/>
        <w:jc w:val="left"/>
      </w:pPr>
      <w:r>
        <w:rPr>
          <w:rFonts w:ascii="Times New Roman" w:hAnsi="Times New Roman" w:eastAsia="Times New Roman" w:cs="Times New Roman"/>
        </w:rPr>
        <w:t>« La parabole des dix vierges de Matthieu 25 illustre également l’expérience du peuple adventiste. » The Great Controversy, 393.</w:t>
      </w:r>
    </w:p>
    <w:p>
      <w:pPr>
        <w:pStyle w:val="ArticleBody"/>
        <w:jc w:val="left"/>
      </w:pP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कुँआरिनक</w:t>
      </w:r>
      <w:r>
        <w:rPr>
          <w:rFonts w:ascii="Times New Roman" w:hAnsi="Times New Roman" w:eastAsia="Times New Roman" w:cs="Times New Roman"/>
        </w:rPr>
        <w:t xml:space="preserve"> </w:t>
      </w:r>
      <w:r>
        <w:rPr>
          <w:rFonts w:ascii="Nirmala UI" w:hAnsi="Nirmala UI" w:eastAsia="Nirmala UI" w:cs="Nirmala UI"/>
        </w:rPr>
        <w:t>दृष्टान्तक</w:t>
      </w:r>
      <w:r>
        <w:rPr>
          <w:rFonts w:ascii="Times New Roman" w:hAnsi="Times New Roman" w:eastAsia="Times New Roman" w:cs="Times New Roman"/>
        </w:rPr>
        <w:t xml:space="preserve"> </w:t>
      </w:r>
      <w:r>
        <w:rPr>
          <w:rFonts w:ascii="Nirmala UI" w:hAnsi="Nirmala UI" w:eastAsia="Nirmala UI" w:cs="Nirmala UI"/>
        </w:rPr>
        <w:t>विलम्बक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दानिय्येलक</w:t>
      </w:r>
      <w:r>
        <w:rPr>
          <w:rFonts w:ascii="Times New Roman" w:hAnsi="Times New Roman" w:eastAsia="Times New Roman" w:cs="Times New Roman"/>
        </w:rPr>
        <w:t xml:space="preserve"> </w:t>
      </w:r>
      <w:r>
        <w:rPr>
          <w:rFonts w:ascii="Nirmala UI" w:hAnsi="Nirmala UI" w:eastAsia="Nirmala UI" w:cs="Nirmala UI"/>
        </w:rPr>
        <w:t>नवम</w:t>
      </w:r>
      <w:r>
        <w:rPr>
          <w:rFonts w:ascii="Times New Roman" w:hAnsi="Times New Roman" w:eastAsia="Times New Roman" w:cs="Times New Roman"/>
        </w:rPr>
        <w:t xml:space="preserve"> </w:t>
      </w:r>
      <w:r>
        <w:rPr>
          <w:rFonts w:ascii="Nirmala UI" w:hAnsi="Nirmala UI" w:eastAsia="Nirmala UI" w:cs="Nirmala UI"/>
        </w:rPr>
        <w:t>अध्यायमे</w:t>
      </w:r>
      <w:r>
        <w:rPr>
          <w:rFonts w:ascii="Times New Roman" w:hAnsi="Times New Roman" w:eastAsia="Times New Roman" w:cs="Times New Roman"/>
        </w:rPr>
        <w:t xml:space="preserve"> </w:t>
      </w:r>
      <w:r>
        <w:rPr>
          <w:rFonts w:ascii="Nirmala UI" w:hAnsi="Nirmala UI" w:eastAsia="Nirmala UI" w:cs="Nirmala UI"/>
        </w:rPr>
        <w:t>वर्णित</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जागृतिकेँ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साक्षीसभक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बुझलनि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वरक</w:t>
      </w:r>
      <w:r>
        <w:rPr>
          <w:rFonts w:ascii="Times New Roman" w:hAnsi="Times New Roman" w:eastAsia="Times New Roman" w:cs="Times New Roman"/>
        </w:rPr>
        <w:t xml:space="preserve"> </w:t>
      </w:r>
      <w:r>
        <w:rPr>
          <w:rFonts w:ascii="Nirmala UI" w:hAnsi="Nirmala UI" w:eastAsia="Nirmala UI" w:cs="Nirmala UI"/>
        </w:rPr>
        <w:t>वचनक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दानिय्येलकेँ</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उपाय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निर्देशित</w:t>
      </w:r>
      <w:r>
        <w:rPr>
          <w:rFonts w:ascii="Times New Roman" w:hAnsi="Times New Roman" w:eastAsia="Times New Roman" w:cs="Times New Roman"/>
        </w:rPr>
        <w:t xml:space="preserve"> </w:t>
      </w:r>
      <w:r>
        <w:rPr>
          <w:rFonts w:ascii="Nirmala UI" w:hAnsi="Nirmala UI" w:eastAsia="Nirmala UI" w:cs="Nirmala UI"/>
        </w:rPr>
        <w:t>केलक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दानिय्येलकेँ</w:t>
      </w:r>
      <w:r>
        <w:rPr>
          <w:rFonts w:ascii="Times New Roman" w:hAnsi="Times New Roman" w:eastAsia="Times New Roman" w:cs="Times New Roman"/>
        </w:rPr>
        <w:t xml:space="preserve"> </w:t>
      </w:r>
      <w:r>
        <w:rPr>
          <w:rFonts w:ascii="Nirmala UI" w:hAnsi="Nirmala UI" w:eastAsia="Nirmala UI" w:cs="Nirmala UI"/>
        </w:rPr>
        <w:t>आगाँक</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अध्यायमे</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होमयवाला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ताहि</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होएबाक</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तहिना</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मिल्लेराइटसभ</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कुँआरिनक</w:t>
      </w:r>
      <w:r>
        <w:rPr>
          <w:rFonts w:ascii="Times New Roman" w:hAnsi="Times New Roman" w:eastAsia="Times New Roman" w:cs="Times New Roman"/>
        </w:rPr>
        <w:t xml:space="preserve"> </w:t>
      </w:r>
      <w:r>
        <w:rPr>
          <w:rFonts w:ascii="Nirmala UI" w:hAnsi="Nirmala UI" w:eastAsia="Nirmala UI" w:cs="Nirmala UI"/>
        </w:rPr>
        <w:t>दृष्टान्तक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केलनि</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हुनकासभकेँ</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होएबाक</w:t>
      </w:r>
      <w:r>
        <w:rPr>
          <w:rFonts w:ascii="Times New Roman" w:hAnsi="Times New Roman" w:eastAsia="Times New Roman" w:cs="Times New Roman"/>
        </w:rPr>
        <w:t xml:space="preserve"> </w:t>
      </w:r>
      <w:r>
        <w:rPr>
          <w:rFonts w:ascii="Nirmala UI" w:hAnsi="Nirmala UI" w:eastAsia="Nirmala UI" w:cs="Nirmala UI"/>
        </w:rPr>
        <w:t>पड़ल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विलम्ब</w:t>
      </w:r>
      <w:r>
        <w:rPr>
          <w:rFonts w:ascii="Times New Roman" w:hAnsi="Times New Roman" w:eastAsia="Times New Roman" w:cs="Times New Roman"/>
        </w:rPr>
        <w:t xml:space="preserve"> </w:t>
      </w:r>
      <w:r>
        <w:rPr>
          <w:rFonts w:ascii="Nirmala UI" w:hAnsi="Nirmala UI" w:eastAsia="Nirmala UI" w:cs="Nirmala UI"/>
        </w:rPr>
        <w:t>हुनकासभकेँ</w:t>
      </w:r>
      <w:r>
        <w:rPr>
          <w:rFonts w:ascii="Times New Roman" w:hAnsi="Times New Roman" w:eastAsia="Times New Roman" w:cs="Times New Roman"/>
        </w:rPr>
        <w:t xml:space="preserve"> </w:t>
      </w:r>
      <w:r>
        <w:rPr>
          <w:rFonts w:ascii="Nirmala UI" w:hAnsi="Nirmala UI" w:eastAsia="Nirmala UI" w:cs="Nirmala UI"/>
        </w:rPr>
        <w:t>सुतबा</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भविष्यवक्तासभ</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दिनसभक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p>
    <w:p>
      <w:pPr>
        <w:pStyle w:val="ArticleBody"/>
        <w:jc w:val="left"/>
      </w:pPr>
      <w:r>
        <w:rPr>
          <w:rFonts w:ascii="Times New Roman" w:hAnsi="Times New Roman" w:eastAsia="Times New Roman" w:cs="Times New Roman"/>
        </w:rPr>
        <w:t>Le réveil de Daniel et celui des millérites sont deux témoins du réveil des cent quarante-quatre mille dans les derniers jours.</w:t>
      </w:r>
    </w:p>
    <w:p>
      <w:pPr>
        <w:pStyle w:val="ArticleScripture"/>
        <w:jc w:val="left"/>
      </w:pPr>
      <w:r>
        <w:rPr>
          <w:rFonts w:ascii="Times New Roman" w:hAnsi="Times New Roman" w:eastAsia="Times New Roman" w:cs="Times New Roman"/>
        </w:rPr>
        <w:t>“Jisuu fi mootummaa samii hundinuu warra abdiidhaan mi’aawaa ta’een Isa lubbuun isaanii jaallattu arguuf dheeraadhaa hawwan irratti gara laafinaa fi jaalalaan ilaalaa turan. Yeroo qorumsa isaanii keessatti isaan jabeessuuf ergamoonni isaanii irra naanna’aa turan. Warri ergaa samii sana fudhachuu dagatan immoo dukkana keessatti hafu; dheekkamsi Waaqayyoo isaan irratti boba’e, sababni isaas ifa Inni samii irraa isaanitti erge fudhachuu waan didaniif. Warri amanamoon sun, kan abdii kutatanii turan, sababii Gooftaan isaanii hin dhufne hubachuu hin dandeenye, dukkana keessatti hin hafne. Ammas yeroo raajii sana qorachuuf Macaafa Qulqulluu isaanii keessatti geggeeffaman. Harki Gooftaa lakkoofsota sana irraa kaafame, dogoggorri sunis ibsame. Isaan yeroo raajii sun hanga 1844tti akka ga’u argan; ragaan isaan yeroo raajii sun bara 1843tti xumurama jedhan mirkaneessuuf dhiheessan sunumti immoo akka inni bara 1844tti xumuramu ni mirkaneesse. Ifni Dubbii Waaqayyoo iddoo isaanii irratti ife, isaanis yeroo tursiisaa tokko ni argatan—‘Yoo inni [mul’anni] turus, isa eegi.’ Isaan dhufaatii Kiristoos isa dhihoo sanaaf qaban jaalalaan, tursiisa mul’ataa sana kan warra dhugumaan eegaa jiran mul’isuuf qophaa’e sana dagatanii turan. Ammas isaan qabxii yeroo tokko ni argatan. Haa ta’u malee, ani baay’een isaanii abdii cabsamuu cimaa isaanii sanaa ol ka’anii, hamma hinaaffaa fi humna amantii isaanii bara 1843 keessatti mul’ate sanaa qabaachuu akka hin dandeenye nan arge.” Early Writings, 236.</w:t>
      </w:r>
    </w:p>
    <w:p>
      <w:pPr>
        <w:pStyle w:val="ArticleBody"/>
        <w:jc w:val="left"/>
      </w:pPr>
      <w:r>
        <w:rPr>
          <w:rFonts w:ascii="Times New Roman" w:hAnsi="Times New Roman" w:eastAsia="Times New Roman" w:cs="Times New Roman"/>
        </w:rPr>
        <w:t>A wɔde mmɛbusɛm no baa mu no, Millerfo no “na wɔabu ani agu anisoadehunu no twentwɛn no so,” nanso “wɔsan” “kɔɔ wɔn Bible mu kɔhwehwɛɛ nkɔmhyɛ mmere no. Woyii Awurade nsa fii akontaabu no so, na wɔkyerɛkyerɛɛ mfomso no mu.” Wɔde Daniel kɔɔ Bible no mu, na woyii “Awurade nsa” fii “nkɔmhyɛ mmere no” so; na bere a Daniel, sɛ ɔyɛfo, na ɛnyɛ otiefo kɛkɛ, denam gyidi a ɛyɛ adwuma so de daa no adi sɛ ɔte Yeremia ne Mose nkrasɛm no ase, bere a odii akwankyerɛ a wɔde ama wɔ Lewifo nhoma aduonu nsia mu no so, ne saa ara nso na ɔde aduru ne ano aduru maa Onyankopɔn nkurɔfo apete no, ɛno na wɔde “nkyerɛase no” maa Daniel.</w:t>
      </w:r>
    </w:p>
    <w:p>
      <w:pPr>
        <w:pStyle w:val="ArticleBody"/>
        <w:jc w:val="left"/>
      </w:pPr>
      <w:r>
        <w:rPr>
          <w:rFonts w:ascii="Times New Roman" w:hAnsi="Times New Roman" w:eastAsia="Times New Roman" w:cs="Times New Roman"/>
        </w:rPr>
        <w:t>Lorsque les cent quarante-quatre mille accompliront le temps d’attente de la parabole dans son accomplissement final et le plus parfait aux derniers jours, ils le feront durant une période où la « formation de l’image de la bête » constituera pour eux la grande épreuve.</w:t>
      </w:r>
    </w:p>
    <w:p>
      <w:pPr>
        <w:pStyle w:val="ArticleBody"/>
        <w:jc w:val="left"/>
      </w:pPr>
      <w:r>
        <w:rPr>
          <w:rFonts w:ascii="Times New Roman" w:hAnsi="Times New Roman" w:eastAsia="Times New Roman" w:cs="Times New Roman"/>
        </w:rPr>
        <w:t>Nous poursuivrons ces réflexions dans le prochain article.</w:t>
      </w:r>
    </w:p>
    <w:p>
      <w:pPr>
        <w:pStyle w:val="ArticleScripture"/>
        <w:jc w:val="left"/>
      </w:pPr>
      <w:r>
        <w:rPr>
          <w:rFonts w:ascii="Times New Roman" w:hAnsi="Times New Roman" w:eastAsia="Times New Roman" w:cs="Times New Roman"/>
        </w:rPr>
        <w:t>“‘Ande a bi dɔn bɔn fayn, wantɛm dat, i de put in i sikul wanta di atwɛst dɔn kam.’ Krays de wet wit grɛt langa-at fɔ di manɛ we In pɔn go so na In chɔch. We di karɛkta fɔ Krays go dɔn pulɛtli sho bak insay In pipul, den In go kam fɔ tek dɛm as In yon.” Christ’s Object Lessons 69.</w:t>
      </w:r>
    </w:p>
    <w:p>
      <w:pPr>
        <w:pStyle w:val="ArticleScripture"/>
        <w:jc w:val="left"/>
      </w:pPr>
      <w:r>
        <w:rPr>
          <w:rFonts w:ascii="Times New Roman" w:hAnsi="Times New Roman" w:eastAsia="Times New Roman" w:cs="Times New Roman"/>
        </w:rPr>
        <w:t>«Дуниёни қоплаб турган нарса — Худо ҳақидаги нотўғри тушунчанинг зулматидир. Инсонлар Унинг феъл-атвори ҳақидаги билимларини йўқотмоқдалар. У нотўғри тушунилди ва нотўғри талқин этилди. Айни шу вақтда Худодан бир хабар эълон қилиниши лозим — таъсирида ёритувчи ва қудратида нажот бахш этувчи бир хабар. Унинг феъл-атвори ошкор қилиниши керак. Дунёнинг зулматига Унинг улуғворлигининг нури, Унинг яхшилиги, раҳм-шафқати ва ҳақиқатининг нури сочилиши лозим.»</w:t>
      </w:r>
    </w:p>
    <w:p>
      <w:pPr>
        <w:pStyle w:val="ArticleScripture"/>
        <w:jc w:val="left"/>
      </w:pPr>
      <w:r>
        <w:rPr>
          <w:rFonts w:ascii="Times New Roman" w:hAnsi="Times New Roman" w:eastAsia="Times New Roman" w:cs="Times New Roman"/>
        </w:rPr>
        <w:t>“Dies ist das Werk, das der Prophet Jesaja mit den Worten umreißt: ‚O Jerusalem, das du gute Botschaft bringst, erhebe deine Stimme mit Kraft; erhebe sie, fürchte dich nicht; sprich zu den Städten Judas: Siehe, euer Gott! Siehe, Gott der HERR wird kommen mit starker Hand, und sein Arm wird für ihn herrschen; siehe, sein Lohn ist bei ihm und sein Werk vor ihm.‘ Jesaja 40,9.10.”</w:t>
      </w:r>
    </w:p>
    <w:p>
      <w:pPr>
        <w:pStyle w:val="ArticleScripture"/>
        <w:jc w:val="left"/>
      </w:pPr>
      <w:r>
        <w:rPr>
          <w:rFonts w:ascii="Times New Roman" w:hAnsi="Times New Roman" w:eastAsia="Times New Roman" w:cs="Times New Roman"/>
        </w:rPr>
        <w:t>« Ceux qui attendent la venue de l’Époux doivent dire au peuple : “Voici votre Dieu.” Les derniers rayons de la lumière de miséricorde, le dernier message de miséricorde qui doit être donné au monde, sont une révélation de son caractère d’amour. Les enfants de Dieu doivent manifester sa gloire. Dans leur propre vie et leur propre caractère, ils doivent révéler ce que la grâce de Dieu a fait pour eux. »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రోము దర్శనాన్ని స్థాపిస్తుంది - సంఖ్య పద్నాలుగు</dc:title>
  <dc:subject>Reflets du Christ et formation de l’image de la bête : un parallèle prophétique dans les derniers jours</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