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algun Gothic" w:hAnsi="Malgun Gothic" w:eastAsia="Malgun Gothic" w:cs="Malgun Gothic"/>
        </w:rPr>
        <w:t>로마가</w:t>
      </w:r>
      <w:r>
        <w:rPr>
          <w:rFonts w:ascii="Arial" w:hAnsi="Arial" w:eastAsia="Arial" w:cs="Arial"/>
        </w:rPr>
        <w:t xml:space="preserve"> </w:t>
      </w:r>
      <w:r>
        <w:rPr>
          <w:rFonts w:ascii="Malgun Gothic" w:hAnsi="Malgun Gothic" w:eastAsia="Malgun Gothic" w:cs="Malgun Gothic"/>
        </w:rPr>
        <w:t>그</w:t>
      </w:r>
      <w:r>
        <w:rPr>
          <w:rFonts w:ascii="Arial" w:hAnsi="Arial" w:eastAsia="Arial" w:cs="Arial"/>
        </w:rPr>
        <w:t xml:space="preserve"> </w:t>
      </w:r>
      <w:r>
        <w:rPr>
          <w:rFonts w:ascii="Malgun Gothic" w:hAnsi="Malgun Gothic" w:eastAsia="Malgun Gothic" w:cs="Malgun Gothic"/>
        </w:rPr>
        <w:t>이상을</w:t>
      </w:r>
      <w:r>
        <w:rPr>
          <w:rFonts w:ascii="Arial" w:hAnsi="Arial" w:eastAsia="Arial" w:cs="Arial"/>
        </w:rPr>
        <w:t xml:space="preserve"> </w:t>
      </w:r>
      <w:r>
        <w:rPr>
          <w:rFonts w:ascii="Malgun Gothic" w:hAnsi="Malgun Gothic" w:eastAsia="Malgun Gothic" w:cs="Malgun Gothic"/>
        </w:rPr>
        <w:t>확립하다</w:t>
      </w:r>
      <w:r>
        <w:rPr>
          <w:rFonts w:ascii="Arial" w:hAnsi="Arial" w:eastAsia="Arial" w:cs="Arial"/>
        </w:rPr>
        <w:t xml:space="preserve"> - </w:t>
      </w:r>
      <w:r>
        <w:rPr>
          <w:rFonts w:ascii="Malgun Gothic" w:hAnsi="Malgun Gothic" w:eastAsia="Malgun Gothic" w:cs="Malgun Gothic"/>
        </w:rPr>
        <w:t>열다섯</w:t>
      </w:r>
      <w:r>
        <w:rPr>
          <w:rFonts w:ascii="Arial" w:hAnsi="Arial" w:eastAsia="Arial" w:cs="Arial"/>
        </w:rPr>
        <w:t xml:space="preserve"> </w:t>
      </w:r>
      <w:r>
        <w:rPr>
          <w:rFonts w:ascii="Malgun Gothic" w:hAnsi="Malgun Gothic" w:eastAsia="Malgun Gothic" w:cs="Malgun Gothic"/>
        </w:rPr>
        <w:t>번째</w:t>
      </w:r>
      <w:r>
        <w:rPr>
          <w:rFonts w:ascii="Arial" w:hAnsi="Arial" w:eastAsia="Arial" w:cs="Arial"/>
        </w:rPr>
        <w:t xml:space="preserve"> </w:t>
      </w:r>
      <w:r>
        <w:rPr>
          <w:rFonts w:ascii="Malgun Gothic" w:hAnsi="Malgun Gothic" w:eastAsia="Malgun Gothic" w:cs="Malgun Gothic"/>
        </w:rPr>
        <w:t>수</w:t>
      </w:r>
    </w:p>
    <w:p>
      <w:pPr>
        <w:pStyle w:val="ArticleSubtitle"/>
        <w:jc w:val="left"/>
      </w:pPr>
      <w:r>
        <w:rPr>
          <w:rFonts w:ascii="Arial" w:hAnsi="Arial" w:eastAsia="Arial" w:cs="Arial"/>
        </w:rPr>
        <w:t>Mtihani wa Mwisho: Kuamkia Mzozo wa Kinabii wa Sanamu ya Mnyama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2024-09-03</w:t>
      </w:r>
    </w:p>
    <w:p>
      <w:pPr>
        <w:pStyle w:val="ArticleBody"/>
        <w:jc w:val="left"/>
      </w:pPr>
      <w:r>
        <w:rPr>
          <w:rFonts w:ascii="Times New Roman" w:hAnsi="Times New Roman" w:eastAsia="Times New Roman" w:cs="Times New Roman"/>
        </w:rPr>
        <w:t>Nous sommes maintenant dans la période d’épreuve de l’image de la bête, et la première controverse prophétique de l’histoire de l’adventisme se répète à présent. En juillet 2023, Michel l’archange est descendu pour réveiller les ossements desséchés et morts d’Ézéchiel, qui gisaient tués dans la rue de cette grande ville de Sodome et d’Égypte. Là, au chapitre onze de l’Apocalypse, ils sont tirés de leur sommeil de mort par la communication de l’Esprit. Au chapitre trente-sept d’Ézéchiel, le message des quatre vents est identifié comme le message qui transforme les ossements desséchés et morts, lesquels sont identifiés comme toute la maison d’Israël, en l’armée du Seigneur. Le prophète Daniel représente les deux témoins tués de Jean, et il représente aussi ceux qui se trouvent dans la vallée des ossements desséchés et morts, ainsi que les vierges sages de la parabole.</w:t>
      </w:r>
    </w:p>
    <w:p>
      <w:pPr>
        <w:pStyle w:val="ArticleBody"/>
        <w:jc w:val="left"/>
      </w:pPr>
      <w:r>
        <w:rPr>
          <w:rFonts w:ascii="Times New Roman" w:hAnsi="Times New Roman" w:eastAsia="Times New Roman" w:cs="Times New Roman"/>
        </w:rPr>
        <w:t>Quand les millérites accomplirent la parabole, ils reconnurent que leur expérience y était représentée. Les cent quarante-quatre mille devront aussi reconnaître qu’ils ont été dans le temps du retard. Comme Daniel au chapitre neuf, ils devront reconnaître qu’ils ont été dispersés dans le pays des ennemis, comme le représentent les sept temps de Lévitique vingt-six, et comprendre aussi l’image secrète des bêtes de Nebucadnetsar.</w:t>
      </w:r>
    </w:p>
    <w:p>
      <w:pPr>
        <w:pStyle w:val="ArticleBody"/>
        <w:jc w:val="left"/>
      </w:pPr>
      <w:r>
        <w:rPr>
          <w:rFonts w:ascii="Times New Roman" w:hAnsi="Times New Roman" w:eastAsia="Times New Roman" w:cs="Times New Roman"/>
        </w:rPr>
        <w:t>Mu kila ya mistari hii kunawakilishwa jaribio la kinabii litokalo katika Neno la Mungu. Mashahidi wawili waliofu barabarani hujazwa na Roho wanapofufuliwa. Mifupa iliyokufa ya Ezekieli ilihitaji kusikia ujumbe wa kinabii. Danieli alikuwa akichunguza maandiko ya Musa na Yeremia alipofumbuliwa macho kuhusu hali yake ya kutawanyika. Katika sura ya pili Danieli na wale watatu mashujaa waliamshwa kwa njia ya mfano kutambua kwamba walikuwa wamewekwa chini ya amri ya kifo, na kisha nuru ya kinabii ambayo ilikuwa imefichwa na baadaye kufunuliwa iliokoa Danieli na rafiki zake watatu. Wanawali wa mfano huo wanaamshwa na “kilio” usiku wa manane. Wamilleri waliamshwa Kristo alipoondoa mkono Wake kutoka kwenye vielelezo vilivyokuwa kwenye chati. Katika mashahidi wote sita ni ujumbe wa kinabii unaowaamsha wafu au waliolala. Kisha huzalisha jaribio ambapo makundi mawili hudhihirishwa mwishoni mwa mchakato wa kujaribiwa.</w:t>
      </w:r>
    </w:p>
    <w:p>
      <w:pPr>
        <w:pStyle w:val="ArticleBody"/>
        <w:jc w:val="left"/>
      </w:pPr>
      <w:r>
        <w:rPr>
          <w:rFonts w:ascii="Times New Roman" w:hAnsi="Times New Roman" w:eastAsia="Times New Roman" w:cs="Times New Roman"/>
        </w:rPr>
        <w:t>Лäть эпīс ё̈рэйт шōжоннэ, кǟшт äлйт, шунно вунёс кǟжт, тюжзь Эзекиилын посланиесо нёлö вётрэсь, и Моисейлэн Левитлiк книгаын кык дас квайт луöмын сизимысь кöдзалöмсьыд. Сiйö — воскресение йылысь послание, кодöс вайö Михаил архангел. Сiйö — Навуходоносорлэн сюрпризной висьталтöм вöвлöм вöйтöм сьöрни, зверь образ йылысь.</w:t>
      </w:r>
    </w:p>
    <w:p>
      <w:pPr>
        <w:pStyle w:val="ArticleBody"/>
        <w:jc w:val="left"/>
      </w:pPr>
      <w:r>
        <w:rPr>
          <w:rFonts w:ascii="Times New Roman" w:hAnsi="Times New Roman" w:eastAsia="Times New Roman" w:cs="Times New Roman"/>
        </w:rPr>
        <w:t>Le vergini sono messe alla prova in base al fatto che abbiano dell’olio, il quale è identificato come «i messaggi dello Spirito di Dio». I Milleriti furono destati quando compresero di essere identificati nella Parola profetica di Dio, e anche quando videro che la stessa evidenza che dapprima li aveva condotti a predire il 1843 prediceva in realtà il 22 ottobre 1844. Sulla base di queste linee, si stabilisce che, quando i centoquarantaquattromila saranno destati negli ultimi giorni, essi saranno destati a un messaggio profetico di prova che produce due classi di adoratori.</w:t>
      </w:r>
    </w:p>
    <w:p>
      <w:pPr>
        <w:pStyle w:val="ArticleBody"/>
        <w:jc w:val="left"/>
      </w:pPr>
      <w:r>
        <w:rPr>
          <w:rFonts w:ascii="Microsoft YaHei" w:hAnsi="Microsoft YaHei" w:eastAsia="Microsoft YaHei" w:cs="Microsoft YaHei"/>
        </w:rPr>
        <w:t>这些线索都在由兽像之形成所表征、并指向那兽之像的先知性试验时期中</w:t>
      </w:r>
      <w:r>
        <w:rPr>
          <w:rFonts w:ascii="Times New Roman" w:hAnsi="Times New Roman" w:eastAsia="Times New Roman" w:cs="Times New Roman"/>
        </w:rPr>
        <w:t>,</w:t>
      </w:r>
      <w:r>
        <w:rPr>
          <w:rFonts w:ascii="Microsoft YaHei" w:hAnsi="Microsoft YaHei" w:eastAsia="Microsoft YaHei" w:cs="Microsoft YaHei"/>
        </w:rPr>
        <w:t>得着其完全而最终的应验</w:t>
      </w:r>
      <w:r>
        <w:rPr>
          <w:rFonts w:ascii="Times New Roman" w:hAnsi="Times New Roman" w:eastAsia="Times New Roman" w:cs="Times New Roman"/>
        </w:rPr>
        <w:t>.</w:t>
      </w:r>
      <w:r>
        <w:rPr>
          <w:rFonts w:ascii="Microsoft YaHei" w:hAnsi="Microsoft YaHei" w:eastAsia="Microsoft YaHei" w:cs="Microsoft YaHei"/>
        </w:rPr>
        <w:t>这个试验在主日法临到众童女、恩门关闭之时便告结束</w:t>
      </w:r>
      <w:r>
        <w:rPr>
          <w:rFonts w:ascii="Times New Roman" w:hAnsi="Times New Roman" w:eastAsia="Times New Roman" w:cs="Times New Roman"/>
        </w:rPr>
        <w:t>.</w:t>
      </w:r>
      <w:r>
        <w:rPr>
          <w:rFonts w:ascii="Microsoft YaHei" w:hAnsi="Microsoft YaHei" w:eastAsia="Microsoft YaHei" w:cs="Microsoft YaHei"/>
        </w:rPr>
        <w:t>因此</w:t>
      </w:r>
      <w:r>
        <w:rPr>
          <w:rFonts w:ascii="Times New Roman" w:hAnsi="Times New Roman" w:eastAsia="Times New Roman" w:cs="Times New Roman"/>
        </w:rPr>
        <w:t>,</w:t>
      </w:r>
      <w:r>
        <w:rPr>
          <w:rFonts w:ascii="Microsoft YaHei" w:hAnsi="Microsoft YaHei" w:eastAsia="Microsoft YaHei" w:cs="Microsoft YaHei"/>
        </w:rPr>
        <w:t>那兽之像的试验过程</w:t>
      </w:r>
      <w:r>
        <w:rPr>
          <w:rFonts w:ascii="Times New Roman" w:hAnsi="Times New Roman" w:eastAsia="Times New Roman" w:cs="Times New Roman"/>
        </w:rPr>
        <w:t>——</w:t>
      </w:r>
      <w:r>
        <w:rPr>
          <w:rFonts w:ascii="Microsoft YaHei" w:hAnsi="Microsoft YaHei" w:eastAsia="Microsoft YaHei" w:cs="Microsoft YaHei"/>
        </w:rPr>
        <w:t>一再被表述为一种显明谁已明白那被开启之信息的试验</w:t>
      </w:r>
      <w:r>
        <w:rPr>
          <w:rFonts w:ascii="Times New Roman" w:hAnsi="Times New Roman" w:eastAsia="Times New Roman" w:cs="Times New Roman"/>
        </w:rPr>
        <w:t>——</w:t>
      </w:r>
      <w:r>
        <w:rPr>
          <w:rFonts w:ascii="Microsoft YaHei" w:hAnsi="Microsoft YaHei" w:eastAsia="Microsoft YaHei" w:cs="Microsoft YaHei"/>
        </w:rPr>
        <w:t>乃由所有这些预言脉络所表征</w:t>
      </w:r>
      <w:r>
        <w:rPr>
          <w:rFonts w:ascii="Times New Roman" w:hAnsi="Times New Roman" w:eastAsia="Times New Roman" w:cs="Times New Roman"/>
        </w:rPr>
        <w:t>.</w:t>
      </w:r>
      <w:r>
        <w:rPr>
          <w:rFonts w:ascii="Microsoft YaHei" w:hAnsi="Microsoft YaHei" w:eastAsia="Microsoft YaHei" w:cs="Microsoft YaHei"/>
        </w:rPr>
        <w:t>在</w:t>
      </w:r>
      <w:r>
        <w:rPr>
          <w:rFonts w:ascii="Times New Roman" w:hAnsi="Times New Roman" w:eastAsia="Times New Roman" w:cs="Times New Roman"/>
        </w:rPr>
        <w:t>«</w:t>
      </w:r>
      <w:r>
        <w:rPr>
          <w:rFonts w:ascii="Microsoft YaHei" w:hAnsi="Microsoft YaHei" w:eastAsia="Microsoft YaHei" w:cs="Microsoft YaHei"/>
        </w:rPr>
        <w:t>但以理书</w:t>
      </w:r>
      <w:r>
        <w:rPr>
          <w:rFonts w:ascii="Times New Roman" w:hAnsi="Times New Roman" w:eastAsia="Times New Roman" w:cs="Times New Roman"/>
        </w:rPr>
        <w:t>»</w:t>
      </w:r>
      <w:r>
        <w:rPr>
          <w:rFonts w:ascii="Microsoft YaHei" w:hAnsi="Microsoft YaHei" w:eastAsia="Microsoft YaHei" w:cs="Microsoft YaHei"/>
        </w:rPr>
        <w:t>第十二章中</w:t>
      </w:r>
      <w:r>
        <w:rPr>
          <w:rFonts w:ascii="Times New Roman" w:hAnsi="Times New Roman" w:eastAsia="Times New Roman" w:cs="Times New Roman"/>
        </w:rPr>
        <w:t>,</w:t>
      </w:r>
      <w:r>
        <w:rPr>
          <w:rFonts w:ascii="Microsoft YaHei" w:hAnsi="Microsoft YaHei" w:eastAsia="Microsoft YaHei" w:cs="Microsoft YaHei"/>
        </w:rPr>
        <w:t>那些明白知识增长的智慧人</w:t>
      </w:r>
      <w:r>
        <w:rPr>
          <w:rFonts w:ascii="Times New Roman" w:hAnsi="Times New Roman" w:eastAsia="Times New Roman" w:cs="Times New Roman"/>
        </w:rPr>
        <w:t>,</w:t>
      </w:r>
      <w:r>
        <w:rPr>
          <w:rFonts w:ascii="Microsoft YaHei" w:hAnsi="Microsoft YaHei" w:eastAsia="Microsoft YaHei" w:cs="Microsoft YaHei"/>
        </w:rPr>
        <w:t>要经历一个三重的试验过程</w:t>
      </w:r>
      <w:r>
        <w:rPr>
          <w:rFonts w:ascii="Times New Roman" w:hAnsi="Times New Roman" w:eastAsia="Times New Roman" w:cs="Times New Roman"/>
        </w:rPr>
        <w:t>,</w:t>
      </w:r>
      <w:r>
        <w:rPr>
          <w:rFonts w:ascii="Microsoft YaHei" w:hAnsi="Microsoft YaHei" w:eastAsia="Microsoft YaHei" w:cs="Microsoft YaHei"/>
        </w:rPr>
        <w:t>表述为被洁净、变白并受熬炼</w:t>
      </w:r>
      <w:r>
        <w:rPr>
          <w:rFonts w:ascii="Times New Roman" w:hAnsi="Times New Roman" w:eastAsia="Times New Roman" w:cs="Times New Roman"/>
        </w:rPr>
        <w:t>.</w:t>
      </w:r>
      <w:r>
        <w:rPr>
          <w:rFonts w:ascii="Microsoft YaHei" w:hAnsi="Microsoft YaHei" w:eastAsia="Microsoft YaHei" w:cs="Microsoft YaHei"/>
        </w:rPr>
        <w:t>这三个步骤</w:t>
      </w:r>
      <w:r>
        <w:rPr>
          <w:rFonts w:ascii="Times New Roman" w:hAnsi="Times New Roman" w:eastAsia="Times New Roman" w:cs="Times New Roman"/>
        </w:rPr>
        <w:t>,</w:t>
      </w:r>
      <w:r>
        <w:rPr>
          <w:rFonts w:ascii="Microsoft YaHei" w:hAnsi="Microsoft YaHei" w:eastAsia="Microsoft YaHei" w:cs="Microsoft YaHei"/>
        </w:rPr>
        <w:t>就是圣灵所带来的知罪</w:t>
      </w:r>
      <w:r>
        <w:rPr>
          <w:rFonts w:ascii="Times New Roman" w:hAnsi="Times New Roman" w:eastAsia="Times New Roman" w:cs="Times New Roman"/>
        </w:rPr>
        <w:t>,</w:t>
      </w:r>
      <w:r>
        <w:rPr>
          <w:rFonts w:ascii="Microsoft YaHei" w:hAnsi="Microsoft YaHei" w:eastAsia="Microsoft YaHei" w:cs="Microsoft YaHei"/>
        </w:rPr>
        <w:t>表明对罪、义、审判的责备</w:t>
      </w:r>
      <w:r>
        <w:rPr>
          <w:rFonts w:ascii="Times New Roman" w:hAnsi="Times New Roman" w:eastAsia="Times New Roman" w:cs="Times New Roman"/>
        </w:rPr>
        <w:t>.</w:t>
      </w:r>
      <w:r>
        <w:rPr>
          <w:rFonts w:ascii="Microsoft YaHei" w:hAnsi="Microsoft YaHei" w:eastAsia="Microsoft YaHei" w:cs="Microsoft YaHei"/>
        </w:rPr>
        <w:t>这三个步骤就是外院、圣所与至圣所</w:t>
      </w:r>
      <w:r>
        <w:rPr>
          <w:rFonts w:ascii="Times New Roman" w:hAnsi="Times New Roman" w:eastAsia="Times New Roman" w:cs="Times New Roman"/>
        </w:rPr>
        <w:t>.</w:t>
      </w:r>
      <w:r>
        <w:rPr>
          <w:rFonts w:ascii="Microsoft YaHei" w:hAnsi="Microsoft YaHei" w:eastAsia="Microsoft YaHei" w:cs="Microsoft YaHei"/>
        </w:rPr>
        <w:t>这三个步骤也表现在</w:t>
      </w:r>
      <w:r>
        <w:rPr>
          <w:rFonts w:ascii="Times New Roman" w:hAnsi="Times New Roman" w:eastAsia="Times New Roman" w:cs="Times New Roman"/>
        </w:rPr>
        <w:t>«</w:t>
      </w:r>
      <w:r>
        <w:rPr>
          <w:rFonts w:ascii="Microsoft YaHei" w:hAnsi="Microsoft YaHei" w:eastAsia="Microsoft YaHei" w:cs="Microsoft YaHei"/>
        </w:rPr>
        <w:t>启示录</w:t>
      </w:r>
      <w:r>
        <w:rPr>
          <w:rFonts w:ascii="Times New Roman" w:hAnsi="Times New Roman" w:eastAsia="Times New Roman" w:cs="Times New Roman"/>
        </w:rPr>
        <w:t>»</w:t>
      </w:r>
      <w:r>
        <w:rPr>
          <w:rFonts w:ascii="Microsoft YaHei" w:hAnsi="Microsoft YaHei" w:eastAsia="Microsoft YaHei" w:cs="Microsoft YaHei"/>
        </w:rPr>
        <w:t>第十四章的三位天使之中</w:t>
      </w:r>
      <w:r>
        <w:rPr>
          <w:rFonts w:ascii="Times New Roman" w:hAnsi="Times New Roman" w:eastAsia="Times New Roman" w:cs="Times New Roman"/>
        </w:rPr>
        <w:t>,</w:t>
      </w:r>
      <w:r>
        <w:rPr>
          <w:rFonts w:ascii="Microsoft YaHei" w:hAnsi="Microsoft YaHei" w:eastAsia="Microsoft YaHei" w:cs="Microsoft YaHei"/>
        </w:rPr>
        <w:t>也表现在</w:t>
      </w:r>
      <w:r>
        <w:rPr>
          <w:rFonts w:ascii="Times New Roman" w:hAnsi="Times New Roman" w:eastAsia="Times New Roman" w:cs="Times New Roman"/>
        </w:rPr>
        <w:t>«</w:t>
      </w:r>
      <w:r>
        <w:rPr>
          <w:rFonts w:ascii="Microsoft YaHei" w:hAnsi="Microsoft YaHei" w:eastAsia="Microsoft YaHei" w:cs="Microsoft YaHei"/>
        </w:rPr>
        <w:t>但以理书</w:t>
      </w:r>
      <w:r>
        <w:rPr>
          <w:rFonts w:ascii="Times New Roman" w:hAnsi="Times New Roman" w:eastAsia="Times New Roman" w:cs="Times New Roman"/>
        </w:rPr>
        <w:t>»</w:t>
      </w:r>
      <w:r>
        <w:rPr>
          <w:rFonts w:ascii="Microsoft YaHei" w:hAnsi="Microsoft YaHei" w:eastAsia="Microsoft YaHei" w:cs="Microsoft YaHei"/>
        </w:rPr>
        <w:t>第一章里但以理和三位尊贵同伴的经历之中</w:t>
      </w:r>
      <w:r>
        <w:rPr>
          <w:rFonts w:ascii="Times New Roman" w:hAnsi="Times New Roman" w:eastAsia="Times New Roman" w:cs="Times New Roman"/>
        </w:rPr>
        <w:t>.</w:t>
      </w:r>
      <w:r>
        <w:rPr>
          <w:rFonts w:ascii="Microsoft YaHei" w:hAnsi="Microsoft YaHei" w:eastAsia="Microsoft YaHei" w:cs="Microsoft YaHei"/>
        </w:rPr>
        <w:t>在那里</w:t>
      </w:r>
      <w:r>
        <w:rPr>
          <w:rFonts w:ascii="Times New Roman" w:hAnsi="Times New Roman" w:eastAsia="Times New Roman" w:cs="Times New Roman"/>
        </w:rPr>
        <w:t>,</w:t>
      </w:r>
      <w:r>
        <w:rPr>
          <w:rFonts w:ascii="Microsoft YaHei" w:hAnsi="Microsoft YaHei" w:eastAsia="Microsoft YaHei" w:cs="Microsoft YaHei"/>
        </w:rPr>
        <w:t>他们首先通过了饮食的考验</w:t>
      </w:r>
      <w:r>
        <w:rPr>
          <w:rFonts w:ascii="Times New Roman" w:hAnsi="Times New Roman" w:eastAsia="Times New Roman" w:cs="Times New Roman"/>
        </w:rPr>
        <w:t>,</w:t>
      </w:r>
      <w:r>
        <w:rPr>
          <w:rFonts w:ascii="Microsoft YaHei" w:hAnsi="Microsoft YaHei" w:eastAsia="Microsoft YaHei" w:cs="Microsoft YaHei"/>
        </w:rPr>
        <w:t>继而通过了视觉的考验</w:t>
      </w:r>
      <w:r>
        <w:rPr>
          <w:rFonts w:ascii="Times New Roman" w:hAnsi="Times New Roman" w:eastAsia="Times New Roman" w:cs="Times New Roman"/>
        </w:rPr>
        <w:t>,</w:t>
      </w:r>
      <w:r>
        <w:rPr>
          <w:rFonts w:ascii="Microsoft YaHei" w:hAnsi="Microsoft YaHei" w:eastAsia="Microsoft YaHei" w:cs="Microsoft YaHei"/>
        </w:rPr>
        <w:t>最后通过了由北方王</w:t>
      </w:r>
      <w:r>
        <w:rPr>
          <w:rFonts w:ascii="Times New Roman" w:hAnsi="Times New Roman" w:eastAsia="Times New Roman" w:cs="Times New Roman"/>
        </w:rPr>
        <w:t>——</w:t>
      </w:r>
      <w:r>
        <w:rPr>
          <w:rFonts w:ascii="Microsoft YaHei" w:hAnsi="Microsoft YaHei" w:eastAsia="Microsoft YaHei" w:cs="Microsoft YaHei"/>
        </w:rPr>
        <w:t>以尼布甲尼撒为代表</w:t>
      </w:r>
      <w:r>
        <w:rPr>
          <w:rFonts w:ascii="Times New Roman" w:hAnsi="Times New Roman" w:eastAsia="Times New Roman" w:cs="Times New Roman"/>
        </w:rPr>
        <w:t>——</w:t>
      </w:r>
      <w:r>
        <w:rPr>
          <w:rFonts w:ascii="Microsoft YaHei" w:hAnsi="Microsoft YaHei" w:eastAsia="Microsoft YaHei" w:cs="Microsoft YaHei"/>
        </w:rPr>
        <w:t>所施行的第三个考验</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Waxam faa’iidada afartan wiil, Ilaah wuxuu siiyey aqoon iyo xirfad xagga cilmiga oo dhan iyo xigmadda; Daanyeelse wuxuu lahaa garasho xagga riyooyinka iyo muuqashooyinka oo dhan. Haddaba markii dhammaadkii maalmaha uu boqorku amray in la keeno la gaadhay, markaasaa taliyihii bohonadu wuxuu iyagii soo hor keenay Nebukadnesar. Boqorkiina wuu la hadlay iyaga; oo dhammaantood dhexdooda lagama helin mid la mid ah Daanyeel, Xananyaah, Miishaa’eel, iyo Casaryaah; sidaas daraaddeedna waxay istaageen boqorka hortiisa. Oo wax kasta oo xigmadda iyo garashada ah oo boqorku iyaga wax ka weyddiiyey, wuxuu ka helay iyaga inay toban jeer ka wanaagsan yihiin saaxiriintii iyo xiddig-falayaashii ku jiray boqortooyadiisa oo dhan. Daanyeel 1:17–20.</w:t>
      </w:r>
    </w:p>
    <w:p>
      <w:pPr>
        <w:pStyle w:val="ArticleBody"/>
        <w:jc w:val="left"/>
      </w:pPr>
      <w:r>
        <w:rPr>
          <w:rFonts w:ascii="Times New Roman" w:hAnsi="Times New Roman" w:eastAsia="Times New Roman" w:cs="Times New Roman"/>
        </w:rPr>
        <w:t>Ko a ʻōuli hope loa o nā hoʻāʻo ʻekolu no Daniʻela a me nā kānaka pono ʻekolu, he hoʻāʻo ia i hoʻokō ʻia e Nebukaneza; no laila, ʻo ka hoʻāʻo wānana hope loa a Daniʻela a me nā kānaka pono ʻekolu e hōʻailona nei, pili ia iā Babulona, no ka mea, ʻo Nebukaneza ke aliʻi; a ma ʻIsaia mokuna ʻehiku, paukū ʻewalu a me ʻeiwa, ua hoʻokūpaʻa ʻia ma laila he aliʻi, he kapikala o kekahi lāhui, a me kekahi “poʻo,” he mau hōʻailona hiki ke hoʻololi ʻia kekahi i kekahi. Ke hōʻike nei kēlā “poʻo” i ke poʻo o Babulona Hou i nā lā hope. ʻO kēlā “poʻo” i nā lā hope, ʻo ia ka wahine hoʻokamakama o Hōʻike ʻumikumamāhiku, nona ka mea i kākau ʻia ma luna o kona lae, “MYSTERY, BABYLON THE GREAT, THE MOTHER OF HARLOTS AND ABOMINATIONS OF THE EARTH.”</w:t>
      </w:r>
    </w:p>
    <w:p>
      <w:pPr>
        <w:pStyle w:val="ArticleBody"/>
        <w:jc w:val="left"/>
      </w:pPr>
      <w:r>
        <w:rPr>
          <w:rFonts w:ascii="Times New Roman" w:hAnsi="Times New Roman" w:eastAsia="Times New Roman" w:cs="Times New Roman"/>
        </w:rPr>
        <w:t>Faifekau’a e tahá mo e toko fā afe, ko ʻenau ʻahiʻahi fakaekikite fakaʻosi taha ʻoku fekauʻaki ia mo ha mahino totonu pe mahino hala ki he “ʻulu” ʻo Pāpiloné fakamuimui ní ʻi he ngaahi ʻaho fakaʻosí. Ko ʻenau ʻahiʻahi fakaʻosi foki ʻoku kau ai ʻa e mahino ko ia ko Pāpiloné fakamuimui mo Loma Fakamuimui ko ha ongo fakaʻilonga fetongitongi, pea ko ia ai, ko e “ʻulu” ʻo Pāpiloné fakamuimui ko e “ʻulu” tatau pē ia ʻi ha faʻahinga laine pē, he ko ha ongo fakaʻilonga fetongitongi ia.</w:t>
      </w:r>
    </w:p>
    <w:p>
      <w:pPr>
        <w:pStyle w:val="ArticleScripture"/>
        <w:jc w:val="left"/>
      </w:pPr>
      <w:r>
        <w:rPr>
          <w:rFonts w:ascii="Times New Roman" w:hAnsi="Times New Roman" w:eastAsia="Times New Roman" w:cs="Times New Roman"/>
        </w:rPr>
        <w:t>«Լոյսը լեցուն է փոթորիկով, պատերազմով և երկպառակությամբ։ Սակայն մի գլխի՝ պապական իշխանության ներքո, ժողովուրդները պիտի միավորվեն՝ Աստծուն հակառակվելու Նրա վկաների անձի մեջ»։ Testimonies, volume 7, 182.</w:t>
      </w:r>
    </w:p>
    <w:p>
      <w:pPr>
        <w:pStyle w:val="ArticleBody"/>
        <w:jc w:val="left"/>
      </w:pPr>
      <w:r>
        <w:rPr>
          <w:rFonts w:ascii="Times New Roman" w:hAnsi="Times New Roman" w:eastAsia="Times New Roman" w:cs="Times New Roman"/>
        </w:rPr>
        <w:t>Daniel e ne tiga worthi-dem mekem klia se las profetik tes, bikos hem i evritaem wan tes long profesi, hem i wan tes long saed blong Rome, from hed long las dei hem i paepol paoa, we Nebukadnesa i taepifaem hem, hem we i fas hed blong Babylon, mo hem wanwan nomo i tesem Daniel mo ne tiga worthi-dem. Kontrovesi we Daniel mo ne tiga worthi-dem i taepifaem, hem tu i prefiga long fas kontrovesi long fandesen histri blong Adventism, olsem we i represent long 1843 jat, we han blong Lod i daerektem, mo i no mas jenis. Kontrovesi we i represent long 1843 jat i stanap long saed blong makemaot Antiochus Epiphanes no pegen Rome olsem paoa ya we i stanemap vijen long ves fotin blong Daniel japta ileven.</w:t>
      </w:r>
    </w:p>
    <w:p>
      <w:pPr>
        <w:pStyle w:val="ArticleBody"/>
        <w:jc w:val="left"/>
      </w:pPr>
      <w:r>
        <w:rPr>
          <w:rFonts w:ascii="Times New Roman" w:hAnsi="Times New Roman" w:eastAsia="Times New Roman" w:cs="Times New Roman"/>
        </w:rPr>
        <w:t>A cikin tarihin kwanaki na ƙarshe, dubu ɗari da arba’in da huɗu za a gwada su bisa ga fahimtarsu ta annabci. Ana kafa fahimtar annabci ta wurin layuka dabam-dabam na annabci waɗanda suke ɗauke da gwaji na ƙarshe a matsayin abu mai yanayin annabci. Gwajin zai kasance a hankali-a-hankali, kuma zai kai ga kammalawarsa tare da bayyanar rukuni biyu na masu sujada.</w:t>
      </w:r>
    </w:p>
    <w:p>
      <w:pPr>
        <w:pStyle w:val="ArticleBody"/>
        <w:jc w:val="left"/>
      </w:pPr>
      <w:r>
        <w:rPr>
          <w:rFonts w:ascii="Times New Roman" w:hAnsi="Times New Roman" w:eastAsia="Times New Roman" w:cs="Times New Roman"/>
        </w:rPr>
        <w:t>Gẹ́gẹ́ bí a ti ṣàfihàn rẹ̀ nínú Dáníẹ́lì orí kejìlá, ìdánwò náà bẹ̀rẹ̀ nígbà tí a túmọ̀ ìmọ̀lẹ̀ àsọtẹ́lẹ̀ tuntun sílẹ̀, àti pé ìdánwò àkọ́kọ́ nígbà náà ni bóyá láti jẹ ìfẹ́rọ̀ náà tàbí kọ ìfẹ́rọ̀ náà. Dáníẹ́lì ṣàpẹẹrẹ ìdánwò náà gẹ́gẹ́ bí “a wẹ wọn mọ́,” ìdánwò tí ó tẹ̀lé e ni Dáníẹ́lì pè ní, “a sọ wọn di funfun,” àti pé ìlànà náà parí ní ìdánwò kẹta àti ìkẹyìn tí a ṣàpẹẹrẹ gẹ́gẹ́ bí “a dán wọn wò.” Ìdánwò kẹta àti ìkẹyìn ni ibi tí a ti “dán” àwọn ẹ̀yà méjèèjì wò, níbẹ̀ ni wọ́n sì fi hàn bóyá wọ́n ní òróró, tàbí bẹ́ẹ̀ kọ́.</w:t>
      </w:r>
    </w:p>
    <w:p>
      <w:pPr>
        <w:pStyle w:val="ArticleBody"/>
        <w:jc w:val="left"/>
      </w:pPr>
      <w:r>
        <w:rPr>
          <w:rFonts w:ascii="Times New Roman" w:hAnsi="Times New Roman" w:eastAsia="Times New Roman" w:cs="Times New Roman"/>
        </w:rPr>
        <w:t>Daniel chapter one inonyatsozvera mayeso okupedzisira, uye naizvozvo Danieri ari kuzivisa mayeso anomiririrwa se“kuumbwa kwemufananidzo wechikara,” ayo ari “mayeso anofanira kupfuurwa nevanhu vaMwari,” zvose vasati “vaiswa chisimbiso” uye zvakare nguva yokuedzwa isati “yavharwa” pamurayiro weSvondo uri kuuya nokukurumidza.</w:t>
      </w:r>
    </w:p>
    <w:p>
      <w:pPr>
        <w:pStyle w:val="ArticleBody"/>
        <w:jc w:val="left"/>
      </w:pPr>
      <w:r>
        <w:rPr>
          <w:rFonts w:ascii="Times New Roman" w:hAnsi="Times New Roman" w:eastAsia="Times New Roman" w:cs="Times New Roman"/>
        </w:rPr>
        <w:t>Азмоиши он ки чӣ гуна сурати ҳайвон ташаккул меёбад, озмоиши нубувватист барои дарки сохтори нубувватии иттиҳоди сегона. Аждаҳо, ҳайвон ва пайғамбари козиб дорои сохтори муайяни нубувватӣ мебошанд, ки бар асоси анбӯҳи зиёди шоҳидони нубувватӣ барқарор шудааст. Дарк кардани он ки чӣ гуна иттиҳоди сегона дар рӯзҳои охир ҳамчун як қувваи ягонаи нубувватӣ ба ҳам меояд, ҳамон дарк кардани он аст, ки чӣ гуна сурати ҳайвон ташаккул меёбад.</w:t>
      </w:r>
    </w:p>
    <w:p>
      <w:pPr>
        <w:pStyle w:val="ArticleBody"/>
        <w:jc w:val="left"/>
      </w:pPr>
      <w:r>
        <w:rPr>
          <w:rFonts w:ascii="Times New Roman" w:hAnsi="Times New Roman" w:eastAsia="Times New Roman" w:cs="Times New Roman"/>
        </w:rPr>
        <w:t>Une illustration simple, mais complexe, de l’importance de comprendre comment l’image de la bête se forme dans les derniers jours est le témoignage de Paul concernant l’homme de péché au chapitre deux de 2 Thessaloniciens. Paul traite de la relation prophétique entre la Rome païenne et la Rome papale, et, ce faisant, il montre que « la relation prophétique entre la Rome païenne et la Rome papale » est un sujet qui fait apparaître deux catégories d’adorateurs.</w:t>
      </w:r>
    </w:p>
    <w:p>
      <w:pPr>
        <w:pStyle w:val="ArticleBody"/>
        <w:jc w:val="left"/>
      </w:pPr>
      <w:r>
        <w:rPr>
          <w:rFonts w:ascii="Times New Roman" w:hAnsi="Times New Roman" w:eastAsia="Times New Roman" w:cs="Times New Roman"/>
        </w:rPr>
        <w:t>Un groupe aime la vérité de « la relation prophétique entre la Rome païenne et la Rome papale », et un autre groupe n’aime pas cette vérité et reçoit par conséquent une puissance d’égarement. La relation prophétique entre la Rome païenne et la Rome papale qu’a exposée Paul n’est qu’un des nombreux passages prophétiques qui représentent la relation de ces deux puissances, ainsi que la relation de ces deux puissances avec les États-Unis.</w:t>
      </w:r>
    </w:p>
    <w:p>
      <w:pPr>
        <w:pStyle w:val="ArticleBody"/>
        <w:jc w:val="left"/>
      </w:pPr>
      <w:r>
        <w:rPr>
          <w:rFonts w:ascii="Times New Roman" w:hAnsi="Times New Roman" w:eastAsia="Times New Roman" w:cs="Times New Roman"/>
        </w:rPr>
        <w:t>Rome païenne est le dragon, Rome papale est la bête, et les États-Unis sont le faux prophète. Achab est le roi-dragon de dix rois, marié à Jézabel la prostituée, qui domine sur un double ensemble de faux prophètes. Les prophètes mâles étaient les prophètes de Baal, et les prêtres du bosquet représentaient la déesse féminine Astarté. Ensemble, ils préfigurent le faux prophète des derniers jours, qui forme une image de la bête, représentée par les prêtresses et les prophètes mâles.</w:t>
      </w:r>
    </w:p>
    <w:p>
      <w:pPr>
        <w:pStyle w:val="ArticleBody"/>
        <w:jc w:val="left"/>
      </w:pPr>
      <w:r>
        <w:rPr>
          <w:rFonts w:ascii="Times New Roman" w:hAnsi="Times New Roman" w:eastAsia="Times New Roman" w:cs="Times New Roman"/>
        </w:rPr>
        <w:t>Le dragon est Achab, qui est un symbole des dix rois d’Apocalypse dix-sept, et constitue le septième royaume parmi huit royaumes. Le sixième royaume est les États-Unis, les faux prophètes de Jézabel ; le septième royaume est les dix rois, les Nations Unies, la puissance du dragon ; et le huitième royaume, qui est issu des sept, est le cinquième royaume qui reçut une blessure mortelle, lequel ressuscite comme le huitième et dernier royaume, à savoir la bête, à laquelle et de laquelle les États-Unis, puis ensuite le monde entier, font une image.</w:t>
      </w:r>
    </w:p>
    <w:p>
      <w:pPr>
        <w:pStyle w:val="ArticleBody"/>
        <w:jc w:val="left"/>
      </w:pPr>
      <w:r>
        <w:rPr>
          <w:rFonts w:ascii="Times New Roman" w:hAnsi="Times New Roman" w:eastAsia="Times New Roman" w:cs="Times New Roman"/>
        </w:rPr>
        <w:t>Sura ya kwanza ya Danieli inatambulisha jaribu la mwisho la kinabii linalohusisha kuielewa Roma kama inavyowakilishwa ndani ya Neno la Mungu. 2 Wathesalonike inabainisha kwamba jaribu la mwisho la kinabii linajumuisha nuru kuhusu muundo wa Roma ya Kisasa, kama inavyowakilishwa na uhusiano wa kinabii na kisiasa kati ya Roma ya kipagani na Roma ya kipapa.</w:t>
      </w:r>
    </w:p>
    <w:p>
      <w:pPr>
        <w:pStyle w:val="ArticleBody"/>
        <w:jc w:val="left"/>
      </w:pPr>
      <w:r>
        <w:rPr>
          <w:rFonts w:ascii="Times New Roman" w:hAnsi="Times New Roman" w:eastAsia="Times New Roman" w:cs="Times New Roman"/>
        </w:rPr>
        <w:t>Daniel, dua kape utlà dan ga jeñ tëdd, ne ci fan yu mujj yi, am na benn kumpa bu ñu ubbi, te mooy li di nattu ñaari téeméeri ak ñeent-fukk ak ñeent junni; ndaxte Daniel ak ñetti góor yu màgg ya ci kàddu gu ñaareel ga dañuy tegantal askanu Yàlla ci fan yu mujj yi. Kumpa gu waxoon ci waxi Yàlla te ñu ubbi ko, te moo tax ñu di leen nattu, mooy kër gi bëggul woon Nebukadnessar — géntam gu kumpa gu jëm ci nataalu rab yi — noonu mu doon màndargaal nattoo gu mujj gi ñeel ñaari téeméeri ak ñeent-fukk ak ñeent junni, gi doon, ni Jigéen White bindee ko, “sosuwaay nataalu rab ba.”</w:t>
      </w:r>
    </w:p>
    <w:p>
      <w:pPr>
        <w:pStyle w:val="ArticleBody"/>
        <w:jc w:val="left"/>
      </w:pPr>
      <w:r>
        <w:rPr>
          <w:rFonts w:ascii="Times New Roman" w:hAnsi="Times New Roman" w:eastAsia="Times New Roman" w:cs="Times New Roman"/>
        </w:rPr>
        <w:t>Jaribio linalowakilishwa na sura ya pili ya Danieli linawekwa chini ya tishio la mauti. Kama kielelezo cha siku za mwisho, linathibitisha kile ambacho Paulo alifundisha alipoutambua upotovu mkuu unaowajia wale wasioipenda kweli. Katika historia ya Danieli, ufahamu wake uliwaokoa wenye hekima wa Babeli, lakini hakuna muda wa rehema baada ya jaribio la mwisho la siku za mwisho.</w:t>
      </w:r>
    </w:p>
    <w:p>
      <w:pPr>
        <w:pStyle w:val="ArticleBody"/>
        <w:jc w:val="left"/>
      </w:pPr>
      <w:r>
        <w:rPr>
          <w:rFonts w:ascii="Times New Roman" w:hAnsi="Times New Roman" w:eastAsia="Times New Roman" w:cs="Times New Roman"/>
        </w:rPr>
        <w:t>Linya nyonso ya ntembe oyo etali Rome lokola elembo oyo tosili koyeba epesi litatoli ya polele mpo na ntembe oyo ezali kosalema sikoyo. Lokola koningana mpo na mibeko ya mokolo ya Lomingo ezali sikoyo kokende liboso na molili, Liloba ya esakweli ya Nzambe ezali komonisa kopusana na yango, atako milimo moke mingi nde bazali bana ya moi; mpe baoyo bazali bana ya moi te, yango wana bayebi te ete zelo ya ntango ya ekeko ya mawa ezali kosila nokinoki. Yango ezali kosalema na kati ya makambo oyo Sister White amonisaki, epai koningana ya nsuka ekosalema na lombangu. Na sanza ya nsambo, 2023, Michael akitaki mpo na kotelemisa limpinga na Ye ya nguya; kasi mpo moto azala eteni ya limpinga yango, mosala moko ya esakweli esengeli liboso kosalema, mpe esalemaka na kati ya esika ya politiki epai elilingi ya nyama ezali kobongisama.</w:t>
      </w:r>
    </w:p>
    <w:p>
      <w:pPr>
        <w:pStyle w:val="ArticleBody"/>
        <w:jc w:val="left"/>
      </w:pPr>
      <w:r>
        <w:rPr>
          <w:rFonts w:ascii="Times New Roman" w:hAnsi="Times New Roman" w:eastAsia="Times New Roman" w:cs="Times New Roman"/>
        </w:rPr>
        <w:t>Kazi ya kinabii ambayo ni lazima itimizwe inajumuisha kutambua kufanyizwa kwa sanamu ya mnyama. Mwanafunzi wa unabii lazima atambue, kwa matukio yanayotokea katika historia ya sasa, kwamba vipengele vya kidini na vya kisiasa vinavyozalisha sanamu ya mnyama nchini Marekani viko katika mwendo. Mwanafunzi huyo lazima pia atambue jinsi sanamu ya mnyama inavyofanyizwa kinabii kama ilivyowekwa wazi katika Neno la Mungu. Yampasa pia kutambua kwamba, huku sanamu ya mnyama ikifanyizwa nchini Marekani, sanamu ya Mungu inafanyizwa katika wale mia moja arobaini na nne elfu. Yampasa kuelewa ulinganifu wa historia ya siku za mwisho na Wamillerite wakati wa maendeleo ya ujumbe wa Kilio cha Usiku wa Manane katika historia yao, walipoamshwa kwa ukweli kwamba walikuwa katika wakati wa kukawia wa mfano huo, na kwa hiyo wao wenyewe ndio mabikira. Vipengele vyote vitatu ni sehemu ya jaribio la kinabii lililoanza kujidhihirisha mnamo Julai 2023.</w:t>
      </w:r>
    </w:p>
    <w:p>
      <w:pPr>
        <w:pStyle w:val="ArticleBody"/>
        <w:jc w:val="left"/>
      </w:pPr>
      <w:r>
        <w:rPr>
          <w:rFonts w:ascii="Times New Roman" w:hAnsi="Times New Roman" w:eastAsia="Times New Roman" w:cs="Times New Roman"/>
        </w:rPr>
        <w:t>« Ligne sur ligne », chaque controverse concernant Rome qui a surgi dans l’histoire adventiste était une histoire sacrée qui se répète dans les derniers jours. La controverse finale concernant Rome est la conséquence directe du refus du peuple de Dieu de se réveiller au message qui est arrivé en juillet 2023.</w:t>
      </w:r>
    </w:p>
    <w:p>
      <w:pPr>
        <w:pStyle w:val="ArticleScripture"/>
        <w:jc w:val="left"/>
      </w:pPr>
      <w:r>
        <w:rPr>
          <w:rFonts w:ascii="Times New Roman" w:hAnsi="Times New Roman" w:eastAsia="Times New Roman" w:cs="Times New Roman"/>
        </w:rPr>
        <w:t>« Dieu réveillera son peuple ; si d’autres moyens échouent, des hérésies s’introduiront parmi eux, lesquelles les passeront au crible, séparant l’ivraie du froment. Le Seigneur appelle tous ceux qui croient sa parole à se réveiller du sommeil. Une lumière précieuse est venue, appropriée à ce temps-ci. C’est la vérité biblique, montrant les périls qui sont tout près de nous. Cette lumière devrait nous conduire à une étude diligente des Écritures et à un examen des plus rigoureux des positions que nous soutenons. Dieu veut que toutes les implications et toutes les positions de la vérité soient examinées à fond et avec persévérance, avec prière et jeûne. Les croyants ne doivent pas se reposer sur des suppositions et des idées mal définies de ce qui constitue la vérité. Leur foi doit être solidement fondée sur la parole de Dieu, afin que, lorsque le temps de l’épreuve viendra et qu’ils seront amenés devant des conseils pour répondre de leur foi, ils puissent être capables de rendre raison de l’espérance qui est en eux, avec douceur et crainte. »</w:t>
      </w:r>
    </w:p>
    <w:p>
      <w:pPr>
        <w:pStyle w:val="ArticleScripture"/>
        <w:jc w:val="left"/>
      </w:pPr>
      <w:r>
        <w:rPr>
          <w:rFonts w:ascii="Times New Roman" w:hAnsi="Times New Roman" w:eastAsia="Times New Roman" w:cs="Times New Roman"/>
        </w:rPr>
        <w:t>«Agitez, agitez, agitez. Les sujets que nous présentons au monde doivent être pour nous une réalité vivante. Il importe que, lorsque nous défendons les doctrines que nous considérons comme des articles fondamentaux de la foi, nous ne nous permettions jamais d’employer des arguments qui ne soient pas entièrement solides. Ceux-ci peuvent réussir à réduire au silence un contradicteur, mais ils ne rendent pas honneur à la vérité. Nous devons présenter des arguments solides, qui non seulement réduiront nos adversaires au silence, mais supporteront aussi l’examen le plus rigoureux et le plus approfondi. Chez ceux qui se sont formés eux-mêmes comme débatteurs, il y a un grand danger qu’ils ne manient pas la parole de Dieu avec équité. En présence d’un opposant, notre effort sincère devrait être de présenter les sujets de telle manière qu’ils éveillent la conviction dans son esprit, au lieu de chercher seulement à affermir la confiance du croyant. »</w:t>
      </w:r>
    </w:p>
    <w:p>
      <w:pPr>
        <w:pStyle w:val="ArticleScripture"/>
        <w:jc w:val="left"/>
      </w:pPr>
      <w:r>
        <w:rPr>
          <w:rFonts w:ascii="Times New Roman" w:hAnsi="Times New Roman" w:eastAsia="Times New Roman" w:cs="Times New Roman"/>
        </w:rPr>
        <w:t>«Egal wie weit der Mensch in seiner intellektuellen Entwicklung fortgeschritten sein mag, soll er auch nicht einen Augenblick meinen, es bestehe keine Notwendigkeit zu gründlicher und fortgesetzter Erforschung der Heiligen Schrift, um größeres Licht zu empfangen. Als Volk sind wir berufen, jeder Einzelne für sich, Studenten der Weissagung zu sein. Wir müssen mit Ernst wachen, damit wir jeden Lichtstrahl erkennen, den Gott uns darbieten wird. Wir sollen die ersten Aufleuchtungen der Wahrheit erfassen; und durch betendes Studium kann klareres Licht erlangt werden, das anderen vorgelegt werden kann.» Testimonies, Volume 5, 708.</w:t>
      </w:r>
    </w:p>
    <w:p>
      <w:pPr>
        <w:pStyle w:val="ArticleBody"/>
        <w:jc w:val="left"/>
      </w:pPr>
      <w:r>
        <w:rPr>
          <w:rFonts w:ascii="Times New Roman" w:hAnsi="Times New Roman" w:eastAsia="Times New Roman" w:cs="Times New Roman"/>
        </w:rPr>
        <w:t>پروتستان‌های روزگار میلر نپذیرفتند که به قواعد دستور زبان ملتزم باشند، و برگزیدند که واژهٔ «also» را در آیهٔ چهاردهم نادیده بگیرند؛ واژه‌ای که از حیث دستوری تعیین می‌کند که «the robbers of thy people» نمایانگر قدرتی تازه بود که به جریان حوادثی که در آیاتی که آیهٔ چهاردهم در میان آن‌ها قرار دارد، بازنمایی شده‌اند، وارد می‌شد. اوریا اسمیت نیز دقیقاً همین کار را کرد، آن‌گاه که شواهد دستوری‌ای را نادیده گرفت که ثابت می‌کند پادشاه شمال در آیهٔ سی‌وشش و سپس در آیهٔ چهل، ناگزیر می‌بایست همان پادشاه شمالی باشد که از آیهٔ سی‌ویک موضوع سخن بوده است.</w:t>
      </w:r>
    </w:p>
    <w:p>
      <w:pPr>
        <w:pStyle w:val="ArticleBody"/>
        <w:jc w:val="left"/>
      </w:pPr>
      <w:r>
        <w:rPr>
          <w:rFonts w:ascii="Times New Roman" w:hAnsi="Times New Roman" w:eastAsia="Times New Roman" w:cs="Times New Roman"/>
        </w:rPr>
        <w:t>Aujourd’hui, ceux qui enseignent que les États-Unis sont les « voleurs » recourent à un passage de sœur White qui identifie le pouvoir papal et les États-Unis comme les deux principales puissances persécutrices des derniers jours, et ils en tordent la grammaire pour soutenir que l’expression « old world », que sœur White emploie pour désigner l’Europe, représenterait en réalité l’histoire passée. La grammaire du passage prouve qu’il s’agit là d’une supposition erronée, et la manière dont sœur White emploie « old world » dans ce passage s’accorde avec l’usage qu’elle en fait ailleurs dans ses écrits. Ce faisant, elle est également en accord avec les historiens qui utilisent l’expression « old world » par rapport au « new world » pour établir une distinction entre l’Europe et les Amériques.</w:t>
      </w:r>
    </w:p>
    <w:p>
      <w:pPr>
        <w:pStyle w:val="ArticleScripture"/>
        <w:jc w:val="left"/>
      </w:pPr>
      <w:r>
        <w:rPr>
          <w:rFonts w:ascii="Times New Roman" w:hAnsi="Times New Roman" w:eastAsia="Times New Roman" w:cs="Times New Roman"/>
        </w:rPr>
        <w:t>« Le romanisme dans l’Ancien Monde et le protestantisme apostat dans le Nouveau suivront une ligne de conduite semblable à l’égard de ceux qui honorent tous les préceptes divins. » The Great Controversy, 615.</w:t>
      </w:r>
    </w:p>
    <w:p>
      <w:pPr>
        <w:pStyle w:val="ArticleBody"/>
        <w:jc w:val="left"/>
      </w:pPr>
      <w:r>
        <w:rPr>
          <w:rFonts w:ascii="Times New Roman" w:hAnsi="Times New Roman" w:eastAsia="Times New Roman" w:cs="Times New Roman"/>
        </w:rPr>
        <w:t>U kisapul ani imukwento “mangipap persegi” ket iparangarangna a dagiti dua a pannakabalin a naisimsimbolo babaen ti “daan a lubong” ken ti “baro” ket agpada a “mangipap persegi” iti pannakaidadanes dagiti tattao ti Dios idiay maudi nga al-aldaw; ket maysa a gramatikal a kamalian no ibaga a daytoy a pangungusap ket tudtudoenna ti “daan a lubong” kas napalabas nga pakasaritaan, ken ti “baro” kas dagiti maudi nga al-aldaw. “Linia iti rabaw ti linia,” amin dagiti daan a kontrobersia ti Roma ket isuroda iti estudiante ti padto maipanggep kadagiti maudi nga al-aldaw a inton mapukawanda iti pagsubok ti ladawan ti animal, mairaman dayta iti maysa nga ayan a ti husto a pannakailasin kadagiti mannanakaw kadagiti tattaom ket maiparangarang. Ti husto a pannakaawat iti “mannanakaw,” ket naipakita iti tsart dagiti payunir idi 1843, ket gapuna maysa dayta a pamuon a kinapudno, a napasingked babaen iti turay ti Espiritu ti Padto. Daytoy ket ipakitana a inton makariing dagiti estudiante ti padto iti maudi a pagsubokda, ti suheto ti “mannanakaw,” ket itakderna met ti maudi nga iruar a panangsalaknib kadagiti pamuon a kinapudno, ken ti Espiritu ti Padto.</w:t>
      </w:r>
    </w:p>
    <w:p>
      <w:pPr>
        <w:pStyle w:val="ArticleBody"/>
        <w:jc w:val="left"/>
      </w:pPr>
      <w:r>
        <w:rPr>
          <w:rFonts w:ascii="Times New Roman" w:hAnsi="Times New Roman" w:eastAsia="Times New Roman" w:cs="Times New Roman"/>
        </w:rPr>
        <w:t>Nous poursuivrons ces réflexions dans le prochain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로마가 그 이상을 확립하다 - 열다섯 번째 수</dc:title>
  <dc:subject>Mtihani wa Mwisho: Kuamkia Mzozo wa Kinabii wa Sanamu ya Mnyama</dc:subject>
  <dc:creator>Jeff Pippenger</dc:creator>
  <cp:keywords/>
  <dc:description>Generated by ArticleDigger from modern_rome\15_modern_rome.json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