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ਰੋਮ</w:t>
      </w:r>
      <w:r>
        <w:rPr>
          <w:rFonts w:ascii="Arial" w:hAnsi="Arial" w:eastAsia="Arial" w:cs="Arial"/>
        </w:rPr>
        <w:t xml:space="preserve"> </w:t>
      </w:r>
      <w:r>
        <w:rPr>
          <w:rFonts w:ascii="Nirmala UI" w:hAnsi="Nirmala UI" w:eastAsia="Nirmala UI" w:cs="Nirmala UI"/>
        </w:rPr>
        <w:t>ਦਰਸ਼ਨ</w:t>
      </w:r>
      <w:r>
        <w:rPr>
          <w:rFonts w:ascii="Arial" w:hAnsi="Arial" w:eastAsia="Arial" w:cs="Arial"/>
        </w:rPr>
        <w:t xml:space="preserve"> </w:t>
      </w:r>
      <w:r>
        <w:rPr>
          <w:rFonts w:ascii="Nirmala UI" w:hAnsi="Nirmala UI" w:eastAsia="Nirmala UI" w:cs="Nirmala UI"/>
        </w:rPr>
        <w:t>ਨੂੰ</w:t>
      </w:r>
      <w:r>
        <w:rPr>
          <w:rFonts w:ascii="Arial" w:hAnsi="Arial" w:eastAsia="Arial" w:cs="Arial"/>
        </w:rPr>
        <w:t xml:space="preserve"> </w:t>
      </w:r>
      <w:r>
        <w:rPr>
          <w:rFonts w:ascii="Nirmala UI" w:hAnsi="Nirmala UI" w:eastAsia="Nirmala UI" w:cs="Nirmala UI"/>
        </w:rPr>
        <w:t>ਸਥਾਪਿਤ</w:t>
      </w:r>
      <w:r>
        <w:rPr>
          <w:rFonts w:ascii="Arial" w:hAnsi="Arial" w:eastAsia="Arial" w:cs="Arial"/>
        </w:rPr>
        <w:t xml:space="preserve"> </w:t>
      </w:r>
      <w:r>
        <w:rPr>
          <w:rFonts w:ascii="Nirmala UI" w:hAnsi="Nirmala UI" w:eastAsia="Nirmala UI" w:cs="Nirmala UI"/>
        </w:rPr>
        <w:t>ਕਰਦਾ</w:t>
      </w:r>
      <w:r>
        <w:rPr>
          <w:rFonts w:ascii="Arial" w:hAnsi="Arial" w:eastAsia="Arial" w:cs="Arial"/>
        </w:rPr>
        <w:t xml:space="preserve"> </w:t>
      </w:r>
      <w:r>
        <w:rPr>
          <w:rFonts w:ascii="Nirmala UI" w:hAnsi="Nirmala UI" w:eastAsia="Nirmala UI" w:cs="Nirmala UI"/>
        </w:rPr>
        <w:t>ਹੈ</w:t>
      </w:r>
      <w:r>
        <w:rPr>
          <w:rFonts w:ascii="Arial" w:hAnsi="Arial" w:eastAsia="Arial" w:cs="Arial"/>
        </w:rPr>
        <w:t xml:space="preserve"> - </w:t>
      </w:r>
      <w:r>
        <w:rPr>
          <w:rFonts w:ascii="Nirmala UI" w:hAnsi="Nirmala UI" w:eastAsia="Nirmala UI" w:cs="Nirmala UI"/>
        </w:rPr>
        <w:t>ਗਿਣਤੀ</w:t>
      </w:r>
      <w:r>
        <w:rPr>
          <w:rFonts w:ascii="Arial" w:hAnsi="Arial" w:eastAsia="Arial" w:cs="Arial"/>
        </w:rPr>
        <w:t xml:space="preserve"> </w:t>
      </w:r>
      <w:r>
        <w:rPr>
          <w:rFonts w:ascii="Nirmala UI" w:hAnsi="Nirmala UI" w:eastAsia="Nirmala UI" w:cs="Nirmala UI"/>
        </w:rPr>
        <w:t>ਸੋਲ੍ਹਾਂ</w:t>
      </w:r>
    </w:p>
    <w:p>
      <w:pPr>
        <w:pStyle w:val="ArticleSubtitle"/>
        <w:jc w:val="left"/>
      </w:pPr>
      <w:r>
        <w:rPr>
          <w:rFonts w:ascii="Nirmala UI" w:hAnsi="Nirmala UI" w:eastAsia="Nirmala UI" w:cs="Nirmala UI"/>
        </w:rPr>
        <w:t>अंतिम</w:t>
      </w:r>
      <w:r>
        <w:rPr>
          <w:rFonts w:ascii="Arial" w:hAnsi="Arial" w:eastAsia="Arial" w:cs="Arial"/>
        </w:rPr>
        <w:t xml:space="preserve"> </w:t>
      </w:r>
      <w:r>
        <w:rPr>
          <w:rFonts w:ascii="Nirmala UI" w:hAnsi="Nirmala UI" w:eastAsia="Nirmala UI" w:cs="Nirmala UI"/>
        </w:rPr>
        <w:t>परीक्षा</w:t>
      </w:r>
      <w:r>
        <w:rPr>
          <w:rFonts w:ascii="Arial" w:hAnsi="Arial" w:eastAsia="Arial" w:cs="Arial"/>
        </w:rPr>
        <w:t xml:space="preserve">: </w:t>
      </w:r>
      <w:r>
        <w:rPr>
          <w:rFonts w:ascii="Nirmala UI" w:hAnsi="Nirmala UI" w:eastAsia="Nirmala UI" w:cs="Nirmala UI"/>
        </w:rPr>
        <w:t>रोम</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प्रतीकवाद</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भविष्यवाणी</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त्रिविध</w:t>
      </w:r>
      <w:r>
        <w:rPr>
          <w:rFonts w:ascii="Arial" w:hAnsi="Arial" w:eastAsia="Arial" w:cs="Arial"/>
        </w:rPr>
        <w:t xml:space="preserve"> </w:t>
      </w:r>
      <w:r>
        <w:rPr>
          <w:rFonts w:ascii="Nirmala UI" w:hAnsi="Nirmala UI" w:eastAsia="Nirmala UI" w:cs="Nirmala UI"/>
        </w:rPr>
        <w:t>अनुप्रयोग</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समझना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Wɔn a wɔwɔ akasakasa yi a etwa to yi mu wɔ Roma agyiraehyɛde no afã a ɛnteɛ no de gyina nkɔmhyɛ no mprɛnsa so dwumadi bi a wɔde di dwuma wɔ ɔkwan a ɛfom so so, bere a wɔkyerɛ sɛ Roma mmiɛnsa no wɔkyerɛ wɔn denam Kwasida mmara mmiɛnsa a ɛfa mfe 321, 538, ne Kwasida mmara a ɛreba ntɛm wɔ United States no so. Bere a wɔyɛ saa no, wɔde akyea a ɛnteɛ gu mmara no ne nkɔmhyɛ abakɔsɛm a wɔpaw no so, sɛnea wɔyɛɛ no nso wɔ akasakasa a ɛfa Yoel mmoawa nnan no ho no mu. Awo ntoatoaso nnan a akyi no, mmoawa adidifo nnan a wɔwɔ Yoel nkyekyɛm asia a edi kan no mu no kasa fa sɛnea Onyankopɔn nkurɔfo sɛe nkakrankakra wɔ awo ntoatoaso nnan mu ho, na sɛe no baa mu denam sɛ Adventism gyee Roma ne Protestantfo a wɔatew wɔn ho no nyamekyerɛ tom so.</w:t>
      </w:r>
    </w:p>
    <w:p>
      <w:pPr>
        <w:pStyle w:val="ArticleBody"/>
        <w:jc w:val="left"/>
      </w:pPr>
      <w:r>
        <w:rPr>
          <w:rFonts w:ascii="Times New Roman" w:hAnsi="Times New Roman" w:eastAsia="Times New Roman" w:cs="Times New Roman"/>
        </w:rPr>
        <w:t>I tvisten som nu pågår, undviker de som försöker använda söndagslagen för att definiera de tre Rom den sanningen att det i själva verket finns fyra söndagslagar som identifieras i Guds profetiska Ord, och att året 321 representerar den snart kommande söndagslagen i Förenta staterna, och att söndagslagen år 538 förebildar den söndagslag som påtvingas alla världens nationer. Fyra söndagslagar identifierar inte tre söndagslagar, särskilt inte när den tredje manifestationen i en trefaldig tillämpning av profetian representerar den slutliga uppfyllelsen. Den snart kommande söndagslagen i Förenta staterna är inte den slutliga söndagslagen; den markerar i själva verket början på en serie söndagslagar, allteftersom varje nation på jordklotet steg för steg accepterar märket på påvlig auktoritet.</w:t>
      </w:r>
    </w:p>
    <w:p>
      <w:pPr>
        <w:pStyle w:val="ArticleBody"/>
        <w:jc w:val="left"/>
      </w:pPr>
      <w:r>
        <w:rPr>
          <w:rFonts w:ascii="Times New Roman" w:hAnsi="Times New Roman" w:eastAsia="Times New Roman" w:cs="Times New Roman"/>
        </w:rPr>
        <w:t>Bale ba ba tsositšwego ka Julae, 2023, ba swanetše go kwešiša gore teko ya boporofeta yeo e ba lebanego e direga nakong ya go tšhollwa ga Moya o Mokgethwa, le gore nakong ya go tšhollwa moo sehlopha se sengwe se amogela “oli,” gomme sehlopha se sengwe se amogela “thetšo e matla.” Seswantšho se segolo sa bao ba amogelago thetšo e matla se hwetšwa ka mo kgaolong yona yeo polelo ye, thetšo e matla, e lego gona, gomme ka kgaolong yeo therešo yeo e ka ratwago goba ya ganwa ke therešo yeo e hlalosago tswalano ya boporofeta magareng ga Roma ya boheitene le Roma ya bopapa.</w:t>
      </w:r>
    </w:p>
    <w:p>
      <w:pPr>
        <w:pStyle w:val="ArticleBody"/>
        <w:jc w:val="left"/>
      </w:pPr>
      <w:r>
        <w:rPr>
          <w:rFonts w:ascii="Times New Roman" w:hAnsi="Times New Roman" w:eastAsia="Times New Roman" w:cs="Times New Roman"/>
        </w:rPr>
        <w:t>La relation prophétique entre 321 et 538 est mise en évidence par la relation prophétique entre l’Église de Pergame et l’Église de Thyatire. Dans les derniers jours, la Rome païenne, représentée par 321 et Pergame, est un symbole des États-Unis, et la Rome papale, représentée par 538 et Thyatire, est un symbole de la Rome moderne.</w:t>
      </w:r>
    </w:p>
    <w:p>
      <w:pPr>
        <w:pStyle w:val="ArticleBody"/>
        <w:jc w:val="left"/>
      </w:pPr>
      <w:r>
        <w:rPr>
          <w:rFonts w:ascii="Times New Roman" w:hAnsi="Times New Roman" w:eastAsia="Times New Roman" w:cs="Times New Roman"/>
        </w:rPr>
        <w:t>Roma ya liboso ya 321 ezalaki bokonzi moko ya nguya moko, mpe Roma ya mibale ya 538 ezalaki bokonzi ya nguya mibale oyo ezalaki komonisa kosangana ya lingomba mpe ya mboka, na lingomba nde ezalaki na bokonzi likoló ya boyokani yango. Roma ya misato mpe ya nsuka, oyo ezali Roma ya mikolo na biso, ezali bokonzi ya nguya misato oyo esalemi na dalagona, nyama mabe, mpe mosakoli ya lokuta.</w:t>
      </w:r>
    </w:p>
    <w:p>
      <w:pPr>
        <w:pStyle w:val="ArticleBody"/>
        <w:jc w:val="left"/>
      </w:pPr>
      <w:r>
        <w:rPr>
          <w:rFonts w:ascii="Times New Roman" w:hAnsi="Times New Roman" w:eastAsia="Times New Roman" w:cs="Times New Roman"/>
        </w:rPr>
        <w:t>Paul enseignait que ne pas comprendre la relation prophétique et historique entre la Rome païenne (le dragon) et la Rome papale (la bête), c’était manifester une haine de la vérité, laquelle entraînait une puissante séduction. Tous les prophètes, y compris Paul, s’adressaient plus particulièrement aux derniers jours; ainsi, la relation entre les deux puissances dans l’histoire présentée par Paul représente la relation entre les trois puissances de la Rome moderne dans les derniers jours. Rejeter la relation prophétique qui « forme » la triple union du dragon, de la bête et du faux prophète dans les derniers jours, c’est s’assurer pour soi-même une puissante séduction.</w:t>
      </w:r>
    </w:p>
    <w:p>
      <w:pPr>
        <w:pStyle w:val="ArticleBody"/>
        <w:jc w:val="left"/>
      </w:pPr>
      <w:r>
        <w:rPr>
          <w:rFonts w:ascii="Times New Roman" w:hAnsi="Times New Roman" w:eastAsia="Times New Roman" w:cs="Times New Roman"/>
        </w:rPr>
        <w:t>L’interprétation particulière d’Uriah Smith au sujet du roi du nord représentait une « cause » qui produisait un « effet ». Mais la catégorie de ceux qui se trouvent du mauvais côté des controverses au sujet de Rome est expressément identifiée comme étant incapable de raisonner de la cause à l’effet. Smith ne vit pas que son application erronée du roi du nord produirait une plate-forme prophétique qui le conduirait également à présenter sous un faux jour la sixième plaie, où se trouve un avertissement de conserver ou de perdre le vêtement de la justice de Christ.</w:t>
      </w:r>
    </w:p>
    <w:p>
      <w:pPr>
        <w:pStyle w:val="ArticleBody"/>
        <w:jc w:val="left"/>
      </w:pPr>
      <w:r>
        <w:rPr>
          <w:rFonts w:ascii="Times New Roman" w:hAnsi="Times New Roman" w:eastAsia="Times New Roman" w:cs="Times New Roman"/>
        </w:rPr>
        <w:t>Comme dans l’accent que met Paul en 2 Thessaloniciens, Jean, au chapitre seize de l’Apocalypse et dans la sixième plaie, souligne la nécessité de comprendre qui sont les trois puissances qui conduisent le monde à Armaguédon. L’application erronée, par Smith, du roi du nord témoigne d’une incapacité à appliquer correctement les types et les antitypes.</w:t>
      </w:r>
    </w:p>
    <w:p>
      <w:pPr>
        <w:pStyle w:val="ArticleBody"/>
        <w:jc w:val="left"/>
      </w:pPr>
      <w:r>
        <w:rPr>
          <w:rFonts w:ascii="Times New Roman" w:hAnsi="Times New Roman" w:eastAsia="Times New Roman" w:cs="Times New Roman"/>
        </w:rPr>
        <w:t>Smith ne pouvait pas, ou ne voulait pas, appliquer le principe si fortement exposé dans les écrits de Paul, selon lequel le littéral avant la période de temps de la croix représentait le spirituel après la période de temps de la croix. Lorsque ce principe est suivi avec soin et correctement, il est facile de démontrer que le « roi du nord » est l’un des nombreux symboles qui représentent le « roi du nord » spirituel dans les derniers jours. Les adventistes du septième jour, plus que tout autre peuple, devraient savoir que l’une des structures fondamentales sur lesquelles la prophétie est fondée est la controverse entre le Christ et Satan. Le Christ est le véritable Roi du nord, et Satan a tenté de se manifester comme le roi du nord contrefait.</w:t>
      </w:r>
    </w:p>
    <w:p>
      <w:pPr>
        <w:pStyle w:val="ArticleScripture"/>
        <w:jc w:val="left"/>
      </w:pPr>
      <w:r>
        <w:rPr>
          <w:rFonts w:ascii="Times New Roman" w:hAnsi="Times New Roman" w:eastAsia="Times New Roman" w:cs="Times New Roman"/>
        </w:rPr>
        <w:t>Koorahee ijoolleef Sirbaa fi Faarfannaa. Magaalaa Waaqa keenya keessatti, gaara qulqullummaa isaa irratti, Waaqayyo guddaadha, akka malee immoo faarfatamuu qaba. Tulluu Xiyoon, isa karaa kaabaa irratti argamu, magaalaa Mooticha Guddichaa, bifa iddoo isaatiin miidhagaa, gammachuu lafaa hundumaa ti. Waaqayyo daʼannoo taʼee masaraawwan ishee keessatti beekamaa dha. Faarfannaa 48:1–3.</w:t>
      </w:r>
    </w:p>
    <w:p>
      <w:pPr>
        <w:pStyle w:val="ArticleBody"/>
        <w:jc w:val="left"/>
      </w:pPr>
      <w:r>
        <w:rPr>
          <w:rFonts w:ascii="Times New Roman" w:hAnsi="Times New Roman" w:eastAsia="Times New Roman" w:cs="Times New Roman"/>
        </w:rPr>
        <w:t>Les efforts de Satan pour contrefaire le véritable roi du nord comprennent l’emploi du pape de Rome comme son représentant terrestre. Satan est l’antichrist, et le pape de Rome l’est aussi, lui qui est le mandataire de Satan dans son œuvre de séduction.</w:t>
      </w:r>
    </w:p>
    <w:p>
      <w:pPr>
        <w:pStyle w:val="ArticleScripture"/>
        <w:jc w:val="left"/>
      </w:pPr>
      <w:r>
        <w:rPr>
          <w:rFonts w:ascii="Times New Roman" w:hAnsi="Times New Roman" w:eastAsia="Times New Roman" w:cs="Times New Roman"/>
        </w:rPr>
        <w:t>“Për të siguruar përfitime dhe nderime tokësore, kisha u shty të kërkonte miratimin dhe mbështetjen e njerëzve të mëdhenj të kësaj bote; dhe, duke e hedhur poshtë kështu Krishtin, ajo u shty t’i nënshtrohej për besnikëri përfaqësuesit të Satanit — peshkopit të Romës.” Konflikti i Madh, 50.</w:t>
      </w:r>
    </w:p>
    <w:p>
      <w:pPr>
        <w:pStyle w:val="ArticleBody"/>
        <w:jc w:val="left"/>
      </w:pPr>
      <w:r>
        <w:rPr>
          <w:rFonts w:ascii="Microsoft YaHei" w:hAnsi="Microsoft YaHei" w:eastAsia="Microsoft YaHei" w:cs="Microsoft YaHei"/>
        </w:rPr>
        <w:t>在亚历山大大帝帝国分裂之际</w:t>
      </w:r>
      <w:r>
        <w:rPr>
          <w:rFonts w:ascii="Times New Roman" w:hAnsi="Times New Roman" w:eastAsia="Times New Roman" w:cs="Times New Roman"/>
        </w:rPr>
        <w:t>,</w:t>
      </w:r>
      <w:r>
        <w:rPr>
          <w:rFonts w:ascii="Microsoft YaHei" w:hAnsi="Microsoft YaHei" w:eastAsia="Microsoft YaHei" w:cs="Microsoft YaHei"/>
        </w:rPr>
        <w:t>塞琉古一世</w:t>
      </w:r>
      <w:r>
        <w:rPr>
          <w:rFonts w:ascii="Times New Roman" w:hAnsi="Times New Roman" w:eastAsia="Times New Roman" w:cs="Times New Roman"/>
        </w:rPr>
        <w:t>·</w:t>
      </w:r>
      <w:r>
        <w:rPr>
          <w:rFonts w:ascii="Microsoft YaHei" w:hAnsi="Microsoft YaHei" w:eastAsia="Microsoft YaHei" w:cs="Microsoft YaHei"/>
        </w:rPr>
        <w:t>尼卡托成为</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第十一章所描绘之历史中的首位北方王</w:t>
      </w:r>
      <w:r>
        <w:rPr>
          <w:rFonts w:ascii="Times New Roman" w:hAnsi="Times New Roman" w:eastAsia="Times New Roman" w:cs="Times New Roman"/>
        </w:rPr>
        <w:t>.</w:t>
      </w:r>
      <w:r>
        <w:rPr>
          <w:rFonts w:ascii="Microsoft YaHei" w:hAnsi="Microsoft YaHei" w:eastAsia="Microsoft YaHei" w:cs="Microsoft YaHei"/>
        </w:rPr>
        <w:t>他的父亲安条克曾是亚历山大帝国中一位有影响力的领袖</w:t>
      </w:r>
      <w:r>
        <w:rPr>
          <w:rFonts w:ascii="Times New Roman" w:hAnsi="Times New Roman" w:eastAsia="Times New Roman" w:cs="Times New Roman"/>
        </w:rPr>
        <w:t>,</w:t>
      </w:r>
      <w:r>
        <w:rPr>
          <w:rFonts w:ascii="Microsoft YaHei" w:hAnsi="Microsoft YaHei" w:eastAsia="Microsoft YaHei" w:cs="Microsoft YaHei"/>
        </w:rPr>
        <w:t>而其子塞琉古则被立为巴比伦总督</w:t>
      </w:r>
      <w:r>
        <w:rPr>
          <w:rFonts w:ascii="Times New Roman" w:hAnsi="Times New Roman" w:eastAsia="Times New Roman" w:cs="Times New Roman"/>
        </w:rPr>
        <w:t>.“</w:t>
      </w:r>
      <w:r>
        <w:rPr>
          <w:rFonts w:ascii="Microsoft YaHei" w:hAnsi="Microsoft YaHei" w:eastAsia="Microsoft YaHei" w:cs="Microsoft YaHei"/>
        </w:rPr>
        <w:t>总督</w:t>
      </w:r>
      <w:r>
        <w:rPr>
          <w:rFonts w:ascii="Times New Roman" w:hAnsi="Times New Roman" w:eastAsia="Times New Roman" w:cs="Times New Roman"/>
        </w:rPr>
        <w:t>”</w:t>
      </w:r>
      <w:r>
        <w:rPr>
          <w:rFonts w:ascii="Microsoft YaHei" w:hAnsi="Microsoft YaHei" w:eastAsia="Microsoft YaHei" w:cs="Microsoft YaHei"/>
        </w:rPr>
        <w:t>即一省之长官</w:t>
      </w:r>
      <w:r>
        <w:rPr>
          <w:rFonts w:ascii="Times New Roman" w:hAnsi="Times New Roman" w:eastAsia="Times New Roman" w:cs="Times New Roman"/>
        </w:rPr>
        <w:t>;</w:t>
      </w:r>
      <w:r>
        <w:rPr>
          <w:rFonts w:ascii="Microsoft YaHei" w:hAnsi="Microsoft YaHei" w:eastAsia="Microsoft YaHei" w:cs="Microsoft YaHei"/>
        </w:rPr>
        <w:t>当塞琉古取得亚历山大帝国所分裂而成之四大地理区域中的三个之后</w:t>
      </w:r>
      <w:r>
        <w:rPr>
          <w:rFonts w:ascii="Times New Roman" w:hAnsi="Times New Roman" w:eastAsia="Times New Roman" w:cs="Times New Roman"/>
        </w:rPr>
        <w:t>,</w:t>
      </w:r>
      <w:r>
        <w:rPr>
          <w:rFonts w:ascii="Microsoft YaHei" w:hAnsi="Microsoft YaHei" w:eastAsia="Microsoft YaHei" w:cs="Microsoft YaHei"/>
        </w:rPr>
        <w:t>他便成为北方王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L’interprétation privée de Smith et son refus des règles grammaticales l’ont conduit à supposer que les puissances finales constituant la confédération du mal de Satan dans les derniers jours étaient représentées dans la prophétie comme des puissances littérales, et non comme des puissances spirituelles. Ainsi, il ne pouvait voir que Séleucos Nicator, en tant que premier roi du nord, gouverneur de Babylone, devait, par nécessité prophétique, représenter le dernier roi spirituel du nord, c’est-à-dire la puissance qui contrôlait la Babylone spirituelle moderne.</w:t>
      </w:r>
    </w:p>
    <w:p>
      <w:pPr>
        <w:pStyle w:val="ArticleScripture"/>
        <w:jc w:val="left"/>
      </w:pPr>
      <w:r>
        <w:rPr>
          <w:rFonts w:ascii="Times New Roman" w:hAnsi="Times New Roman" w:eastAsia="Times New Roman" w:cs="Times New Roman"/>
        </w:rPr>
        <w:t>اور ان سات فرشتوں میں سے ایک آیا جن کے پاس سات پیالے تھے، اور اُس نے مجھ سے کلام کرتے ہوئے کہا، یہاں آ؛ میں تجھے اُس بڑی کسبی کی عدالت دکھاؤں گا جو بہت سے پانیوں پر بیٹھی ہے؛ جس کے ساتھ زمین کے بادشاہوں نے حرام کاری کی، اور زمین کے باشندے اُس کی حرام کاری کی مَے سے متوالے کر دیے گئے۔ پس وہ مجھے روح میں بیابان میں لے گیا؛ اور میں نے ایک عورت کو ایک قرمزی رنگ کے درندہ پر بیٹھے دیکھا، جو کفر کے ناموں سے بھرا ہوا تھا، اور اُس کے سات سر اور دس سینگ تھے۔ اور وہ عورت ارغوانی اور قرمزی لباس پہنے ہوئے تھی، اور سونے اور قیمتی پتھروں اور موتیوں سے آراستہ تھی، اور اُس کے ہاتھ میں ایک سنہرا پیالہ تھا جو مکروہات اور اُس کی حرام کاری کی نجاست سے بھرا ہوا تھا۔ اور اُس کے ماتھے پر ایک نام لکھا ہوا تھا، راز، بابلِ عظیم، کسبیوں اور زمین کی مکروہات کی ماں۔ اور میں نے اُس عورت کو مقدسوں کے خون سے اور یسوع کے شہیدوں کے خون سے متوالی دیکھا؛ اور جب میں نے اُسے دیکھا تو نہایت حیرت سے متعجب ہوا۔ مکاشفہ 17:1-6۔</w:t>
      </w:r>
    </w:p>
    <w:p>
      <w:pPr>
        <w:pStyle w:val="ArticleBody"/>
        <w:jc w:val="left"/>
      </w:pPr>
      <w:r>
        <w:rPr>
          <w:rFonts w:ascii="Times New Roman" w:hAnsi="Times New Roman" w:eastAsia="Times New Roman" w:cs="Times New Roman"/>
        </w:rPr>
        <w:t>La puissance qui gouverne Babylone aux derniers jours est l’Église papale; elle est donc aussi le roi spirituel du nord.</w:t>
      </w:r>
    </w:p>
    <w:p>
      <w:pPr>
        <w:pStyle w:val="ArticleScripture"/>
        <w:jc w:val="left"/>
      </w:pPr>
      <w:r>
        <w:rPr>
          <w:rFonts w:ascii="Times New Roman" w:hAnsi="Times New Roman" w:eastAsia="Times New Roman" w:cs="Times New Roman"/>
        </w:rPr>
        <w:t xml:space="preserve">“Revelation 17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बैंगनी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पहिने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सजी</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कटोरा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अशुद्धता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वेश्याओं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मतवाली</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Revelation 17:4-6, 18.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शताब्दियों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निरंकुश</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बैंगनी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रंग</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अभिमानी</w:t>
      </w:r>
      <w:r>
        <w:rPr>
          <w:rFonts w:ascii="Times New Roman" w:hAnsi="Times New Roman" w:eastAsia="Times New Roman" w:cs="Times New Roman"/>
        </w:rPr>
        <w:t xml:space="preserve"> </w:t>
      </w:r>
      <w:r>
        <w:rPr>
          <w:rFonts w:ascii="Nirmala UI" w:hAnsi="Nirmala UI" w:eastAsia="Nirmala UI" w:cs="Nirmala UI"/>
        </w:rPr>
        <w:t>गद्दी</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भव्यता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राजसी</w:t>
      </w:r>
      <w:r>
        <w:rPr>
          <w:rFonts w:ascii="Times New Roman" w:hAnsi="Times New Roman" w:eastAsia="Times New Roman" w:cs="Times New Roman"/>
        </w:rPr>
        <w:t xml:space="preserve"> </w:t>
      </w:r>
      <w:r>
        <w:rPr>
          <w:rFonts w:ascii="Nirmala UI" w:hAnsi="Nirmala UI" w:eastAsia="Nirmala UI" w:cs="Nirmala UI"/>
        </w:rPr>
        <w:t>ठाट</w:t>
      </w:r>
      <w:r>
        <w:rPr>
          <w:rFonts w:ascii="Times New Roman" w:hAnsi="Times New Roman" w:eastAsia="Times New Roman" w:cs="Times New Roman"/>
        </w:rPr>
        <w:t>-</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आडंबर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सजीव</w:t>
      </w:r>
      <w:r>
        <w:rPr>
          <w:rFonts w:ascii="Times New Roman" w:hAnsi="Times New Roman" w:eastAsia="Times New Roman" w:cs="Times New Roman"/>
        </w:rPr>
        <w:t xml:space="preserve"> </w:t>
      </w:r>
      <w:r>
        <w:rPr>
          <w:rFonts w:ascii="Nirmala UI" w:hAnsi="Nirmala UI" w:eastAsia="Nirmala UI" w:cs="Nirmala UI"/>
        </w:rPr>
        <w:t>चित्र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सत्यता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मतवाली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निर्दयता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गठबंधन</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खोजकर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The Great Controversy, 382.</w:t>
      </w:r>
    </w:p>
    <w:p>
      <w:pPr>
        <w:pStyle w:val="ArticleBody"/>
        <w:jc w:val="left"/>
      </w:pPr>
      <w:r>
        <w:rPr>
          <w:rFonts w:ascii="Times New Roman" w:hAnsi="Times New Roman" w:eastAsia="Times New Roman" w:cs="Times New Roman"/>
        </w:rPr>
        <w:t>Ang gobernador mao ang hari, ug sumala kang Isaias, ang usa ka hari mao ang gingharian ug mao usab ang pangulong siyudad sa usa ka gingharian.</w:t>
      </w:r>
    </w:p>
    <w:p>
      <w:pPr>
        <w:pStyle w:val="ArticleScripture"/>
        <w:jc w:val="left"/>
      </w:pPr>
      <w:r>
        <w:rPr>
          <w:rFonts w:ascii="Malgun Gothic" w:hAnsi="Malgun Gothic" w:eastAsia="Malgun Gothic" w:cs="Malgun Gothic"/>
        </w:rPr>
        <w:t>하나님이여</w:t>
      </w:r>
      <w:r>
        <w:rPr>
          <w:rFonts w:ascii="Times New Roman" w:hAnsi="Times New Roman" w:eastAsia="Times New Roman" w:cs="Times New Roman"/>
        </w:rPr>
        <w:t xml:space="preserve"> </w:t>
      </w:r>
      <w:r>
        <w:rPr>
          <w:rFonts w:ascii="Malgun Gothic" w:hAnsi="Malgun Gothic" w:eastAsia="Malgun Gothic" w:cs="Malgun Gothic"/>
        </w:rPr>
        <w:t>구원하소서</w:t>
      </w:r>
      <w:r>
        <w:rPr>
          <w:rFonts w:ascii="Times New Roman" w:hAnsi="Times New Roman" w:eastAsia="Times New Roman" w:cs="Times New Roman"/>
        </w:rPr>
        <w:t>! سورية</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머리는</w:t>
      </w:r>
      <w:r>
        <w:rPr>
          <w:rFonts w:ascii="Times New Roman" w:hAnsi="Times New Roman" w:eastAsia="Times New Roman" w:cs="Times New Roman"/>
        </w:rPr>
        <w:t xml:space="preserve"> </w:t>
      </w:r>
      <w:r>
        <w:rPr>
          <w:rFonts w:ascii="Malgun Gothic" w:hAnsi="Malgun Gothic" w:eastAsia="Malgun Gothic" w:cs="Malgun Gothic"/>
        </w:rPr>
        <w:t>다메섹이요</w:t>
      </w:r>
      <w:r>
        <w:rPr>
          <w:rFonts w:ascii="Times New Roman" w:hAnsi="Times New Roman" w:eastAsia="Times New Roman" w:cs="Times New Roman"/>
        </w:rPr>
        <w:t xml:space="preserve">, </w:t>
      </w:r>
      <w:r>
        <w:rPr>
          <w:rFonts w:ascii="Malgun Gothic" w:hAnsi="Malgun Gothic" w:eastAsia="Malgun Gothic" w:cs="Malgun Gothic"/>
        </w:rPr>
        <w:t>다메섹의</w:t>
      </w:r>
      <w:r>
        <w:rPr>
          <w:rFonts w:ascii="Times New Roman" w:hAnsi="Times New Roman" w:eastAsia="Times New Roman" w:cs="Times New Roman"/>
        </w:rPr>
        <w:t xml:space="preserve"> </w:t>
      </w:r>
      <w:r>
        <w:rPr>
          <w:rFonts w:ascii="Malgun Gothic" w:hAnsi="Malgun Gothic" w:eastAsia="Malgun Gothic" w:cs="Malgun Gothic"/>
        </w:rPr>
        <w:t>머리는</w:t>
      </w:r>
      <w:r>
        <w:rPr>
          <w:rFonts w:ascii="Times New Roman" w:hAnsi="Times New Roman" w:eastAsia="Times New Roman" w:cs="Times New Roman"/>
        </w:rPr>
        <w:t xml:space="preserve"> </w:t>
      </w:r>
      <w:r>
        <w:rPr>
          <w:rFonts w:ascii="Malgun Gothic" w:hAnsi="Malgun Gothic" w:eastAsia="Malgun Gothic" w:cs="Malgun Gothic"/>
        </w:rPr>
        <w:t>르신이라</w:t>
      </w:r>
      <w:r>
        <w:rPr>
          <w:rFonts w:ascii="Times New Roman" w:hAnsi="Times New Roman" w:eastAsia="Times New Roman" w:cs="Times New Roman"/>
        </w:rPr>
        <w:t xml:space="preserve">. </w:t>
      </w:r>
      <w:r>
        <w:rPr>
          <w:rFonts w:ascii="Malgun Gothic" w:hAnsi="Malgun Gothic" w:eastAsia="Malgun Gothic" w:cs="Malgun Gothic"/>
        </w:rPr>
        <w:t>예순다섯</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에브라임은</w:t>
      </w:r>
      <w:r>
        <w:rPr>
          <w:rFonts w:ascii="Times New Roman" w:hAnsi="Times New Roman" w:eastAsia="Times New Roman" w:cs="Times New Roman"/>
        </w:rPr>
        <w:t xml:space="preserve"> </w:t>
      </w:r>
      <w:r>
        <w:rPr>
          <w:rFonts w:ascii="Malgun Gothic" w:hAnsi="Malgun Gothic" w:eastAsia="Malgun Gothic" w:cs="Malgun Gothic"/>
        </w:rPr>
        <w:t>패망하여</w:t>
      </w:r>
      <w:r>
        <w:rPr>
          <w:rFonts w:ascii="Times New Roman" w:hAnsi="Times New Roman" w:eastAsia="Times New Roman" w:cs="Times New Roman"/>
        </w:rPr>
        <w:t xml:space="preserve"> </w:t>
      </w:r>
      <w:r>
        <w:rPr>
          <w:rFonts w:ascii="Malgun Gothic" w:hAnsi="Malgun Gothic" w:eastAsia="Malgun Gothic" w:cs="Malgun Gothic"/>
        </w:rPr>
        <w:t>다시는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이루지</w:t>
      </w:r>
      <w:r>
        <w:rPr>
          <w:rFonts w:ascii="Times New Roman" w:hAnsi="Times New Roman" w:eastAsia="Times New Roman" w:cs="Times New Roman"/>
        </w:rPr>
        <w:t xml:space="preserve"> </w:t>
      </w:r>
      <w:r>
        <w:rPr>
          <w:rFonts w:ascii="Malgun Gothic" w:hAnsi="Malgun Gothic" w:eastAsia="Malgun Gothic" w:cs="Malgun Gothic"/>
        </w:rPr>
        <w:t>못하리라</w:t>
      </w:r>
      <w:r>
        <w:rPr>
          <w:rFonts w:ascii="Times New Roman" w:hAnsi="Times New Roman" w:eastAsia="Times New Roman" w:cs="Times New Roman"/>
        </w:rPr>
        <w:t xml:space="preserve">. </w:t>
      </w:r>
      <w:r>
        <w:rPr>
          <w:rFonts w:ascii="Malgun Gothic" w:hAnsi="Malgun Gothic" w:eastAsia="Malgun Gothic" w:cs="Malgun Gothic"/>
        </w:rPr>
        <w:t>에브라임의</w:t>
      </w:r>
      <w:r>
        <w:rPr>
          <w:rFonts w:ascii="Times New Roman" w:hAnsi="Times New Roman" w:eastAsia="Times New Roman" w:cs="Times New Roman"/>
        </w:rPr>
        <w:t xml:space="preserve"> </w:t>
      </w:r>
      <w:r>
        <w:rPr>
          <w:rFonts w:ascii="Malgun Gothic" w:hAnsi="Malgun Gothic" w:eastAsia="Malgun Gothic" w:cs="Malgun Gothic"/>
        </w:rPr>
        <w:t>머리는</w:t>
      </w:r>
      <w:r>
        <w:rPr>
          <w:rFonts w:ascii="Times New Roman" w:hAnsi="Times New Roman" w:eastAsia="Times New Roman" w:cs="Times New Roman"/>
        </w:rPr>
        <w:t xml:space="preserve"> </w:t>
      </w:r>
      <w:r>
        <w:rPr>
          <w:rFonts w:ascii="Malgun Gothic" w:hAnsi="Malgun Gothic" w:eastAsia="Malgun Gothic" w:cs="Malgun Gothic"/>
        </w:rPr>
        <w:t>사마리아요</w:t>
      </w:r>
      <w:r>
        <w:rPr>
          <w:rFonts w:ascii="Times New Roman" w:hAnsi="Times New Roman" w:eastAsia="Times New Roman" w:cs="Times New Roman"/>
        </w:rPr>
        <w:t xml:space="preserve">, </w:t>
      </w:r>
      <w:r>
        <w:rPr>
          <w:rFonts w:ascii="Malgun Gothic" w:hAnsi="Malgun Gothic" w:eastAsia="Malgun Gothic" w:cs="Malgun Gothic"/>
        </w:rPr>
        <w:t>사마리아의</w:t>
      </w:r>
      <w:r>
        <w:rPr>
          <w:rFonts w:ascii="Times New Roman" w:hAnsi="Times New Roman" w:eastAsia="Times New Roman" w:cs="Times New Roman"/>
        </w:rPr>
        <w:t xml:space="preserve"> </w:t>
      </w:r>
      <w:r>
        <w:rPr>
          <w:rFonts w:ascii="Malgun Gothic" w:hAnsi="Malgun Gothic" w:eastAsia="Malgun Gothic" w:cs="Malgun Gothic"/>
        </w:rPr>
        <w:t>머리는</w:t>
      </w:r>
      <w:r>
        <w:rPr>
          <w:rFonts w:ascii="Times New Roman" w:hAnsi="Times New Roman" w:eastAsia="Times New Roman" w:cs="Times New Roman"/>
        </w:rPr>
        <w:t xml:space="preserve"> </w:t>
      </w:r>
      <w:r>
        <w:rPr>
          <w:rFonts w:ascii="Malgun Gothic" w:hAnsi="Malgun Gothic" w:eastAsia="Malgun Gothic" w:cs="Malgun Gothic"/>
        </w:rPr>
        <w:t>르말랴의</w:t>
      </w:r>
      <w:r>
        <w:rPr>
          <w:rFonts w:ascii="Times New Roman" w:hAnsi="Times New Roman" w:eastAsia="Times New Roman" w:cs="Times New Roman"/>
        </w:rPr>
        <w:t xml:space="preserve"> </w:t>
      </w:r>
      <w:r>
        <w:rPr>
          <w:rFonts w:ascii="Malgun Gothic" w:hAnsi="Malgun Gothic" w:eastAsia="Malgun Gothic" w:cs="Malgun Gothic"/>
        </w:rPr>
        <w:t>아들이니라</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믿지</w:t>
      </w:r>
      <w:r>
        <w:rPr>
          <w:rFonts w:ascii="Times New Roman" w:hAnsi="Times New Roman" w:eastAsia="Times New Roman" w:cs="Times New Roman"/>
        </w:rPr>
        <w:t xml:space="preserve"> </w:t>
      </w:r>
      <w:r>
        <w:rPr>
          <w:rFonts w:ascii="Malgun Gothic" w:hAnsi="Malgun Gothic" w:eastAsia="Malgun Gothic" w:cs="Malgun Gothic"/>
        </w:rPr>
        <w:t>아니하면</w:t>
      </w:r>
      <w:r>
        <w:rPr>
          <w:rFonts w:ascii="Times New Roman" w:hAnsi="Times New Roman" w:eastAsia="Times New Roman" w:cs="Times New Roman"/>
        </w:rPr>
        <w:t xml:space="preserve">, </w:t>
      </w:r>
      <w:r>
        <w:rPr>
          <w:rFonts w:ascii="Malgun Gothic" w:hAnsi="Malgun Gothic" w:eastAsia="Malgun Gothic" w:cs="Malgun Gothic"/>
        </w:rPr>
        <w:t>정녕</w:t>
      </w:r>
      <w:r>
        <w:rPr>
          <w:rFonts w:ascii="Times New Roman" w:hAnsi="Times New Roman" w:eastAsia="Times New Roman" w:cs="Times New Roman"/>
        </w:rPr>
        <w:t xml:space="preserve"> </w:t>
      </w:r>
      <w:r>
        <w:rPr>
          <w:rFonts w:ascii="Malgun Gothic" w:hAnsi="Malgun Gothic" w:eastAsia="Malgun Gothic" w:cs="Malgun Gothic"/>
        </w:rPr>
        <w:t>굳게</w:t>
      </w:r>
      <w:r>
        <w:rPr>
          <w:rFonts w:ascii="Times New Roman" w:hAnsi="Times New Roman" w:eastAsia="Times New Roman" w:cs="Times New Roman"/>
        </w:rPr>
        <w:t xml:space="preserve"> </w:t>
      </w:r>
      <w:r>
        <w:rPr>
          <w:rFonts w:ascii="Malgun Gothic" w:hAnsi="Malgun Gothic" w:eastAsia="Malgun Gothic" w:cs="Malgun Gothic"/>
        </w:rPr>
        <w:t>서지</w:t>
      </w:r>
      <w:r>
        <w:rPr>
          <w:rFonts w:ascii="Times New Roman" w:hAnsi="Times New Roman" w:eastAsia="Times New Roman" w:cs="Times New Roman"/>
        </w:rPr>
        <w:t xml:space="preserve"> </w:t>
      </w:r>
      <w:r>
        <w:rPr>
          <w:rFonts w:ascii="Malgun Gothic" w:hAnsi="Malgun Gothic" w:eastAsia="Malgun Gothic" w:cs="Malgun Gothic"/>
        </w:rPr>
        <w:t>못하리라</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7:8, 9.</w:t>
      </w:r>
    </w:p>
    <w:p>
      <w:pPr>
        <w:pStyle w:val="ArticleBody"/>
        <w:jc w:val="left"/>
      </w:pPr>
      <w:r>
        <w:rPr>
          <w:rFonts w:ascii="Times New Roman" w:hAnsi="Times New Roman" w:eastAsia="Times New Roman" w:cs="Times New Roman"/>
        </w:rPr>
        <w:t>Selon le témoignage d’Ésaïe, un étudiant de la prophétie qui s’éveille, en juillet 2023, à un processus prophétique de mise à l’épreuve doit reconnaître le symbolisme prophétique de la « tête » s’il souhaite être affermi. S’il ne reconnaît pas et n’applique pas le symbolisme d’une « tête » lorsqu’il est requis, alors il n’est pas affermi. Ceux qui ne croient pas ne sont pas affermis, et par conséquent Ésaïe identifie deux catégories d’adorateurs dans les derniers jours, qui soit sont affermis, soit ne le sont pas. Ce sont les mêmes deux catégories qui soit ont « l’huile », soit n’ont pas « l’huile ».</w:t>
      </w:r>
    </w:p>
    <w:p>
      <w:pPr>
        <w:pStyle w:val="ArticleBody"/>
        <w:jc w:val="left"/>
      </w:pPr>
      <w:r>
        <w:rPr>
          <w:rFonts w:ascii="Times New Roman" w:hAnsi="Times New Roman" w:eastAsia="Times New Roman" w:cs="Times New Roman"/>
        </w:rPr>
        <w:t>Một tầng lớp đã được thiết lập và có dầu thì либо tiếp nhận sứ điệp của Tiếng Kêu Nửa Đêm, là điều đã bắt đầu được khai mở vào tháng Bảy năm 2023, hoặc tiếp nhận sự mê lầm mạnh mẽ của 2 Tê-sa-lô-ni-ca. Sự thử nghiệm của họ là việc hình thành tượng con thú, và cách thức con thú ấy được hình thành, dù là con thú giáo hoàng của Thời Trung Cổ Tăm Tối, hay tượng của nó được Hoa Kỳ dựng nên, hoặc sự hiệp nhất ba ngôi đưa thế giới đến Ha-ma-ghê-đôn. Điều này bao gồm sự cần thiết phải nhận biết rằng “đầu,” “vua,” tức đấng cai trị của hai quyền lực kia hợp thành sự hiệp nhất ba ngôi, chính là quyền lực giáo hoàng.</w:t>
      </w:r>
    </w:p>
    <w:p>
      <w:pPr>
        <w:pStyle w:val="ArticleBody"/>
        <w:jc w:val="left"/>
      </w:pPr>
      <w:r>
        <w:rPr>
          <w:rFonts w:ascii="Times New Roman" w:hAnsi="Times New Roman" w:eastAsia="Times New Roman" w:cs="Times New Roman"/>
        </w:rPr>
        <w:t>Der „Kopf“, die Hauptstadt Judas, war Jerusalem, die Stadt, die der Herr erwählt hatte, um seinen Namen dort wohnen zu lassen.</w:t>
      </w:r>
    </w:p>
    <w:p>
      <w:pPr>
        <w:pStyle w:val="ArticleScripture"/>
        <w:jc w:val="left"/>
      </w:pPr>
      <w:r>
        <w:rPr>
          <w:rFonts w:ascii="Ebrima" w:hAnsi="Ebrima" w:eastAsia="Ebrima" w:cs="Ebrima"/>
        </w:rPr>
        <w:t>ሮብዓምም</w:t>
      </w:r>
      <w:r>
        <w:rPr>
          <w:rFonts w:ascii="Times New Roman" w:hAnsi="Times New Roman" w:eastAsia="Times New Roman" w:cs="Times New Roman"/>
        </w:rPr>
        <w:t xml:space="preserve"> </w:t>
      </w:r>
      <w:r>
        <w:rPr>
          <w:rFonts w:ascii="Ebrima" w:hAnsi="Ebrima" w:eastAsia="Ebrima" w:cs="Ebrima"/>
        </w:rPr>
        <w:t>የሰሎሞን</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በይሁዳ</w:t>
      </w:r>
      <w:r>
        <w:rPr>
          <w:rFonts w:ascii="Times New Roman" w:hAnsi="Times New Roman" w:eastAsia="Times New Roman" w:cs="Times New Roman"/>
        </w:rPr>
        <w:t xml:space="preserve"> </w:t>
      </w:r>
      <w:r>
        <w:rPr>
          <w:rFonts w:ascii="Ebrima" w:hAnsi="Ebrima" w:eastAsia="Ebrima" w:cs="Ebrima"/>
        </w:rPr>
        <w:t>ነገሠ።</w:t>
      </w:r>
      <w:r>
        <w:rPr>
          <w:rFonts w:ascii="Times New Roman" w:hAnsi="Times New Roman" w:eastAsia="Times New Roman" w:cs="Times New Roman"/>
        </w:rPr>
        <w:t xml:space="preserve"> </w:t>
      </w:r>
      <w:r>
        <w:rPr>
          <w:rFonts w:ascii="Ebrima" w:hAnsi="Ebrima" w:eastAsia="Ebrima" w:cs="Ebrima"/>
        </w:rPr>
        <w:t>ሮብዓምም</w:t>
      </w:r>
      <w:r>
        <w:rPr>
          <w:rFonts w:ascii="Times New Roman" w:hAnsi="Times New Roman" w:eastAsia="Times New Roman" w:cs="Times New Roman"/>
        </w:rPr>
        <w:t xml:space="preserve"> </w:t>
      </w:r>
      <w:r>
        <w:rPr>
          <w:rFonts w:ascii="Ebrima" w:hAnsi="Ebrima" w:eastAsia="Ebrima" w:cs="Ebrima"/>
        </w:rPr>
        <w:t>መንገሥ</w:t>
      </w:r>
      <w:r>
        <w:rPr>
          <w:rFonts w:ascii="Times New Roman" w:hAnsi="Times New Roman" w:eastAsia="Times New Roman" w:cs="Times New Roman"/>
        </w:rPr>
        <w:t xml:space="preserve"> </w:t>
      </w:r>
      <w:r>
        <w:rPr>
          <w:rFonts w:ascii="Ebrima" w:hAnsi="Ebrima" w:eastAsia="Ebrima" w:cs="Ebrima"/>
        </w:rPr>
        <w:t>በጀመረ</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ዕድሜ</w:t>
      </w:r>
      <w:r>
        <w:rPr>
          <w:rFonts w:ascii="Times New Roman" w:hAnsi="Times New Roman" w:eastAsia="Times New Roman" w:cs="Times New Roman"/>
        </w:rPr>
        <w:t xml:space="preserve"> </w:t>
      </w:r>
      <w:r>
        <w:rPr>
          <w:rFonts w:ascii="Ebrima" w:hAnsi="Ebrima" w:eastAsia="Ebrima" w:cs="Ebrima"/>
        </w:rPr>
        <w:t>ነበረው፥</w:t>
      </w:r>
      <w:r>
        <w:rPr>
          <w:rFonts w:ascii="Times New Roman" w:hAnsi="Times New Roman" w:eastAsia="Times New Roman" w:cs="Times New Roman"/>
        </w:rPr>
        <w:t xml:space="preserve"> </w:t>
      </w:r>
      <w:r>
        <w:rPr>
          <w:rFonts w:ascii="Ebrima" w:hAnsi="Ebrima" w:eastAsia="Ebrima" w:cs="Ebrima"/>
        </w:rPr>
        <w:t>በኢየሩሳሌምም</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ነገሠ፤</w:t>
      </w:r>
      <w:r>
        <w:rPr>
          <w:rFonts w:ascii="Times New Roman" w:hAnsi="Times New Roman" w:eastAsia="Times New Roman" w:cs="Times New Roman"/>
        </w:rPr>
        <w:t xml:space="preserve"> </w:t>
      </w:r>
      <w:r>
        <w:rPr>
          <w:rFonts w:ascii="Ebrima" w:hAnsi="Ebrima" w:eastAsia="Ebrima" w:cs="Ebrima"/>
        </w:rPr>
        <w:t>ይህችም</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ስሙን</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ያኖር</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ከእስራኤል</w:t>
      </w:r>
      <w:r>
        <w:rPr>
          <w:rFonts w:ascii="Times New Roman" w:hAnsi="Times New Roman" w:eastAsia="Times New Roman" w:cs="Times New Roman"/>
        </w:rPr>
        <w:t xml:space="preserve"> </w:t>
      </w:r>
      <w:r>
        <w:rPr>
          <w:rFonts w:ascii="Ebrima" w:hAnsi="Ebrima" w:eastAsia="Ebrima" w:cs="Ebrima"/>
        </w:rPr>
        <w:t>ነገዶች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የመረጣት</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የእናቱም</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እናይማ</w:t>
      </w:r>
      <w:r>
        <w:rPr>
          <w:rFonts w:ascii="Times New Roman" w:hAnsi="Times New Roman" w:eastAsia="Times New Roman" w:cs="Times New Roman"/>
        </w:rPr>
        <w:t xml:space="preserve"> </w:t>
      </w:r>
      <w:r>
        <w:rPr>
          <w:rFonts w:ascii="Ebrima" w:hAnsi="Ebrima" w:eastAsia="Ebrima" w:cs="Ebrima"/>
        </w:rPr>
        <w:t>አሞናዊት</w:t>
      </w:r>
      <w:r>
        <w:rPr>
          <w:rFonts w:ascii="Times New Roman" w:hAnsi="Times New Roman" w:eastAsia="Times New Roman" w:cs="Times New Roman"/>
        </w:rPr>
        <w:t xml:space="preserve"> </w:t>
      </w:r>
      <w:r>
        <w:rPr>
          <w:rFonts w:ascii="Ebrima" w:hAnsi="Ebrima" w:eastAsia="Ebrima" w:cs="Ebrima"/>
        </w:rPr>
        <w:t>ነበረች።</w:t>
      </w:r>
      <w:r>
        <w:rPr>
          <w:rFonts w:ascii="Times New Roman" w:hAnsi="Times New Roman" w:eastAsia="Times New Roman" w:cs="Times New Roman"/>
        </w:rPr>
        <w:t xml:space="preserve"> 1 </w:t>
      </w:r>
      <w:r>
        <w:rPr>
          <w:rFonts w:ascii="Ebrima" w:hAnsi="Ebrima" w:eastAsia="Ebrima" w:cs="Ebrima"/>
        </w:rPr>
        <w:t>ነገሥት</w:t>
      </w:r>
      <w:r>
        <w:rPr>
          <w:rFonts w:ascii="Times New Roman" w:hAnsi="Times New Roman" w:eastAsia="Times New Roman" w:cs="Times New Roman"/>
        </w:rPr>
        <w:t xml:space="preserve"> 14</w:t>
      </w:r>
      <w:r>
        <w:rPr>
          <w:rFonts w:ascii="Ebrima" w:hAnsi="Ebrima" w:eastAsia="Ebrima" w:cs="Ebrima"/>
        </w:rPr>
        <w:t>፥</w:t>
      </w:r>
      <w:r>
        <w:rPr>
          <w:rFonts w:ascii="Times New Roman" w:hAnsi="Times New Roman" w:eastAsia="Times New Roman" w:cs="Times New Roman"/>
        </w:rPr>
        <w:t>21</w:t>
      </w:r>
      <w:r>
        <w:rPr>
          <w:rFonts w:ascii="Ebrima" w:hAnsi="Ebrima" w:eastAsia="Ebrima" w:cs="Ebrima"/>
        </w:rPr>
        <w:t>።</w:t>
      </w:r>
    </w:p>
    <w:p>
      <w:pPr>
        <w:pStyle w:val="ArticleBody"/>
        <w:jc w:val="left"/>
      </w:pPr>
      <w:r>
        <w:rPr>
          <w:rFonts w:ascii="Times New Roman" w:hAnsi="Times New Roman" w:eastAsia="Times New Roman" w:cs="Times New Roman"/>
        </w:rPr>
        <w:t>Dans le grand conflit entre le Christ et Satan, la capitale du Christ, où Il place Son nom, est Jérusalem, et la contrefaçon de Satan était la ville littérale de Babylone, laquelle représente Babylone spirituelle, cette grande ville des derniers jours. Satan place son nom sur le front, en contrefaçon de la cité et de la capitale de Dieu. Le roi qui y réside est la mère des prostituées, qui commet fornication avec les rois de la terre. La mère des prostituées est la puissance papale, et ses filles sont les Églises protestantes déchues, parmi lesquelles la principale Église déchue et apostate est celle des protestants apostats des États-Unis.</w:t>
      </w:r>
    </w:p>
    <w:p>
      <w:pPr>
        <w:pStyle w:val="ArticleBody"/>
        <w:jc w:val="left"/>
      </w:pPr>
      <w:r>
        <w:rPr>
          <w:rFonts w:ascii="Times New Roman" w:hAnsi="Times New Roman" w:eastAsia="Times New Roman" w:cs="Times New Roman"/>
        </w:rPr>
        <w:t>Kina waasi Waprotestanti wanawakilisha pembe ya Kiprotestanti ya mnyama wa nchi, na wameunganishwa na mama yao kwa sababu ya kuukataa ujumbe wa kinabii uliotiwa muhuri kufunguliwa mwaka 1798. Mwenzake, pembe ya Republican, imeunganishwa na wafalme wa dunia kupitia uhusiano wao na Umoja wa Mataifa, wale wafalme kumi wa Ufunuo kumi na saba. Muungano wa pande tatu unaouongoza ulimwengu hadi Har–Magedoni unawakilishwa na kichwa chake, mahali jina lake lilipoandikwa, na Rumi ya kisasa ya kiroho ndiyo Babeli ya kisasa ya kiroho. “Kichwa” chake ni mamlaka ya kipapa.</w:t>
      </w:r>
    </w:p>
    <w:p>
      <w:pPr>
        <w:pStyle w:val="ArticleBody"/>
        <w:jc w:val="left"/>
      </w:pPr>
      <w:r>
        <w:rPr>
          <w:rFonts w:ascii="Times New Roman" w:hAnsi="Times New Roman" w:eastAsia="Times New Roman" w:cs="Times New Roman"/>
        </w:rPr>
        <w:t>ff</w:t>
      </w:r>
      <w:r>
        <w:rPr>
          <w:rFonts w:ascii="Microsoft YaHei" w:hAnsi="Microsoft YaHei" w:eastAsia="Microsoft YaHei" w:cs="Microsoft YaHei"/>
        </w:rPr>
        <w:t>代表着最后一个</w:t>
      </w:r>
      <w:r>
        <w:rPr>
          <w:rFonts w:ascii="Times New Roman" w:hAnsi="Times New Roman" w:eastAsia="Times New Roman" w:cs="Times New Roman"/>
        </w:rPr>
        <w:t>;</w:t>
      </w:r>
      <w:r>
        <w:rPr>
          <w:rFonts w:ascii="Microsoft YaHei" w:hAnsi="Microsoft YaHei" w:eastAsia="Microsoft YaHei" w:cs="Microsoft YaHei"/>
        </w:rPr>
        <w:t>无论你是像米勒派那样</w:t>
      </w:r>
      <w:r>
        <w:rPr>
          <w:rFonts w:ascii="Times New Roman" w:hAnsi="Times New Roman" w:eastAsia="Times New Roman" w:cs="Times New Roman"/>
        </w:rPr>
        <w:t>,</w:t>
      </w:r>
      <w:r>
        <w:rPr>
          <w:rFonts w:ascii="Microsoft YaHei" w:hAnsi="Microsoft YaHei" w:eastAsia="Microsoft YaHei" w:cs="Microsoft YaHei"/>
        </w:rPr>
        <w:t>将</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第二章理解为代表四个国</w:t>
      </w:r>
      <w:r>
        <w:rPr>
          <w:rFonts w:ascii="Times New Roman" w:hAnsi="Times New Roman" w:eastAsia="Times New Roman" w:cs="Times New Roman"/>
        </w:rPr>
        <w:t>,</w:t>
      </w:r>
      <w:r>
        <w:rPr>
          <w:rFonts w:ascii="Microsoft YaHei" w:hAnsi="Microsoft YaHei" w:eastAsia="Microsoft YaHei" w:cs="Microsoft YaHei"/>
        </w:rPr>
        <w:t>还是按照末后的日子所启示的</w:t>
      </w:r>
      <w:r>
        <w:rPr>
          <w:rFonts w:ascii="Times New Roman" w:hAnsi="Times New Roman" w:eastAsia="Times New Roman" w:cs="Times New Roman"/>
        </w:rPr>
        <w:t>,</w:t>
      </w:r>
      <w:r>
        <w:rPr>
          <w:rFonts w:ascii="Microsoft YaHei" w:hAnsi="Microsoft YaHei" w:eastAsia="Microsoft YaHei" w:cs="Microsoft YaHei"/>
        </w:rPr>
        <w:t>将其理解为代表八个国</w:t>
      </w:r>
      <w:r>
        <w:rPr>
          <w:rFonts w:ascii="Times New Roman" w:hAnsi="Times New Roman" w:eastAsia="Times New Roman" w:cs="Times New Roman"/>
        </w:rPr>
        <w:t>,</w:t>
      </w:r>
      <w:r>
        <w:rPr>
          <w:rFonts w:ascii="Microsoft YaHei" w:hAnsi="Microsoft YaHei" w:eastAsia="Microsoft YaHei" w:cs="Microsoft YaHei"/>
        </w:rPr>
        <w:t>第一个国都是字面的巴比伦</w:t>
      </w:r>
      <w:r>
        <w:rPr>
          <w:rFonts w:ascii="Times New Roman" w:hAnsi="Times New Roman" w:eastAsia="Times New Roman" w:cs="Times New Roman"/>
        </w:rPr>
        <w:t>.</w:t>
      </w:r>
      <w:r>
        <w:rPr>
          <w:rFonts w:ascii="Microsoft YaHei" w:hAnsi="Microsoft YaHei" w:eastAsia="Microsoft YaHei" w:cs="Microsoft YaHei"/>
        </w:rPr>
        <w:t>米勒派会告诉你</w:t>
      </w:r>
      <w:r>
        <w:rPr>
          <w:rFonts w:ascii="Times New Roman" w:hAnsi="Times New Roman" w:eastAsia="Times New Roman" w:cs="Times New Roman"/>
        </w:rPr>
        <w:t>,</w:t>
      </w:r>
      <w:r>
        <w:rPr>
          <w:rFonts w:ascii="Microsoft YaHei" w:hAnsi="Microsoft YaHei" w:eastAsia="Microsoft YaHei" w:cs="Microsoft YaHei"/>
        </w:rPr>
        <w:t>最后一个是字面的罗马</w:t>
      </w:r>
      <w:r>
        <w:rPr>
          <w:rFonts w:ascii="Times New Roman" w:hAnsi="Times New Roman" w:eastAsia="Times New Roman" w:cs="Times New Roman"/>
        </w:rPr>
        <w:t>.</w:t>
      </w:r>
      <w:r>
        <w:rPr>
          <w:rFonts w:ascii="Microsoft YaHei" w:hAnsi="Microsoft YaHei" w:eastAsia="Microsoft YaHei" w:cs="Microsoft YaHei"/>
        </w:rPr>
        <w:t>巴比伦和罗马是可以互换的象征</w:t>
      </w:r>
      <w:r>
        <w:rPr>
          <w:rFonts w:ascii="Times New Roman" w:hAnsi="Times New Roman" w:eastAsia="Times New Roman" w:cs="Times New Roman"/>
        </w:rPr>
        <w:t>,</w:t>
      </w:r>
      <w:r>
        <w:rPr>
          <w:rFonts w:ascii="Microsoft YaHei" w:hAnsi="Microsoft YaHei" w:eastAsia="Microsoft YaHei" w:cs="Microsoft YaHei"/>
        </w:rPr>
        <w:t>因为它们是同一条预言脉络中的首先与末后</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les derniers jours, le premier royaume de Babylone littérale représente le huitième et dernier royaume, qui est la Babylone moderne spirituelle, et qui est aussi la Rome moderne spirituelle. Quant aux deux témoins représentés dans Daniel, chapitre deux, Babylone et Rome sont des symboles interchangeables.</w:t>
      </w:r>
    </w:p>
    <w:p>
      <w:pPr>
        <w:pStyle w:val="ArticleBody"/>
        <w:jc w:val="left"/>
      </w:pPr>
      <w:r>
        <w:rPr>
          <w:rFonts w:ascii="Times New Roman" w:hAnsi="Times New Roman" w:eastAsia="Times New Roman" w:cs="Times New Roman"/>
        </w:rPr>
        <w:t>Quan la prostituta papal és presentada amb un nom al seu front que identifica «Babilònia, el misteri», també s’hi identifica «la Roma del misteri». Un «misteri» profètic representa una veritat tan profunda que és impossible comprendre tota la profunditat de la veritat que s’hi representa, especialment sense la influència de l’Esperit Sant. Però un «misteri» bíblic també exigeix que allò que és revelat en relació amb el misteri sigui una comprensió necessària per als qui cerquen superar la prova. Per això dos testimonis de l’Apocalipsi posen èmfasi en la necessitat d’entendre la Roma moderna.</w:t>
      </w:r>
    </w:p>
    <w:p>
      <w:pPr>
        <w:pStyle w:val="ArticleScripture"/>
        <w:jc w:val="left"/>
      </w:pPr>
      <w:r>
        <w:rPr>
          <w:rFonts w:ascii="Times New Roman" w:hAnsi="Times New Roman" w:eastAsia="Times New Roman" w:cs="Times New Roman"/>
        </w:rPr>
        <w:t>Voici la sagesse. Que celui qui a de l’intelligence calcule le nombre de la bête, car c’est un nombre d’homme ; et son nombre est six cent soixante-six. Apocalypse 13:18.</w:t>
      </w:r>
    </w:p>
    <w:p>
      <w:pPr>
        <w:pStyle w:val="ArticleBody"/>
        <w:jc w:val="left"/>
      </w:pPr>
      <w:r>
        <w:rPr>
          <w:rFonts w:ascii="Microsoft YaHei" w:hAnsi="Microsoft YaHei" w:eastAsia="Microsoft YaHei" w:cs="Microsoft YaHei"/>
        </w:rPr>
        <w:t>「知恵」</w:t>
      </w:r>
      <w:r>
        <w:rPr>
          <w:rFonts w:ascii="MS Gothic" w:hAnsi="MS Gothic" w:eastAsia="MS Gothic" w:cs="MS Gothic"/>
        </w:rPr>
        <w:t>は</w:t>
      </w:r>
      <w:r>
        <w:rPr>
          <w:rFonts w:ascii="Microsoft YaHei" w:hAnsi="Microsoft YaHei" w:eastAsia="Microsoft YaHei" w:cs="Microsoft YaHei"/>
        </w:rPr>
        <w:t>、獣</w:t>
      </w:r>
      <w:r>
        <w:rPr>
          <w:rFonts w:ascii="MS Gothic" w:hAnsi="MS Gothic" w:eastAsia="MS Gothic" w:cs="MS Gothic"/>
        </w:rPr>
        <w:t>の</w:t>
      </w:r>
      <w:r>
        <w:rPr>
          <w:rFonts w:ascii="Microsoft YaHei" w:hAnsi="Microsoft YaHei" w:eastAsia="Microsoft YaHei" w:cs="Microsoft YaHei"/>
        </w:rPr>
        <w:t>数、</w:t>
      </w:r>
      <w:r>
        <w:rPr>
          <w:rFonts w:ascii="MS Gothic" w:hAnsi="MS Gothic" w:eastAsia="MS Gothic" w:cs="MS Gothic"/>
        </w:rPr>
        <w:t>すなわち</w:t>
      </w:r>
      <w:r>
        <w:rPr>
          <w:rFonts w:ascii="Microsoft YaHei" w:hAnsi="Microsoft YaHei" w:eastAsia="Microsoft YaHei" w:cs="Microsoft YaHei"/>
        </w:rPr>
        <w:t>六、六、六</w:t>
      </w:r>
      <w:r>
        <w:rPr>
          <w:rFonts w:ascii="MS Gothic" w:hAnsi="MS Gothic" w:eastAsia="MS Gothic" w:cs="MS Gothic"/>
        </w:rPr>
        <w:t>という</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数</w:t>
      </w:r>
      <w:r>
        <w:rPr>
          <w:rFonts w:ascii="MS Gothic" w:hAnsi="MS Gothic" w:eastAsia="MS Gothic" w:cs="MS Gothic"/>
        </w:rPr>
        <w:t>を</w:t>
      </w:r>
      <w:r>
        <w:rPr>
          <w:rFonts w:ascii="Microsoft YaHei" w:hAnsi="Microsoft YaHei" w:eastAsia="Microsoft YaHei" w:cs="Microsoft YaHei"/>
        </w:rPr>
        <w:t>悟</w:t>
      </w:r>
      <w:r>
        <w:rPr>
          <w:rFonts w:ascii="MS Gothic" w:hAnsi="MS Gothic" w:eastAsia="MS Gothic" w:cs="MS Gothic"/>
        </w:rPr>
        <w:t>る</w:t>
      </w:r>
      <w:r>
        <w:rPr>
          <w:rFonts w:ascii="Times New Roman" w:hAnsi="Times New Roman" w:eastAsia="Times New Roman" w:cs="Times New Roman"/>
        </w:rPr>
        <w:t>.</w:t>
      </w:r>
      <w:r>
        <w:rPr>
          <w:rFonts w:ascii="Microsoft YaHei" w:hAnsi="Microsoft YaHei" w:eastAsia="Microsoft YaHei" w:cs="Microsoft YaHei"/>
        </w:rPr>
        <w:t>「罪</w:t>
      </w:r>
      <w:r>
        <w:rPr>
          <w:rFonts w:ascii="MS Gothic" w:hAnsi="MS Gothic" w:eastAsia="MS Gothic" w:cs="MS Gothic"/>
        </w:rPr>
        <w:t>の</w:t>
      </w:r>
      <w:r>
        <w:rPr>
          <w:rFonts w:ascii="Microsoft YaHei" w:hAnsi="Microsoft YaHei" w:eastAsia="Microsoft YaHei" w:cs="Microsoft YaHei"/>
        </w:rPr>
        <w:t>人」</w:t>
      </w:r>
      <w:r>
        <w:rPr>
          <w:rFonts w:ascii="MS Gothic" w:hAnsi="MS Gothic" w:eastAsia="MS Gothic" w:cs="MS Gothic"/>
        </w:rPr>
        <w:t>はその</w:t>
      </w:r>
      <w:r>
        <w:rPr>
          <w:rFonts w:ascii="Microsoft YaHei" w:hAnsi="Microsoft YaHei" w:eastAsia="Microsoft YaHei" w:cs="Microsoft YaHei"/>
        </w:rPr>
        <w:t>獣</w:t>
      </w:r>
      <w:r>
        <w:rPr>
          <w:rFonts w:ascii="MS Gothic" w:hAnsi="MS Gothic" w:eastAsia="MS Gothic" w:cs="MS Gothic"/>
        </w:rPr>
        <w:t>のかしらである</w:t>
      </w:r>
      <w:r>
        <w:rPr>
          <w:rFonts w:ascii="Times New Roman" w:hAnsi="Times New Roman" w:eastAsia="Times New Roman" w:cs="Times New Roman"/>
        </w:rPr>
        <w:t>.</w:t>
      </w:r>
      <w:r>
        <w:rPr>
          <w:rFonts w:ascii="Microsoft YaHei" w:hAnsi="Microsoft YaHei" w:eastAsia="Microsoft YaHei" w:cs="Microsoft YaHei"/>
        </w:rPr>
        <w:t>知恵</w:t>
      </w:r>
      <w:r>
        <w:rPr>
          <w:rFonts w:ascii="MS Gothic" w:hAnsi="MS Gothic" w:eastAsia="MS Gothic" w:cs="MS Gothic"/>
        </w:rPr>
        <w:t>は</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w:t>
      </w:r>
      <w:r>
        <w:rPr>
          <w:rFonts w:ascii="MS Gothic" w:hAnsi="MS Gothic" w:eastAsia="MS Gothic" w:cs="MS Gothic"/>
        </w:rPr>
        <w:t>における</w:t>
      </w:r>
      <w:r>
        <w:rPr>
          <w:rFonts w:ascii="Microsoft YaHei" w:hAnsi="Microsoft YaHei" w:eastAsia="Microsoft YaHei" w:cs="Microsoft YaHei"/>
        </w:rPr>
        <w:t>賢</w:t>
      </w:r>
      <w:r>
        <w:rPr>
          <w:rFonts w:ascii="MS Gothic" w:hAnsi="MS Gothic" w:eastAsia="MS Gothic" w:cs="MS Gothic"/>
        </w:rPr>
        <w:t>いおとめたちの</w:t>
      </w:r>
      <w:r>
        <w:rPr>
          <w:rFonts w:ascii="Microsoft YaHei" w:hAnsi="Microsoft YaHei" w:eastAsia="Microsoft YaHei" w:cs="Microsoft YaHei"/>
        </w:rPr>
        <w:t>属性</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w:t>
      </w:r>
      <w:r>
        <w:rPr>
          <w:rFonts w:ascii="MS Gothic" w:hAnsi="MS Gothic" w:eastAsia="MS Gothic" w:cs="MS Gothic"/>
        </w:rPr>
        <w:t>における</w:t>
      </w:r>
      <w:r>
        <w:rPr>
          <w:rFonts w:ascii="Microsoft YaHei" w:hAnsi="Microsoft YaHei" w:eastAsia="Microsoft YaHei" w:cs="Microsoft YaHei"/>
        </w:rPr>
        <w:t>知識</w:t>
      </w:r>
      <w:r>
        <w:rPr>
          <w:rFonts w:ascii="MS Gothic" w:hAnsi="MS Gothic" w:eastAsia="MS Gothic" w:cs="MS Gothic"/>
        </w:rPr>
        <w:t>の</w:t>
      </w:r>
      <w:r>
        <w:rPr>
          <w:rFonts w:ascii="Microsoft YaHei" w:hAnsi="Microsoft YaHei" w:eastAsia="Microsoft YaHei" w:cs="Microsoft YaHei"/>
        </w:rPr>
        <w:t>増大</w:t>
      </w:r>
      <w:r>
        <w:rPr>
          <w:rFonts w:ascii="MS Gothic" w:hAnsi="MS Gothic" w:eastAsia="MS Gothic" w:cs="MS Gothic"/>
        </w:rPr>
        <w:t>を</w:t>
      </w:r>
      <w:r>
        <w:rPr>
          <w:rFonts w:ascii="Microsoft YaHei" w:hAnsi="Microsoft YaHei" w:eastAsia="Microsoft YaHei" w:cs="Microsoft YaHei"/>
        </w:rPr>
        <w:t>理解</w:t>
      </w:r>
      <w:r>
        <w:rPr>
          <w:rFonts w:ascii="MS Gothic" w:hAnsi="MS Gothic" w:eastAsia="MS Gothic" w:cs="MS Gothic"/>
        </w:rPr>
        <w:t>する</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象徴</w:t>
      </w:r>
      <w:r>
        <w:rPr>
          <w:rFonts w:ascii="MS Gothic" w:hAnsi="MS Gothic" w:eastAsia="MS Gothic" w:cs="MS Gothic"/>
        </w:rPr>
        <w:t>でもある</w:t>
      </w:r>
      <w:r>
        <w:rPr>
          <w:rFonts w:ascii="Times New Roman" w:hAnsi="Times New Roman" w:eastAsia="Times New Roman" w:cs="Times New Roman"/>
        </w:rPr>
        <w:t>.</w:t>
      </w:r>
      <w:r>
        <w:rPr>
          <w:rFonts w:ascii="Microsoft YaHei" w:hAnsi="Microsoft YaHei" w:eastAsia="Microsoft YaHei" w:cs="Microsoft YaHei"/>
        </w:rPr>
        <w:t>理解</w:t>
      </w:r>
      <w:r>
        <w:rPr>
          <w:rFonts w:ascii="MS Gothic" w:hAnsi="MS Gothic" w:eastAsia="MS Gothic" w:cs="MS Gothic"/>
        </w:rPr>
        <w:t>しない</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愚</w:t>
      </w:r>
      <w:r>
        <w:rPr>
          <w:rFonts w:ascii="MS Gothic" w:hAnsi="MS Gothic" w:eastAsia="MS Gothic" w:cs="MS Gothic"/>
        </w:rPr>
        <w:t>かなおとめであり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悪</w:t>
      </w:r>
      <w:r>
        <w:rPr>
          <w:rFonts w:ascii="MS Gothic" w:hAnsi="MS Gothic" w:eastAsia="MS Gothic" w:cs="MS Gothic"/>
        </w:rPr>
        <w:t>しき</w:t>
      </w:r>
      <w:r>
        <w:rPr>
          <w:rFonts w:ascii="Microsoft YaHei" w:hAnsi="Microsoft YaHei" w:eastAsia="Microsoft YaHei" w:cs="Microsoft YaHei"/>
        </w:rPr>
        <w:t>者</w:t>
      </w:r>
      <w:r>
        <w:rPr>
          <w:rFonts w:ascii="MS Gothic" w:hAnsi="MS Gothic" w:eastAsia="MS Gothic" w:cs="MS Gothic"/>
        </w:rPr>
        <w:t>たちである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理解</w:t>
      </w:r>
      <w:r>
        <w:rPr>
          <w:rFonts w:ascii="MS Gothic" w:hAnsi="MS Gothic" w:eastAsia="MS Gothic" w:cs="MS Gothic"/>
        </w:rPr>
        <w:t>しないその</w:t>
      </w:r>
      <w:r>
        <w:rPr>
          <w:rFonts w:ascii="Microsoft YaHei" w:hAnsi="Microsoft YaHei" w:eastAsia="Microsoft YaHei" w:cs="Microsoft YaHei"/>
        </w:rPr>
        <w:t>「知恵」</w:t>
      </w:r>
      <w:r>
        <w:rPr>
          <w:rFonts w:ascii="MS Gothic" w:hAnsi="MS Gothic" w:eastAsia="MS Gothic" w:cs="MS Gothic"/>
        </w:rPr>
        <w:t>は</w:t>
      </w:r>
      <w:r>
        <w:rPr>
          <w:rFonts w:ascii="Microsoft YaHei" w:hAnsi="Microsoft YaHei" w:eastAsia="Microsoft YaHei" w:cs="Microsoft YaHei"/>
        </w:rPr>
        <w:t>、預言的必然性</w:t>
      </w:r>
      <w:r>
        <w:rPr>
          <w:rFonts w:ascii="MS Gothic" w:hAnsi="MS Gothic" w:eastAsia="MS Gothic" w:cs="MS Gothic"/>
        </w:rPr>
        <w:t>によって</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預言的試練</w:t>
      </w:r>
      <w:r>
        <w:rPr>
          <w:rFonts w:ascii="MS Gothic" w:hAnsi="MS Gothic" w:eastAsia="MS Gothic" w:cs="MS Gothic"/>
        </w:rPr>
        <w:t>の</w:t>
      </w:r>
      <w:r>
        <w:rPr>
          <w:rFonts w:ascii="Microsoft YaHei" w:hAnsi="Microsoft YaHei" w:eastAsia="Microsoft YaHei" w:cs="Microsoft YaHei"/>
        </w:rPr>
        <w:t>文脈</w:t>
      </w:r>
      <w:r>
        <w:rPr>
          <w:rFonts w:ascii="MS Gothic" w:hAnsi="MS Gothic" w:eastAsia="MS Gothic" w:cs="MS Gothic"/>
        </w:rPr>
        <w:t>において</w:t>
      </w:r>
      <w:r>
        <w:rPr>
          <w:rFonts w:ascii="Microsoft YaHei" w:hAnsi="Microsoft YaHei" w:eastAsia="Microsoft YaHei" w:cs="Microsoft YaHei"/>
        </w:rPr>
        <w:t>理解</w:t>
      </w:r>
      <w:r>
        <w:rPr>
          <w:rFonts w:ascii="MS Gothic" w:hAnsi="MS Gothic" w:eastAsia="MS Gothic" w:cs="MS Gothic"/>
        </w:rPr>
        <w:t>されなければならない</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、賢</w:t>
      </w:r>
      <w:r>
        <w:rPr>
          <w:rFonts w:ascii="MS Gothic" w:hAnsi="MS Gothic" w:eastAsia="MS Gothic" w:cs="MS Gothic"/>
        </w:rPr>
        <w:t>いおとめと</w:t>
      </w:r>
      <w:r>
        <w:rPr>
          <w:rFonts w:ascii="Microsoft YaHei" w:hAnsi="Microsoft YaHei" w:eastAsia="Microsoft YaHei" w:cs="Microsoft YaHei"/>
        </w:rPr>
        <w:t>愚</w:t>
      </w:r>
      <w:r>
        <w:rPr>
          <w:rFonts w:ascii="MS Gothic" w:hAnsi="MS Gothic" w:eastAsia="MS Gothic" w:cs="MS Gothic"/>
        </w:rPr>
        <w:t>かなおとめが</w:t>
      </w:r>
      <w:r>
        <w:rPr>
          <w:rFonts w:ascii="Microsoft YaHei" w:hAnsi="Microsoft YaHei" w:eastAsia="Microsoft YaHei" w:cs="Microsoft YaHei"/>
        </w:rPr>
        <w:t>存在</w:t>
      </w:r>
      <w:r>
        <w:rPr>
          <w:rFonts w:ascii="MS Gothic" w:hAnsi="MS Gothic" w:eastAsia="MS Gothic" w:cs="MS Gothic"/>
        </w:rPr>
        <w:t>するのはこの</w:t>
      </w:r>
      <w:r>
        <w:rPr>
          <w:rFonts w:ascii="Microsoft YaHei" w:hAnsi="Microsoft YaHei" w:eastAsia="Microsoft YaHei" w:cs="Microsoft YaHei"/>
        </w:rPr>
        <w:t>時</w:t>
      </w:r>
      <w:r>
        <w:rPr>
          <w:rFonts w:ascii="MS Gothic" w:hAnsi="MS Gothic" w:eastAsia="MS Gothic" w:cs="MS Gothic"/>
        </w:rPr>
        <w:t>だからである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「六、六、六」</w:t>
      </w:r>
      <w:r>
        <w:rPr>
          <w:rFonts w:ascii="MS Gothic" w:hAnsi="MS Gothic" w:eastAsia="MS Gothic" w:cs="MS Gothic"/>
        </w:rPr>
        <w:t>を</w:t>
      </w:r>
      <w:r>
        <w:rPr>
          <w:rFonts w:ascii="Microsoft YaHei" w:hAnsi="Microsoft YaHei" w:eastAsia="Microsoft YaHei" w:cs="Microsoft YaHei"/>
        </w:rPr>
        <w:t>理解</w:t>
      </w:r>
      <w:r>
        <w:rPr>
          <w:rFonts w:ascii="MS Gothic" w:hAnsi="MS Gothic" w:eastAsia="MS Gothic" w:cs="MS Gothic"/>
        </w:rPr>
        <w:t>しなければならない</w:t>
      </w:r>
      <w:r>
        <w:rPr>
          <w:rFonts w:ascii="Times New Roman" w:hAnsi="Times New Roman" w:eastAsia="Times New Roman" w:cs="Times New Roman"/>
        </w:rPr>
        <w:t>.</w:t>
      </w:r>
      <w:r>
        <w:rPr>
          <w:rFonts w:ascii="Microsoft YaHei" w:hAnsi="Microsoft YaHei" w:eastAsia="Microsoft YaHei" w:cs="Microsoft YaHei"/>
        </w:rPr>
        <w:t>知恵</w:t>
      </w:r>
      <w:r>
        <w:rPr>
          <w:rFonts w:ascii="MS Gothic" w:hAnsi="MS Gothic" w:eastAsia="MS Gothic" w:cs="MS Gothic"/>
        </w:rPr>
        <w:t>を</w:t>
      </w:r>
      <w:r>
        <w:rPr>
          <w:rFonts w:ascii="Microsoft YaHei" w:hAnsi="Microsoft YaHei" w:eastAsia="Microsoft YaHei" w:cs="Microsoft YaHei"/>
        </w:rPr>
        <w:t>有</w:t>
      </w:r>
      <w:r>
        <w:rPr>
          <w:rFonts w:ascii="MS Gothic" w:hAnsi="MS Gothic" w:eastAsia="MS Gothic" w:cs="MS Gothic"/>
        </w:rPr>
        <w:t>する</w:t>
      </w:r>
      <w:r>
        <w:rPr>
          <w:rFonts w:ascii="Microsoft YaHei" w:hAnsi="Microsoft YaHei" w:eastAsia="Microsoft YaHei" w:cs="Microsoft YaHei"/>
        </w:rPr>
        <w:t>思</w:t>
      </w:r>
      <w:r>
        <w:rPr>
          <w:rFonts w:ascii="MS Gothic" w:hAnsi="MS Gothic" w:eastAsia="MS Gothic" w:cs="MS Gothic"/>
        </w:rPr>
        <w:t>いについても</w:t>
      </w:r>
      <w:r>
        <w:rPr>
          <w:rFonts w:ascii="Microsoft YaHei" w:hAnsi="Microsoft YaHei" w:eastAsia="Microsoft YaHei" w:cs="Microsoft YaHei"/>
        </w:rPr>
        <w:t>、</w:t>
      </w:r>
      <w:r>
        <w:rPr>
          <w:rFonts w:ascii="MS Gothic" w:hAnsi="MS Gothic" w:eastAsia="MS Gothic" w:cs="MS Gothic"/>
        </w:rPr>
        <w:t>ヨハネは</w:t>
      </w:r>
      <w:r>
        <w:rPr>
          <w:rFonts w:ascii="Microsoft YaHei" w:hAnsi="Microsoft YaHei" w:eastAsia="Microsoft YaHei" w:cs="Microsoft YaHei"/>
        </w:rPr>
        <w:t>黙示録第十七章</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それを</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位置</w:t>
      </w:r>
      <w:r>
        <w:rPr>
          <w:rFonts w:ascii="MS Gothic" w:hAnsi="MS Gothic" w:eastAsia="MS Gothic" w:cs="MS Gothic"/>
        </w:rPr>
        <w:t>づけている</w:t>
      </w:r>
      <w:r>
        <w:rPr>
          <w:rFonts w:ascii="Times New Roman" w:hAnsi="Times New Roman" w:eastAsia="Times New Roman" w:cs="Times New Roman"/>
        </w:rPr>
        <w:t>.</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पहाड़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17:9–11</w:t>
      </w:r>
    </w:p>
    <w:p>
      <w:pPr>
        <w:pStyle w:val="ArticleBody"/>
        <w:jc w:val="left"/>
      </w:pPr>
      <w:r>
        <w:rPr>
          <w:rFonts w:ascii="Times New Roman" w:hAnsi="Times New Roman" w:eastAsia="Times New Roman" w:cs="Times New Roman"/>
        </w:rPr>
        <w:t>“</w:t>
      </w:r>
      <w:r>
        <w:rPr>
          <w:rFonts w:ascii="Nirmala UI" w:hAnsi="Nirmala UI" w:eastAsia="Nirmala UI" w:cs="Nirmala UI"/>
        </w:rPr>
        <w:t>ಮನಸ್ಸು</w:t>
      </w:r>
      <w:r>
        <w:rPr>
          <w:rFonts w:ascii="Times New Roman" w:hAnsi="Times New Roman" w:eastAsia="Times New Roman" w:cs="Times New Roman"/>
        </w:rPr>
        <w:t>”</w:t>
      </w:r>
      <w:r>
        <w:rPr>
          <w:rFonts w:ascii="Nirmala UI" w:hAnsi="Nirmala UI" w:eastAsia="Nirmala UI" w:cs="Nirmala UI"/>
        </w:rPr>
        <w:t>ಯು</w:t>
      </w:r>
      <w:r>
        <w:rPr>
          <w:rFonts w:ascii="Times New Roman" w:hAnsi="Times New Roman" w:eastAsia="Times New Roman" w:cs="Times New Roman"/>
        </w:rPr>
        <w:t xml:space="preserve"> “</w:t>
      </w:r>
      <w:r>
        <w:rPr>
          <w:rFonts w:ascii="Nirmala UI" w:hAnsi="Nirmala UI" w:eastAsia="Nirmala UI" w:cs="Nirmala UI"/>
        </w:rPr>
        <w:t>ಆರು</w:t>
      </w:r>
      <w:r>
        <w:rPr>
          <w:rFonts w:ascii="Times New Roman" w:hAnsi="Times New Roman" w:eastAsia="Times New Roman" w:cs="Times New Roman"/>
        </w:rPr>
        <w:t xml:space="preserve">, </w:t>
      </w:r>
      <w:r>
        <w:rPr>
          <w:rFonts w:ascii="Nirmala UI" w:hAnsi="Nirmala UI" w:eastAsia="Nirmala UI" w:cs="Nirmala UI"/>
        </w:rPr>
        <w:t>ಆರು</w:t>
      </w:r>
      <w:r>
        <w:rPr>
          <w:rFonts w:ascii="Times New Roman" w:hAnsi="Times New Roman" w:eastAsia="Times New Roman" w:cs="Times New Roman"/>
        </w:rPr>
        <w:t xml:space="preserve">, </w:t>
      </w:r>
      <w:r>
        <w:rPr>
          <w:rFonts w:ascii="Nirmala UI" w:hAnsi="Nirmala UI" w:eastAsia="Nirmala UI" w:cs="Nirmala UI"/>
        </w:rPr>
        <w:t>ಆರು</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ಸಂಖ್ಯೆಯನ್ನು</w:t>
      </w:r>
      <w:r>
        <w:rPr>
          <w:rFonts w:ascii="Times New Roman" w:hAnsi="Times New Roman" w:eastAsia="Times New Roman" w:cs="Times New Roman"/>
        </w:rPr>
        <w:t xml:space="preserve"> </w:t>
      </w:r>
      <w:r>
        <w:rPr>
          <w:rFonts w:ascii="Nirmala UI" w:hAnsi="Nirmala UI" w:eastAsia="Nirmala UI" w:cs="Nirmala UI"/>
        </w:rPr>
        <w:t>ಗ್ರಹಿಸುವ</w:t>
      </w:r>
      <w:r>
        <w:rPr>
          <w:rFonts w:ascii="Times New Roman" w:hAnsi="Times New Roman" w:eastAsia="Times New Roman" w:cs="Times New Roman"/>
        </w:rPr>
        <w:t xml:space="preserve"> </w:t>
      </w:r>
      <w:r>
        <w:rPr>
          <w:rFonts w:ascii="Nirmala UI" w:hAnsi="Nirmala UI" w:eastAsia="Nirmala UI" w:cs="Nirmala UI"/>
        </w:rPr>
        <w:t>ಜ್ಞಾನವನ್ನು</w:t>
      </w:r>
      <w:r>
        <w:rPr>
          <w:rFonts w:ascii="Times New Roman" w:hAnsi="Times New Roman" w:eastAsia="Times New Roman" w:cs="Times New Roman"/>
        </w:rPr>
        <w:t xml:space="preserve"> </w:t>
      </w:r>
      <w:r>
        <w:rPr>
          <w:rFonts w:ascii="Nirmala UI" w:hAnsi="Nirmala UI" w:eastAsia="Nirmala UI" w:cs="Nirmala UI"/>
        </w:rPr>
        <w:t>ಹೊಂದಿರುವದು</w:t>
      </w:r>
      <w:r>
        <w:rPr>
          <w:rFonts w:ascii="Times New Roman" w:hAnsi="Times New Roman" w:eastAsia="Times New Roman" w:cs="Times New Roman"/>
        </w:rPr>
        <w:t>,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ಮನಸ್ಸು</w:t>
      </w:r>
      <w:r>
        <w:rPr>
          <w:rFonts w:ascii="Times New Roman" w:hAnsi="Times New Roman" w:eastAsia="Times New Roman" w:cs="Times New Roman"/>
        </w:rPr>
        <w:t>”</w:t>
      </w:r>
      <w:r>
        <w:rPr>
          <w:rFonts w:ascii="Nirmala UI" w:hAnsi="Nirmala UI" w:eastAsia="Nirmala UI" w:cs="Nirmala UI"/>
        </w:rPr>
        <w:t>ವನ್ನು</w:t>
      </w:r>
      <w:r>
        <w:rPr>
          <w:rFonts w:ascii="Times New Roman" w:hAnsi="Times New Roman" w:eastAsia="Times New Roman" w:cs="Times New Roman"/>
        </w:rPr>
        <w:t xml:space="preserve"> </w:t>
      </w:r>
      <w:r>
        <w:rPr>
          <w:rFonts w:ascii="Nirmala UI" w:hAnsi="Nirmala UI" w:eastAsia="Nirmala UI" w:cs="Nirmala UI"/>
        </w:rPr>
        <w:t>ಹೊಂದಿರುವ</w:t>
      </w:r>
      <w:r>
        <w:rPr>
          <w:rFonts w:ascii="Times New Roman" w:hAnsi="Times New Roman" w:eastAsia="Times New Roman" w:cs="Times New Roman"/>
        </w:rPr>
        <w:t xml:space="preserve"> </w:t>
      </w:r>
      <w:r>
        <w:rPr>
          <w:rFonts w:ascii="Nirmala UI" w:hAnsi="Nirmala UI" w:eastAsia="Nirmala UI" w:cs="Nirmala UI"/>
        </w:rPr>
        <w:t>ಜಾಣ</w:t>
      </w:r>
      <w:r>
        <w:rPr>
          <w:rFonts w:ascii="Times New Roman" w:hAnsi="Times New Roman" w:eastAsia="Times New Roman" w:cs="Times New Roman"/>
        </w:rPr>
        <w:t xml:space="preserve"> </w:t>
      </w:r>
      <w:r>
        <w:rPr>
          <w:rFonts w:ascii="Nirmala UI" w:hAnsi="Nirmala UI" w:eastAsia="Nirmala UI" w:cs="Nirmala UI"/>
        </w:rPr>
        <w:t>ಕನ್ಯೆಯಾಗಿದ್ದಾಳೆ</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Car en effet, qui a connu la pensée du Seigneur, pour l’instruire ? Mais nous, nous avons la pensée de Christ. 1 Corinthiens 2:16.</w:t>
      </w:r>
    </w:p>
    <w:p>
      <w:pPr>
        <w:pStyle w:val="ArticleBody"/>
        <w:jc w:val="left"/>
      </w:pPr>
      <w:r>
        <w:rPr>
          <w:rFonts w:ascii="Leelawadee UI" w:hAnsi="Leelawadee UI" w:eastAsia="Leelawadee UI" w:cs="Leelawadee UI"/>
        </w:rPr>
        <w:t>វរជននៃព្រហ្មចារីប្រាជ្ញាមានព្រះចិត្តរបស់ព្រះគ្រីស្ទ</w:t>
      </w:r>
      <w:r>
        <w:rPr>
          <w:rFonts w:ascii="Times New Roman" w:hAnsi="Times New Roman" w:eastAsia="Times New Roman" w:cs="Times New Roman"/>
        </w:rPr>
        <w:t xml:space="preserve"> </w:t>
      </w:r>
      <w:r>
        <w:rPr>
          <w:rFonts w:ascii="Leelawadee UI" w:hAnsi="Leelawadee UI" w:eastAsia="Leelawadee UI" w:cs="Leelawadee UI"/>
        </w:rPr>
        <w:t>ហើយព្រហ្មចារីល្ងង់ខ្លៅអាក្រក់មានចិត្តរបស់សត្រូវនៃព្រះគ្រីស្ទ។</w:t>
      </w:r>
    </w:p>
    <w:p>
      <w:pPr>
        <w:pStyle w:val="ArticleScripture"/>
        <w:jc w:val="left"/>
      </w:pPr>
      <w:r>
        <w:rPr>
          <w:rFonts w:ascii="Times New Roman" w:hAnsi="Times New Roman" w:eastAsia="Times New Roman" w:cs="Times New Roman"/>
        </w:rPr>
        <w:t>“Die tyd het aangebreek dat die ware lig te midde van morele duisternis moet skyn. Die boodskap van die derde engel is na die wêreld uitgestuur en waarsku mense daarteen om die merk van die dier of van sy beeld op hulle voorkoppe of in hulle hande te ontvang. Om hierdie merk te ontvang, beteken om tot dieselfde besluit te kom as wat die dier gekom het, en om dieselfde idees voor te staan, in regstreekse opposisie tot die woord van God.” Review and Herald, 13 Julie 1897.</w:t>
      </w:r>
    </w:p>
    <w:p>
      <w:pPr>
        <w:pStyle w:val="ArticleBody"/>
        <w:jc w:val="left"/>
      </w:pPr>
      <w:r>
        <w:rPr>
          <w:rFonts w:ascii="Times New Roman" w:hAnsi="Times New Roman" w:eastAsia="Times New Roman" w:cs="Times New Roman"/>
        </w:rPr>
        <w:t>Bifaan fakkaattii bineensichaa qormaata isa dhumaa durboota fakkeenya sanaa ti; warri ogeeyyiin immoo sammuu Kiristoos qabu, sababni isaas isaan murtoo Kiristoos wajjin wal fakkaatu irra ga’aniiru; fedha isaanii qajeelfama Hafuura Qulqulluutiif harka kennaniiru. Bifamuu fakkaattii Kiristoos durboota ogeeyyii keessatti argamu, bifamuu fakkaattii bineensichaa durboota gowwootaa keessatti argamuun wal faallessa. Durboonni gowwoon murtoo bineensichaa wajjin wal fakkaatu irra ga’u; sababni isaas gaaffii qormaataa waa’ee eenyummaa sirrii mormitoota Kiristoos sanaa irratti burjaaja’aniiru; inni kun mootii kaabaa sobaa fi mataa Roomaa ammayyaa dha.</w:t>
      </w:r>
    </w:p>
    <w:p>
      <w:pPr>
        <w:pStyle w:val="ArticleScripture"/>
        <w:jc w:val="left"/>
      </w:pPr>
      <w:r>
        <w:rPr>
          <w:rFonts w:ascii="Times New Roman" w:hAnsi="Times New Roman" w:eastAsia="Times New Roman" w:cs="Times New Roman"/>
        </w:rPr>
        <w:t>« Ceux qui deviennent confus dans leur compréhension de la parole, qui ne parviennent pas à discerner la signification de l’antichrist, se placeront assurément du côté de l’antichrist. » Kress Collection, 105.</w:t>
      </w:r>
    </w:p>
    <w:p>
      <w:pPr>
        <w:pStyle w:val="ArticleBody"/>
        <w:jc w:val="left"/>
      </w:pPr>
      <w:r>
        <w:rPr>
          <w:rFonts w:ascii="Times New Roman" w:hAnsi="Times New Roman" w:eastAsia="Times New Roman" w:cs="Times New Roman"/>
        </w:rPr>
        <w:t>Stultae virgines, in tempore probationis quod repraesentatur tamquam formatio imaginis bestiae, in intellectu Verbi confunduntur. Eorum confusio in eo nititur quod propheticum Dei Verbum perperam intellegunt; atque, cum verum sensum Romae Moderna non cernant, efficacem errorem accipiunt, ad eandem sententiam ac bestia perveniunt, easdemque papales opiniones, in aperta oppositione ad Verbum Dei, propugnant, atque se ipsas in parte antichristi constituunt.</w:t>
      </w:r>
    </w:p>
    <w:p>
      <w:pPr>
        <w:pStyle w:val="ArticleBody"/>
        <w:jc w:val="left"/>
      </w:pPr>
      <w:r>
        <w:rPr>
          <w:rFonts w:ascii="Times New Roman" w:hAnsi="Times New Roman" w:eastAsia="Times New Roman" w:cs="Times New Roman"/>
        </w:rPr>
        <w:t>Nous poursuivrons ces réflexions dans le prochain article de cette catégorie.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ਰੋਮ ਦਰਸ਼ਨ ਨੂੰ ਸਥਾਪਿਤ ਕਰਦਾ ਹੈ - ਗਿਣਤੀ ਸੋਲ੍ਹਾਂ</dc:title>
  <dc:subject>अंतिम परीक्षा: रोम के प्रतीकवाद और भविष्यवाणी के त्रिविध अनुप्रयोग को समझना</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