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S Gothic" w:hAnsi="MS Gothic" w:eastAsia="MS Gothic" w:cs="MS Gothic"/>
        </w:rPr>
        <w:t>パニウム</w:t>
      </w:r>
      <w:r>
        <w:rPr>
          <w:rFonts w:ascii="Arial" w:hAnsi="Arial" w:eastAsia="Arial" w:cs="Arial"/>
        </w:rPr>
        <w:t>――</w:t>
      </w:r>
      <w:r>
        <w:rPr>
          <w:rFonts w:ascii="Microsoft YaHei" w:hAnsi="Microsoft YaHei" w:eastAsia="Microsoft YaHei" w:cs="Microsoft YaHei"/>
        </w:rPr>
        <w:t>第一番</w:t>
      </w:r>
    </w:p>
    <w:p>
      <w:pPr>
        <w:pStyle w:val="ArticleSubtitle"/>
        <w:jc w:val="left"/>
      </w:pPr>
      <w:r>
        <w:rPr>
          <w:rFonts w:ascii="Segoe UI" w:hAnsi="Segoe UI" w:eastAsia="Segoe UI" w:cs="Segoe UI"/>
        </w:rPr>
        <w:t>الفصل</w:t>
      </w:r>
      <w:r>
        <w:rPr>
          <w:rFonts w:ascii="Arial" w:hAnsi="Arial" w:eastAsia="Arial" w:cs="Arial"/>
        </w:rPr>
        <w:t xml:space="preserve"> </w:t>
      </w:r>
      <w:r>
        <w:rPr>
          <w:rFonts w:ascii="Segoe UI" w:hAnsi="Segoe UI" w:eastAsia="Segoe UI" w:cs="Segoe UI"/>
        </w:rPr>
        <w:t>الحادي</w:t>
      </w:r>
      <w:r>
        <w:rPr>
          <w:rFonts w:ascii="Arial" w:hAnsi="Arial" w:eastAsia="Arial" w:cs="Arial"/>
        </w:rPr>
        <w:t xml:space="preserve"> </w:t>
      </w:r>
      <w:r>
        <w:rPr>
          <w:rFonts w:ascii="Segoe UI" w:hAnsi="Segoe UI" w:eastAsia="Segoe UI" w:cs="Segoe UI"/>
        </w:rPr>
        <w:t>عشر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Kwa muda fulani, tumekuwa tukielekeza usikivu wetu kwenye historia iliyofichika ya Danieli 11:40, na katika majuma ya hivi karibuni, Bwana ameelekeza tafakuri yetu kwenye aya ya 27:</w:t>
      </w:r>
    </w:p>
    <w:p>
      <w:pPr>
        <w:pStyle w:val="ArticleScripture"/>
        <w:jc w:val="left"/>
      </w:pPr>
      <w:r>
        <w:rPr>
          <w:rFonts w:ascii="Times New Roman" w:hAnsi="Times New Roman" w:eastAsia="Times New Roman" w:cs="Times New Roman"/>
        </w:rPr>
        <w:t>Na mioyo ya wafalme hawa wawili itakusudia kutenda maovu, nao watasema uongo mezani pamoja; lakini haitafanikiwa, kwa maana mwisho bado utakuwa wakati uliowekwa. Danieli 11:27.</w:t>
      </w:r>
    </w:p>
    <w:p>
      <w:pPr>
        <w:pStyle w:val="ArticleBody"/>
        <w:jc w:val="left"/>
      </w:pPr>
      <w:r>
        <w:rPr>
          <w:rFonts w:ascii="Times New Roman" w:hAnsi="Times New Roman" w:eastAsia="Times New Roman" w:cs="Times New Roman"/>
        </w:rPr>
        <w:t>Au début, j’étais incertain quant aux détails — quand, où, et qui étaient assis à cette table, se disant des mensonges l’un à l’autre — mais ces questions sont maintenant en cours d’examen. Au cours des derniers sabbats, j’ai commis quelques erreurs en travaillant sur ces lignes. Cependant, par ce que je crois être une direction providentielle, les alliances représentées aux versets 13–15, symbolisées par Césarée de Philippe, ont commencé à se dévoiler. Bien que certains éléments requièrent encore d’être affinés, je crois que le Seigneur a retiré Sa main de ces versets pour en révéler la signification.</w:t>
      </w:r>
    </w:p>
    <w:p>
      <w:pPr>
        <w:pStyle w:val="ArticleBody"/>
        <w:jc w:val="left"/>
      </w:pPr>
      <w:r>
        <w:rPr>
          <w:rFonts w:ascii="Times New Roman" w:hAnsi="Times New Roman" w:eastAsia="Times New Roman" w:cs="Times New Roman"/>
        </w:rPr>
        <w:t>Cette compréhension s’est cristallisée immédiatement après la réunion Zoom du sabbat dernier. Une semaine plus tôt, j’avais été frappé par l’interaction complexe des histoires dans les versets 10–15. J’ai écrit et envoyé un message texte à quelques personnes, exposant mes réflexions, et j’ai demandé à les partager le vendredi soir. Je m’efforçais d’ordonner les questions contenues dans ces versets, convaincu qu’il s’y trouvait quelque chose de profondément significatif. Il en est bien ainsi, mais ce n’était pas ce que j’avais proposé au départ. Malgré mes tâtonnements au cours de la semaine et demie écoulée, tandis que je luttais avec ce passage, je reconnais une providence familière. Le Seigneur était en train de desceller une vérité particulière et vitale. Une fois l’élément humain pleinement mis en lumière puis écarté, la vérité — ouverte par le Lion de la tribu de Juda — se révèle encore plus profonde que je ne l’avais saisi.</w:t>
      </w:r>
    </w:p>
    <w:p>
      <w:pPr>
        <w:pStyle w:val="ArticleHeading"/>
        <w:jc w:val="left"/>
      </w:pPr>
      <w:r>
        <w:rPr>
          <w:rFonts w:ascii="Leelawadee UI" w:hAnsi="Leelawadee UI" w:eastAsia="Leelawadee UI" w:cs="Leelawadee UI"/>
        </w:rPr>
        <w:t>ថ្ងែ</w:t>
      </w:r>
      <w:r>
        <w:rPr>
          <w:rFonts w:ascii="Arial" w:hAnsi="Arial" w:eastAsia="Arial" w:cs="Arial"/>
        </w:rPr>
        <w:t xml:space="preserve"> </w:t>
      </w:r>
      <w:r>
        <w:rPr>
          <w:rFonts w:ascii="Leelawadee UI" w:hAnsi="Leelawadee UI" w:eastAsia="Leelawadee UI" w:cs="Leelawadee UI"/>
        </w:rPr>
        <w:t>៥</w:t>
      </w:r>
      <w:r>
        <w:rPr>
          <w:rFonts w:ascii="Arial" w:hAnsi="Arial" w:eastAsia="Arial" w:cs="Arial"/>
        </w:rPr>
        <w:t xml:space="preserve"> </w:t>
      </w:r>
      <w:r>
        <w:rPr>
          <w:rFonts w:ascii="Leelawadee UI" w:hAnsi="Leelawadee UI" w:eastAsia="Leelawadee UI" w:cs="Leelawadee UI"/>
        </w:rPr>
        <w:t>ដល់</w:t>
      </w:r>
      <w:r>
        <w:rPr>
          <w:rFonts w:ascii="Arial" w:hAnsi="Arial" w:eastAsia="Arial" w:cs="Arial"/>
        </w:rPr>
        <w:t xml:space="preserve"> </w:t>
      </w:r>
      <w:r>
        <w:rPr>
          <w:rFonts w:ascii="Leelawadee UI" w:hAnsi="Leelawadee UI" w:eastAsia="Leelawadee UI" w:cs="Leelawadee UI"/>
        </w:rPr>
        <w:t>ថ្ងៃ</w:t>
      </w:r>
      <w:r>
        <w:rPr>
          <w:rFonts w:ascii="Arial" w:hAnsi="Arial" w:eastAsia="Arial" w:cs="Arial"/>
        </w:rPr>
        <w:t xml:space="preserve"> </w:t>
      </w:r>
      <w:r>
        <w:rPr>
          <w:rFonts w:ascii="Leelawadee UI" w:hAnsi="Leelawadee UI" w:eastAsia="Leelawadee UI" w:cs="Leelawadee UI"/>
        </w:rPr>
        <w:t>៩</w:t>
      </w:r>
    </w:p>
    <w:p>
      <w:pPr>
        <w:pStyle w:val="ArticleBody"/>
        <w:jc w:val="left"/>
      </w:pPr>
      <w:r>
        <w:rPr>
          <w:rFonts w:ascii="Nirmala UI" w:hAnsi="Nirmala UI" w:eastAsia="Nirmala UI" w:cs="Nirmala UI"/>
        </w:rPr>
        <w:t>ପୁତିନ</w:t>
      </w:r>
      <w:r>
        <w:rPr>
          <w:rFonts w:ascii="Times New Roman" w:hAnsi="Times New Roman" w:eastAsia="Times New Roman" w:cs="Times New Roman"/>
        </w:rPr>
        <w:t xml:space="preserve">, </w:t>
      </w:r>
      <w:r>
        <w:rPr>
          <w:rFonts w:ascii="Nirmala UI" w:hAnsi="Nirmala UI" w:eastAsia="Nirmala UI" w:cs="Nirmala UI"/>
        </w:rPr>
        <w:t>ଦକ୍ଷିଣର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ପ୍ଟୋଲେମୀଙ୍କୁ</w:t>
      </w:r>
      <w:r>
        <w:rPr>
          <w:rFonts w:ascii="Times New Roman" w:hAnsi="Times New Roman" w:eastAsia="Times New Roman" w:cs="Times New Roman"/>
        </w:rPr>
        <w:t xml:space="preserve"> </w:t>
      </w:r>
      <w:r>
        <w:rPr>
          <w:rFonts w:ascii="Nirmala UI" w:hAnsi="Nirmala UI" w:eastAsia="Nirmala UI" w:cs="Nirmala UI"/>
        </w:rPr>
        <w:t>ପ୍ରତିଫଳିତ</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ଉକ୍ରେନ୍</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ବିଜୟୀ</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ଏପରିଭାବେ</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11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ଐତିହାସିକ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ରାଫିଆର</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ପ୍ଟୋଲେମୀ</w:t>
      </w:r>
      <w:r>
        <w:rPr>
          <w:rFonts w:ascii="Times New Roman" w:hAnsi="Times New Roman" w:eastAsia="Times New Roman" w:cs="Times New Roman"/>
        </w:rPr>
        <w:t xml:space="preserve"> </w:t>
      </w:r>
      <w:r>
        <w:rPr>
          <w:rFonts w:ascii="Nirmala UI" w:hAnsi="Nirmala UI" w:eastAsia="Nirmala UI" w:cs="Nirmala UI"/>
        </w:rPr>
        <w:t>ଚତୁର୍ଥ</w:t>
      </w:r>
      <w:r>
        <w:rPr>
          <w:rFonts w:ascii="Times New Roman" w:hAnsi="Times New Roman" w:eastAsia="Times New Roman" w:cs="Times New Roman"/>
        </w:rPr>
        <w:t xml:space="preserve"> </w:t>
      </w:r>
      <w:r>
        <w:rPr>
          <w:rFonts w:ascii="Nirmala UI" w:hAnsi="Nirmala UI" w:eastAsia="Nirmala UI" w:cs="Nirmala UI"/>
        </w:rPr>
        <w:t>ଫିଲୋପାଟରଙ୍କ</w:t>
      </w:r>
      <w:r>
        <w:rPr>
          <w:rFonts w:ascii="Times New Roman" w:hAnsi="Times New Roman" w:eastAsia="Times New Roman" w:cs="Times New Roman"/>
        </w:rPr>
        <w:t xml:space="preserve"> </w:t>
      </w:r>
      <w:r>
        <w:rPr>
          <w:rFonts w:ascii="Nirmala UI" w:hAnsi="Nirmala UI" w:eastAsia="Nirmala UI" w:cs="Nirmala UI"/>
        </w:rPr>
        <w:t>ବିଜୟ</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ପଦକୁ</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ପୁତିନଙ୍କ</w:t>
      </w:r>
      <w:r>
        <w:rPr>
          <w:rFonts w:ascii="Times New Roman" w:hAnsi="Times New Roman" w:eastAsia="Times New Roman" w:cs="Times New Roman"/>
        </w:rPr>
        <w:t xml:space="preserve"> </w:t>
      </w:r>
      <w:r>
        <w:rPr>
          <w:rFonts w:ascii="Nirmala UI" w:hAnsi="Nirmala UI" w:eastAsia="Nirmala UI" w:cs="Nirmala UI"/>
        </w:rPr>
        <w:t>ଆସନ୍ନ</w:t>
      </w:r>
      <w:r>
        <w:rPr>
          <w:rFonts w:ascii="Times New Roman" w:hAnsi="Times New Roman" w:eastAsia="Times New Roman" w:cs="Times New Roman"/>
        </w:rPr>
        <w:t xml:space="preserve"> </w:t>
      </w:r>
      <w:r>
        <w:rPr>
          <w:rFonts w:ascii="Nirmala UI" w:hAnsi="Nirmala UI" w:eastAsia="Nirmala UI" w:cs="Nirmala UI"/>
        </w:rPr>
        <w:t>ସଫଳତାର</w:t>
      </w:r>
      <w:r>
        <w:rPr>
          <w:rFonts w:ascii="Times New Roman" w:hAnsi="Times New Roman" w:eastAsia="Times New Roman" w:cs="Times New Roman"/>
        </w:rPr>
        <w:t xml:space="preserve"> </w:t>
      </w:r>
      <w:r>
        <w:rPr>
          <w:rFonts w:ascii="Nirmala UI" w:hAnsi="Nirmala UI" w:eastAsia="Nirmala UI" w:cs="Nirmala UI"/>
        </w:rPr>
        <w:t>ପୂର୍ବଛାୟା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5–9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ଇତିହାସକୁ</w:t>
      </w:r>
      <w:r>
        <w:rPr>
          <w:rFonts w:ascii="Times New Roman" w:hAnsi="Times New Roman" w:eastAsia="Times New Roman" w:cs="Times New Roman"/>
        </w:rPr>
        <w:t xml:space="preserve"> </w:t>
      </w:r>
      <w:r>
        <w:rPr>
          <w:rFonts w:ascii="Nirmala UI" w:hAnsi="Nirmala UI" w:eastAsia="Nirmala UI" w:cs="Nirmala UI"/>
        </w:rPr>
        <w:t>ସୂକ୍ଷ୍ମ</w:t>
      </w:r>
      <w:r>
        <w:rPr>
          <w:rFonts w:ascii="Times New Roman" w:hAnsi="Times New Roman" w:eastAsia="Times New Roman" w:cs="Times New Roman"/>
        </w:rPr>
        <w:t xml:space="preserve"> </w:t>
      </w:r>
      <w:r>
        <w:rPr>
          <w:rFonts w:ascii="Nirmala UI" w:hAnsi="Nirmala UI" w:eastAsia="Nirmala UI" w:cs="Nirmala UI"/>
        </w:rPr>
        <w:t>ବିବରଣୀ</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ଉପସ୍ଥାପନ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ପାପତନ୍ତ୍ରର</w:t>
      </w:r>
      <w:r>
        <w:rPr>
          <w:rFonts w:ascii="Times New Roman" w:hAnsi="Times New Roman" w:eastAsia="Times New Roman" w:cs="Times New Roman"/>
        </w:rPr>
        <w:t xml:space="preserve"> 1,260-</w:t>
      </w:r>
      <w:r>
        <w:rPr>
          <w:rFonts w:ascii="Nirmala UI" w:hAnsi="Nirmala UI" w:eastAsia="Nirmala UI" w:cs="Nirmala UI"/>
        </w:rPr>
        <w:t>ବର୍ଷୀୟ</w:t>
      </w:r>
      <w:r>
        <w:rPr>
          <w:rFonts w:ascii="Times New Roman" w:hAnsi="Times New Roman" w:eastAsia="Times New Roman" w:cs="Times New Roman"/>
        </w:rPr>
        <w:t xml:space="preserve"> </w:t>
      </w:r>
      <w:r>
        <w:rPr>
          <w:rFonts w:ascii="Nirmala UI" w:hAnsi="Nirmala UI" w:eastAsia="Nirmala UI" w:cs="Nirmala UI"/>
        </w:rPr>
        <w:t>ଶାସନକୁ</w:t>
      </w:r>
      <w:r>
        <w:rPr>
          <w:rFonts w:ascii="Times New Roman" w:hAnsi="Times New Roman" w:eastAsia="Times New Roman" w:cs="Times New Roman"/>
        </w:rPr>
        <w:t xml:space="preserve"> (538–1798) </w:t>
      </w:r>
      <w:r>
        <w:rPr>
          <w:rFonts w:ascii="Nirmala UI" w:hAnsi="Nirmala UI" w:eastAsia="Nirmala UI" w:cs="Nirmala UI"/>
        </w:rPr>
        <w:t>ପୂର୍ବସୂଚିତ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ବିବରଣୀମାନଙ୍କୁ</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ପୁନଃପୁନି</w:t>
      </w:r>
      <w:r>
        <w:rPr>
          <w:rFonts w:ascii="Times New Roman" w:hAnsi="Times New Roman" w:eastAsia="Times New Roman" w:cs="Times New Roman"/>
        </w:rPr>
        <w:t xml:space="preserve"> </w:t>
      </w:r>
      <w:r>
        <w:rPr>
          <w:rFonts w:ascii="Nirmala UI" w:hAnsi="Nirmala UI" w:eastAsia="Nirmala UI" w:cs="Nirmala UI"/>
        </w:rPr>
        <w:t>ଆଲୋଚନା</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ସେହିହେତୁ</w:t>
      </w:r>
      <w:r>
        <w:rPr>
          <w:rFonts w:ascii="Times New Roman" w:hAnsi="Times New Roman" w:eastAsia="Times New Roman" w:cs="Times New Roman"/>
        </w:rPr>
        <w:t xml:space="preserve"> </w:t>
      </w:r>
      <w:r>
        <w:rPr>
          <w:rFonts w:ascii="Nirmala UI" w:hAnsi="Nirmala UI" w:eastAsia="Nirmala UI" w:cs="Nirmala UI"/>
        </w:rPr>
        <w:t>ଏଠାରେ</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5–9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ପୂର୍ଣ୍ଣ</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ମାଇଲସ୍ତମ୍ଭକୁ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538 </w:t>
      </w:r>
      <w:r>
        <w:rPr>
          <w:rFonts w:ascii="Nirmala UI" w:hAnsi="Nirmala UI" w:eastAsia="Nirmala UI" w:cs="Nirmala UI"/>
        </w:rPr>
        <w:t>ରୁ</w:t>
      </w:r>
      <w:r>
        <w:rPr>
          <w:rFonts w:ascii="Times New Roman" w:hAnsi="Times New Roman" w:eastAsia="Times New Roman" w:cs="Times New Roman"/>
        </w:rPr>
        <w:t xml:space="preserve"> 1798 </w:t>
      </w:r>
      <w:r>
        <w:rPr>
          <w:rFonts w:ascii="Nirmala UI" w:hAnsi="Nirmala UI" w:eastAsia="Nirmala UI" w:cs="Nirmala UI"/>
        </w:rPr>
        <w:t>ପର୍ଯ୍ୟନ୍ତର</w:t>
      </w:r>
      <w:r>
        <w:rPr>
          <w:rFonts w:ascii="Times New Roman" w:hAnsi="Times New Roman" w:eastAsia="Times New Roman" w:cs="Times New Roman"/>
        </w:rPr>
        <w:t xml:space="preserve"> </w:t>
      </w:r>
      <w:r>
        <w:rPr>
          <w:rFonts w:ascii="Nirmala UI" w:hAnsi="Nirmala UI" w:eastAsia="Nirmala UI" w:cs="Nirmala UI"/>
        </w:rPr>
        <w:t>ଅବଧିରେ</w:t>
      </w:r>
      <w:r>
        <w:rPr>
          <w:rFonts w:ascii="Times New Roman" w:hAnsi="Times New Roman" w:eastAsia="Times New Roman" w:cs="Times New Roman"/>
        </w:rPr>
        <w:t xml:space="preserve"> </w:t>
      </w:r>
      <w:r>
        <w:rPr>
          <w:rFonts w:ascii="Nirmala UI" w:hAnsi="Nirmala UI" w:eastAsia="Nirmala UI" w:cs="Nirmala UI"/>
        </w:rPr>
        <w:t>ଯାହାର</w:t>
      </w:r>
      <w:r>
        <w:rPr>
          <w:rFonts w:ascii="Times New Roman" w:hAnsi="Times New Roman" w:eastAsia="Times New Roman" w:cs="Times New Roman"/>
        </w:rPr>
        <w:t xml:space="preserve"> </w:t>
      </w:r>
      <w:r>
        <w:rPr>
          <w:rFonts w:ascii="Nirmala UI" w:hAnsi="Nirmala UI" w:eastAsia="Nirmala UI" w:cs="Nirmala UI"/>
        </w:rPr>
        <w:t>ପ୍ରତିଧ୍ୱନି</w:t>
      </w:r>
      <w:r>
        <w:rPr>
          <w:rFonts w:ascii="Times New Roman" w:hAnsi="Times New Roman" w:eastAsia="Times New Roman" w:cs="Times New Roman"/>
        </w:rPr>
        <w:t xml:space="preserve"> </w:t>
      </w:r>
      <w:r>
        <w:rPr>
          <w:rFonts w:ascii="Nirmala UI" w:hAnsi="Nirmala UI" w:eastAsia="Nirmala UI" w:cs="Nirmala UI"/>
        </w:rPr>
        <w:t>ଶୁଣାଯାଏ</w:t>
      </w:r>
      <w:r>
        <w:rPr>
          <w:rFonts w:ascii="Times New Roman" w:hAnsi="Times New Roman" w:eastAsia="Times New Roman" w:cs="Times New Roman"/>
        </w:rPr>
        <w:t xml:space="preserve">, </w:t>
      </w:r>
      <w:r>
        <w:rPr>
          <w:rFonts w:ascii="Nirmala UI" w:hAnsi="Nirmala UI" w:eastAsia="Nirmala UI" w:cs="Nirmala UI"/>
        </w:rPr>
        <w:t>ସେଥିକୁ</w:t>
      </w:r>
      <w:r>
        <w:rPr>
          <w:rFonts w:ascii="Times New Roman" w:hAnsi="Times New Roman" w:eastAsia="Times New Roman" w:cs="Times New Roman"/>
        </w:rPr>
        <w:t xml:space="preserve"> </w:t>
      </w:r>
      <w:r>
        <w:rPr>
          <w:rFonts w:ascii="Nirmala UI" w:hAnsi="Nirmala UI" w:eastAsia="Nirmala UI" w:cs="Nirmala UI"/>
        </w:rPr>
        <w:t>ଉଲ୍ଲେଖ</w:t>
      </w:r>
      <w:r>
        <w:rPr>
          <w:rFonts w:ascii="Times New Roman" w:hAnsi="Times New Roman" w:eastAsia="Times New Roman" w:cs="Times New Roman"/>
        </w:rPr>
        <w:t xml:space="preserve"> </w:t>
      </w:r>
      <w:r>
        <w:rPr>
          <w:rFonts w:ascii="Nirmala UI" w:hAnsi="Nirmala UI" w:eastAsia="Nirmala UI" w:cs="Nirmala UI"/>
        </w:rPr>
        <w:t>କରିବି।</w:t>
      </w:r>
    </w:p>
    <w:p>
      <w:pPr>
        <w:pStyle w:val="ArticleBody"/>
        <w:jc w:val="left"/>
      </w:pPr>
      <w:r>
        <w:rPr>
          <w:rFonts w:ascii="Times New Roman" w:hAnsi="Times New Roman" w:eastAsia="Times New Roman" w:cs="Times New Roman"/>
        </w:rPr>
        <w:t>Tou na fasin i stat wantaim wanpela kontrak namel long kingdom bilong Ptolemy long sauth na kingdom bilong Seleucid long not, em ol i strongim taim king bilong sauth i givim pikinini meri bilong em long maritim king bilong not. Dispela pasin bilong bungim tupela i kirapim wanpela haptaim bilong sevenpela yia, na em i pinis taim king bilong sauth i go pait long not, kisim king bilong not kalabus i go long Isip, na bihain dispela king ol i bin holim kalabus i dai bihain long em i pundaun long hos.</w:t>
      </w:r>
    </w:p>
    <w:p>
      <w:pPr>
        <w:pStyle w:val="ArticleHeading"/>
        <w:jc w:val="left"/>
      </w:pPr>
      <w:r>
        <w:rPr>
          <w:rFonts w:ascii="Arial" w:hAnsi="Arial" w:eastAsia="Arial" w:cs="Arial"/>
        </w:rPr>
        <w:t>Un traité rompu</w:t>
      </w:r>
    </w:p>
    <w:p>
      <w:pPr>
        <w:pStyle w:val="ArticleBody"/>
        <w:jc w:val="left"/>
      </w:pPr>
      <w:r>
        <w:rPr>
          <w:rFonts w:ascii="Times New Roman" w:hAnsi="Times New Roman" w:eastAsia="Times New Roman" w:cs="Times New Roman"/>
        </w:rPr>
        <w:t>L’invasion résulta d’un traité rompu. Après le début de la période de sept ans, le roi du Nord répudia sa première épouse afin d’épouser la princesse du Sud et d’assurer le traité. Plus tard, il répudia l’épouse du Sud et rétablit sa reine originelle. Cela poussa la première reine à faire exécuter la reine du Sud et sa suite, provoquant la colère de la famille de cette dernière en Égypte.</w:t>
      </w:r>
    </w:p>
    <w:p>
      <w:pPr>
        <w:pStyle w:val="ArticleBody"/>
        <w:jc w:val="left"/>
      </w:pPr>
      <w:r>
        <w:rPr>
          <w:rFonts w:ascii="Times New Roman" w:hAnsi="Times New Roman" w:eastAsia="Times New Roman" w:cs="Times New Roman"/>
        </w:rPr>
        <w:t>Na utambuzi wa kinabii, miaka saba yaweza kuonekana kuwa vipindi viwili vya miaka mitatu na nusu, kama inavyoonyeshwa na miaka mitatu na nusu kabla ya msalaba na miaka mitatu na nusu baada ya msalaba, ambayo kwa pamoja iliuwakilisha juma ambalo Kristo alilithibitisha agano. Hiyo miaka mitatu na nusu pia hutambulika katika laana ya nyakati saba iliyotekelezwa juu ya ufalme wa kaskazini wa Israeli tangu 723 KK hadi 1798. Hizo nyakati saba zimegawanywa katika vipindi viwili vya miaka elfu moja mia mbili na sitini, huku 538 ikiwa ndiyo sehemu ya katikati. Vielelezo hivi vya hizo saba kugawanywa katika vipindi viwili vya miaka mitatu na nusu si vya nasibu; ni vya makusudi.</w:t>
      </w:r>
    </w:p>
    <w:p>
      <w:pPr>
        <w:pStyle w:val="ArticleBody"/>
        <w:jc w:val="left"/>
      </w:pPr>
      <w:r>
        <w:rPr>
          <w:rFonts w:ascii="Times New Roman" w:hAnsi="Times New Roman" w:eastAsia="Times New Roman" w:cs="Times New Roman"/>
        </w:rPr>
        <w:t>Gedurende die verdeling van die week het Christus die verbond bevestig; die kruis verteenwoordig die middelpunt, en sodoende dui dit op Christus wat die boodskap persoonlik vir drie en ’n half jaar verkondig het, gevolg deur sy dissipels wat die boodskap vir dieselfde tydperk verkondig het. In die sewe tye teen die noordelike koninkryk verdeel 538 die geskiedenis in ’n tydperk waarin die heidendom die heiligdom en die leër vertrap het, gevolg deur die pousdom wat die heiligdom en die leër vir dieselfde tydperk vertrap het. In profetiese simboliek word “sewe” deur drie en ’n half voorgestel, wat op sy beurt deur twee-en-veertig maande, drie en ’n half dae of jare, duisend twee honderd en sestig, vyf-en-twintig twintig, en ’n tyd, tye en ’n halwe tyd voorgestel word. In konteks is al hierdie syfers onderling verwisselbaar.</w:t>
      </w:r>
    </w:p>
    <w:p>
      <w:pPr>
        <w:pStyle w:val="ArticleBody"/>
        <w:jc w:val="left"/>
      </w:pPr>
      <w:r>
        <w:rPr>
          <w:rFonts w:ascii="Times New Roman" w:hAnsi="Times New Roman" w:eastAsia="Times New Roman" w:cs="Times New Roman"/>
        </w:rPr>
        <w:t>Mkpakọrịta ahụ, nke e mere n’etiti Alaeze Ptolemaic, nke ụmụnna Ptolemy Mbụ na-achị (onye bụ otu n’ime ndị isi agha Alexander Onye Ukwu), nke na-achịkwa Ijipt, na Alaeze Seleucid, nke ụmụnna Seleucus Mbụ na-achị (onye ọzọ n’ime ndị isi agha Alexander), nke na-achịkwa nnukwu akụkụ nke Middle East, gụnyere Siria, kwụsịrị Agha Siria nke Abụọ n’afọ 253 T.K. Agha ahụ malitere afọ asaa tupu nke ahụ n’afọ 260 T.K. Afọ asaa ka e mechara kwado mkpata ahụ n’iwu, e mebiri ya n’afọ 246 T.K. Afọ iri na anọ, kewara n’ime oge abụọ nke afọ asaa. Ọkara mbụ bụ agha, ọkara nke abụọ bụ udo. Afọ iri na anọ ahụ na-amalite site n’Agha Siria nke Abụọ, ọ na-akwụsịkwa site n’Agha Siria nke Atọ. Ụdị nhazi kwekọrọ onwe ya dị otu a n’akụkọ ihe mere eme na-adịwanye ìhè mgbe ị ghọtara na a na-anọchi anya akụkọ ihe mere eme ahụ n’amaokwu nke ise ruo nke itoolu nke isi nke iri na otu. Mkpakọrịta ahụ na mmebi ya bụ isi ihe amaokwu ndị ahụ, yana akụkọ ihe mere eme nke mezuru ha.</w:t>
      </w:r>
    </w:p>
    <w:p>
      <w:pPr>
        <w:pStyle w:val="ArticleBody"/>
        <w:jc w:val="left"/>
      </w:pPr>
      <w:r>
        <w:rPr>
          <w:rFonts w:ascii="Times New Roman" w:hAnsi="Times New Roman" w:eastAsia="Times New Roman" w:cs="Times New Roman"/>
        </w:rPr>
        <w:t>Ceci correspond à la domination papale de 538 à 1798. Vers la fin de cette époque, Napoléon Bonaparte conclut un traité avec le Vatican. Invoquant la violation, par le Vatican, du traité de Tolentino de 1797, Napoléon envoya en 1798 le général Berthier pour faire le pape prisonnier. Le pape mourut en France en 1799. Cette période de 1 260 ans est décrite en détail aux versets 31–39.</w:t>
      </w:r>
    </w:p>
    <w:p>
      <w:pPr>
        <w:pStyle w:val="ArticleBody"/>
        <w:jc w:val="left"/>
      </w:pPr>
      <w:r>
        <w:rPr>
          <w:rFonts w:ascii="Times New Roman" w:hAnsi="Times New Roman" w:eastAsia="Times New Roman" w:cs="Times New Roman"/>
        </w:rPr>
        <w:t>L’histoire des versets 5–9 est parallèle à celle des versets 31–39, fournissant deux témoins au sein de Daniel 11. Les deux lignes présentent des jalons prophétiques identiques, révélant la dynamique entre les rois du midi et du nord. Chaque période est symbolisée par trois ans et demi, s’achevant par la victoire du roi du midi, qui capture le roi du nord et l’emmène dans le pays du midi, où les deux rois du nord meurent. Dans les deux cas, comme le dit le texte, le roi du midi revient avec du butin :</w:t>
      </w:r>
    </w:p>
    <w:p>
      <w:pPr>
        <w:pStyle w:val="ArticleScripture"/>
        <w:jc w:val="left"/>
      </w:pPr>
      <w:r>
        <w:rPr>
          <w:rFonts w:ascii="Myanmar Text" w:hAnsi="Myanmar Text" w:eastAsia="Myanmar Text" w:cs="Myanmar Text"/>
        </w:rPr>
        <w:t>၎င်းသည်လည်း</w:t>
      </w:r>
      <w:r>
        <w:rPr>
          <w:rFonts w:ascii="Times New Roman" w:hAnsi="Times New Roman" w:eastAsia="Times New Roman" w:cs="Times New Roman"/>
        </w:rPr>
        <w:t xml:space="preserve"> </w:t>
      </w:r>
      <w:r>
        <w:rPr>
          <w:rFonts w:ascii="Myanmar Text" w:hAnsi="Myanmar Text" w:eastAsia="Myanmar Text" w:cs="Myanmar Text"/>
        </w:rPr>
        <w:t>သူတို့၏ဘုရားများကို၊</w:t>
      </w:r>
      <w:r>
        <w:rPr>
          <w:rFonts w:ascii="Times New Roman" w:hAnsi="Times New Roman" w:eastAsia="Times New Roman" w:cs="Times New Roman"/>
        </w:rPr>
        <w:t xml:space="preserve"> </w:t>
      </w:r>
      <w:r>
        <w:rPr>
          <w:rFonts w:ascii="Myanmar Text" w:hAnsi="Myanmar Text" w:eastAsia="Myanmar Text" w:cs="Myanmar Text"/>
        </w:rPr>
        <w:t>သူတို့၏မင်းသားများနှင့်တကွ၊</w:t>
      </w:r>
      <w:r>
        <w:rPr>
          <w:rFonts w:ascii="Times New Roman" w:hAnsi="Times New Roman" w:eastAsia="Times New Roman" w:cs="Times New Roman"/>
        </w:rPr>
        <w:t xml:space="preserve"> </w:t>
      </w:r>
      <w:r>
        <w:rPr>
          <w:rFonts w:ascii="Myanmar Text" w:hAnsi="Myanmar Text" w:eastAsia="Myanmar Text" w:cs="Myanmar Text"/>
        </w:rPr>
        <w:t>ငွေနှင့်ရွှေဖြင့်ပြုလုပ်သော</w:t>
      </w:r>
      <w:r>
        <w:rPr>
          <w:rFonts w:ascii="Times New Roman" w:hAnsi="Times New Roman" w:eastAsia="Times New Roman" w:cs="Times New Roman"/>
        </w:rPr>
        <w:t xml:space="preserve"> </w:t>
      </w:r>
      <w:r>
        <w:rPr>
          <w:rFonts w:ascii="Myanmar Text" w:hAnsi="Myanmar Text" w:eastAsia="Myanmar Text" w:cs="Myanmar Text"/>
        </w:rPr>
        <w:t>သူတို့၏အဖိုးတန်ပစ္စည်းများနှင့်တကွ၊</w:t>
      </w:r>
      <w:r>
        <w:rPr>
          <w:rFonts w:ascii="Times New Roman" w:hAnsi="Times New Roman" w:eastAsia="Times New Roman" w:cs="Times New Roman"/>
        </w:rPr>
        <w:t xml:space="preserve"> </w:t>
      </w:r>
      <w:r>
        <w:rPr>
          <w:rFonts w:ascii="Myanmar Text" w:hAnsi="Myanmar Text" w:eastAsia="Myanmar Text" w:cs="Myanmar Text"/>
        </w:rPr>
        <w:t>အဲဂုတ္တုပြည်သို့</w:t>
      </w:r>
      <w:r>
        <w:rPr>
          <w:rFonts w:ascii="Times New Roman" w:hAnsi="Times New Roman" w:eastAsia="Times New Roman" w:cs="Times New Roman"/>
        </w:rPr>
        <w:t xml:space="preserve"> </w:t>
      </w:r>
      <w:r>
        <w:rPr>
          <w:rFonts w:ascii="Myanmar Text" w:hAnsi="Myanmar Text" w:eastAsia="Myanmar Text" w:cs="Myanmar Text"/>
        </w:rPr>
        <w:t>ဖမ်းဆီးသွားလိမ့်မည်။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မြောက်ရှင်ဘုရင်ထက်</w:t>
      </w:r>
      <w:r>
        <w:rPr>
          <w:rFonts w:ascii="Times New Roman" w:hAnsi="Times New Roman" w:eastAsia="Times New Roman" w:cs="Times New Roman"/>
        </w:rPr>
        <w:t xml:space="preserve"> </w:t>
      </w:r>
      <w:r>
        <w:rPr>
          <w:rFonts w:ascii="Myanmar Text" w:hAnsi="Myanmar Text" w:eastAsia="Myanmar Text" w:cs="Myanmar Text"/>
        </w:rPr>
        <w:t>နှစ်များစွာ</w:t>
      </w:r>
      <w:r>
        <w:rPr>
          <w:rFonts w:ascii="Times New Roman" w:hAnsi="Times New Roman" w:eastAsia="Times New Roman" w:cs="Times New Roman"/>
        </w:rPr>
        <w:t xml:space="preserve"> </w:t>
      </w:r>
      <w:r>
        <w:rPr>
          <w:rFonts w:ascii="Myanmar Text" w:hAnsi="Myanmar Text" w:eastAsia="Myanmar Text" w:cs="Myanmar Text"/>
        </w:rPr>
        <w:t>ဆက်လက်တည်ရှိလိမ့်မည်။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11:8</w:t>
      </w:r>
      <w:r>
        <w:rPr>
          <w:rFonts w:ascii="Myanmar Text" w:hAnsi="Myanmar Text" w:eastAsia="Myanmar Text" w:cs="Myanmar Text"/>
        </w:rPr>
        <w:t>။</w:t>
      </w:r>
    </w:p>
    <w:p>
      <w:pPr>
        <w:pStyle w:val="ArticleBody"/>
        <w:jc w:val="left"/>
      </w:pPr>
      <w:r>
        <w:rPr>
          <w:rFonts w:ascii="Times New Roman" w:hAnsi="Times New Roman" w:eastAsia="Times New Roman" w:cs="Times New Roman"/>
        </w:rPr>
        <w:t>Pour Ptolémée, il s’agissait d’un trésor auparavant pillé par le roi du Nord ; pour Napoléon, c’étaient les richesses du Vatican, dépouillées et emportées en France. Ces deux lignes de témoignage indiquent que la mort du roi du Nord est symbolisée par la chute d’un cheval. Dans Apocalypse 17, la femme qui monte la bête représente l’Église catholique :</w:t>
      </w:r>
    </w:p>
    <w:p>
      <w:pPr>
        <w:pStyle w:val="ArticleScripture"/>
        <w:jc w:val="left"/>
      </w:pPr>
      <w:r>
        <w:rPr>
          <w:rFonts w:ascii="Times New Roman" w:hAnsi="Times New Roman" w:eastAsia="Times New Roman" w:cs="Times New Roman"/>
        </w:rPr>
        <w:t>Ainsi il me transporta en esprit dans un désert ; et je vis une femme assise sur une bête de couleur écarlate, pleine de noms de blasphème, ayant sept têtes et dix cornes. Apocalypse 17:3.</w:t>
      </w:r>
    </w:p>
    <w:p>
      <w:pPr>
        <w:pStyle w:val="ArticleBody"/>
        <w:jc w:val="left"/>
      </w:pP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जनावर</w:t>
      </w:r>
      <w:r>
        <w:rPr>
          <w:rFonts w:ascii="Times New Roman" w:hAnsi="Times New Roman" w:eastAsia="Times New Roman" w:cs="Times New Roman"/>
        </w:rPr>
        <w:t>-</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17 </w:t>
      </w:r>
      <w:r>
        <w:rPr>
          <w:rFonts w:ascii="Nirmala UI" w:hAnsi="Nirmala UI" w:eastAsia="Nirmala UI" w:cs="Nirmala UI"/>
        </w:rPr>
        <w:t>मा</w:t>
      </w:r>
      <w:r>
        <w:rPr>
          <w:rFonts w:ascii="Times New Roman" w:hAnsi="Times New Roman" w:eastAsia="Times New Roman" w:cs="Times New Roman"/>
        </w:rPr>
        <w:t xml:space="preserve"> 1798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पुनर्स्थापना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आपन</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सँभालैत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जनावर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होएब</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Nango mwasi oyo omonaki azali engumba monene wana, oyo ezali koyangela bakonzi ya mabele. Emoniseli 17:18.</w:t>
      </w:r>
    </w:p>
    <w:p>
      <w:pPr>
        <w:pStyle w:val="ArticleBody"/>
        <w:jc w:val="left"/>
      </w:pPr>
      <w:r>
        <w:rPr>
          <w:rFonts w:ascii="Times New Roman" w:hAnsi="Times New Roman" w:eastAsia="Times New Roman" w:cs="Times New Roman"/>
        </w:rPr>
        <w:t>Le coup mortel de 1798 a été préfiguré dans les versets 5–9 lorsque le roi du nord tomba d’un cheval et mourut. Ces deux lignes de Daniel 11 sont parallèles aux versets 41–45. La loi dominicale aux États-Unis, marquée au verset 41, marque le début de la dernière chevauchée de la papauté sur la bête — une période reflétée dans ces deux lignes. Lorsque Ellen White observe qu’« une grande partie de l’histoire » accomplie dans Daniel 11 « se répétera », les versets 5–9 et 31–39 s’alignent sur les versets 41–45.</w:t>
      </w:r>
    </w:p>
    <w:p>
      <w:pPr>
        <w:pStyle w:val="ArticleHeading"/>
        <w:jc w:val="left"/>
      </w:pPr>
      <w:r>
        <w:rPr>
          <w:rFonts w:ascii="Arial" w:hAnsi="Arial" w:eastAsia="Arial" w:cs="Arial"/>
        </w:rPr>
        <w:t>Yatn lə Verse Forty ntsena</w:t>
      </w:r>
    </w:p>
    <w:p>
      <w:pPr>
        <w:pStyle w:val="ArticleBody"/>
        <w:jc w:val="left"/>
      </w:pPr>
      <w:r>
        <w:rPr>
          <w:rFonts w:ascii="Times New Roman" w:hAnsi="Times New Roman" w:eastAsia="Times New Roman" w:cs="Times New Roman"/>
        </w:rPr>
        <w:t>Kuva mundima 31 kuya ku-45, umundima 40 kuphela omi ngaphandle kwenkathi yesiprofetho yezinsuku ezintathu nengxenye. Umele umlando oyingqayizivele ngaphakathi kwengxenye yokugcina yesithathu yemibhalo engu-45 kaDaniyeli. Kumundima 16, umlando weRoma yobuKhosi yabahedeni wembuleka ngababhusi abane—uPompey, uJulius Caesar, u-Augustus Caesar, no-Tiberius Caesar. Ukunqoba kuka-Augustus eMpini yase-Actium ngo-31 BC kwaqala ukubusa kweRoma yobuKhosi kweminyaka engu-360, kugcwalisa “isikhathi” esikumundima 24:</w:t>
      </w:r>
    </w:p>
    <w:p>
      <w:pPr>
        <w:pStyle w:val="ArticleScripture"/>
        <w:jc w:val="left"/>
      </w:pPr>
      <w:r>
        <w:rPr>
          <w:rFonts w:ascii="Times New Roman" w:hAnsi="Times New Roman" w:eastAsia="Times New Roman" w:cs="Times New Roman"/>
        </w:rPr>
        <w:t>Il entrera paisiblement jusque dans les lieux les plus fertiles de la province; et il fera ce que ses pères n’ont pas fait, ni les pères de ses pères; il distribuera parmi eux le butin, les dépouilles et les richesses; oui, il formera des desseins contre les forteresses, et cela pour un temps. Daniel 11:24.</w:t>
      </w:r>
    </w:p>
    <w:p>
      <w:pPr>
        <w:pStyle w:val="ArticleBody"/>
        <w:jc w:val="left"/>
      </w:pPr>
      <w:r>
        <w:rPr>
          <w:rFonts w:ascii="Times New Roman" w:hAnsi="Times New Roman" w:eastAsia="Times New Roman" w:cs="Times New Roman"/>
        </w:rPr>
        <w:t>После Акция Рим сделал Египет провинцией в 30 г. до Р. Х. Триста шестьдесят лет спустя, в 330 году, Константин перенёс столицу империи из Рима в Константинополь. Это «время» пророчески соотносится с 1 260 годами папского владычества и с 7 годами стихов 5–9.</w:t>
      </w:r>
    </w:p>
    <w:p>
      <w:pPr>
        <w:pStyle w:val="ArticleBody"/>
        <w:jc w:val="left"/>
      </w:pPr>
      <w:r>
        <w:rPr>
          <w:rFonts w:ascii="Times New Roman" w:hAnsi="Times New Roman" w:eastAsia="Times New Roman" w:cs="Times New Roman"/>
        </w:rPr>
        <w:t>Tamin’ny andininy faha-16, Roma Mpanjaka jentilisa no manjaka hatramin’ny andininy faha-30, ka tafiditra ao anatin’izany ny fanekena nataon’ny Makabeo tamin’i Roma sy ny taranak’i Kristy. Kanefa, ny andininy 16–30 dia mifanaraka amin’ny andininy 31–39 sy 41–45. Koa amin’ireo andininy 30 farany ao amin’ny Daniela 11 dia miseho ny tsipika faminaniana mirindra iray—afa-tsy ny andininy faha-40, izay amaritana ny “andro farany” amin’ny taona 1798 sy 1989.</w:t>
      </w:r>
    </w:p>
    <w:p>
      <w:pPr>
        <w:pStyle w:val="ArticleBody"/>
        <w:jc w:val="left"/>
      </w:pPr>
      <w:r>
        <w:rPr>
          <w:rFonts w:ascii="Times New Roman" w:hAnsi="Times New Roman" w:eastAsia="Times New Roman" w:cs="Times New Roman"/>
        </w:rPr>
        <w:t>Avec de légères exceptions aux versets 2 et 3 — où le dernier de huit présidents en vient à prendre le contrôle des dix rois des Nations unies —, les deux premiers versets correspondent au verset 40, représentant la loi du dimanche et le passage du sixième au septième, puis au huitième royaume. Les versets 3 et 4 correspondent au verset 45 et à Daniel 12:1, dépeignant l’ascension et la chute du royaume grec, en parallèle avec l’établissement et la disparition de la papauté dans les versets 41 jusqu’à Daniel 12:1. Tant la femme que la bête qu’elle monte finissent sans secours, encadrant le commencement et la fin de Daniel 11 en dehors de l’histoire du verset 40. Alexandre le Grand symbolise les Nations unies, se livrant à la fornication avec la prostituée de Tyr (le roi du nord à partir du verset 41), lesquels sont à la fois la bête et le dragon.</w:t>
      </w:r>
    </w:p>
    <w:p>
      <w:pPr>
        <w:pStyle w:val="ArticleHeading"/>
        <w:jc w:val="left"/>
      </w:pPr>
      <w:r>
        <w:rPr>
          <w:rFonts w:ascii="Arial" w:hAnsi="Arial" w:eastAsia="Arial" w:cs="Arial"/>
        </w:rPr>
        <w:t>Versets neuf et dix</w:t>
      </w:r>
    </w:p>
    <w:p>
      <w:pPr>
        <w:pStyle w:val="ArticleBody"/>
        <w:jc w:val="left"/>
      </w:pPr>
      <w:r>
        <w:rPr>
          <w:rFonts w:ascii="Times New Roman" w:hAnsi="Times New Roman" w:eastAsia="Times New Roman" w:cs="Times New Roman"/>
        </w:rPr>
        <w:t>Les versets 5–9 s’achèvent au temps de la fin, en 1798, tandis que le verset 10 désigne 1989. Ainsi, l’intervalle entre les versets 9 et 10 — de 1798 à 1989 — représente la portion révélée du verset 40, inaugurant son histoire cachée. Pour préciser : presque chaque verset de Daniel 11 reflète la domination de la papauté de 538 à 1798. Le verset 40 couvre la période allant de 1798 jusqu’à la loi du dimanche aux États-Unis. Les versets 6–9 sont une figure de l’ère papale, tandis que le verset 10 annonce par anticipation l’effondrement de l’URSS en 1989. Par conséquent, les versets 11–15 s’étendent de 1989 jusqu’à la loi du dimanche, telle qu’elle est représentée dans les versets 16, 31 et 41.</w:t>
      </w:r>
    </w:p>
    <w:p>
      <w:pPr>
        <w:pStyle w:val="ArticleBody"/>
        <w:jc w:val="left"/>
      </w:pPr>
      <w:r>
        <w:rPr>
          <w:rFonts w:ascii="Times New Roman" w:hAnsi="Times New Roman" w:eastAsia="Times New Roman" w:cs="Times New Roman"/>
        </w:rPr>
        <w:t>Verse 40 se divide en dos partes. La primera, desde 1798 hasta 1989, comienza y termina con un “tiempo del fin”. La segunda mitad comienza en 1989, donde concluye la primera mitad. Los versículos 1 y 2 identifican una secuencia de presidentes que comienza en 1989, en armonía con la segunda parte del versículo 40. El versículo 11 señala el inicio de la guerra de Ucrania en 2014, mientras que el versículo 12 pone de relieve las consecuencias que el rey del sur victorioso atrae sobre sí mismo. El versículo 13 se acerca a su cumplimiento, pero aquí observamos que el versículo 11 cae dentro de la segunda parte del versículo 40: posterior a 1989, pero anterior a la ley dominical (versículo 41).</w:t>
      </w:r>
    </w:p>
    <w:p>
      <w:pPr>
        <w:pStyle w:val="ArticleBody"/>
        <w:jc w:val="left"/>
      </w:pPr>
      <w:r>
        <w:rPr>
          <w:rFonts w:ascii="Times New Roman" w:hAnsi="Times New Roman" w:eastAsia="Times New Roman" w:cs="Times New Roman"/>
        </w:rPr>
        <w:t>Les versets 13–15 renvoient à la bataille de Panion, en 200 av. J.-C., l’année où la Rome païenne commença à exercer une influence sur les affaires humaines, en lien avec cette bataille. Se déroulant bien avant l’entrée de Pompée à Jérusalem au verset 16, elle fournit une preuve historique identifiant le verset 41 comme la loi du dimanche aux États-Unis.</w:t>
      </w:r>
    </w:p>
    <w:p>
      <w:pPr>
        <w:pStyle w:val="ArticleBody"/>
        <w:jc w:val="left"/>
      </w:pPr>
      <w:r>
        <w:rPr>
          <w:rFonts w:ascii="Times New Roman" w:hAnsi="Times New Roman" w:eastAsia="Times New Roman" w:cs="Times New Roman"/>
        </w:rPr>
        <w:t>Nan profetik yo chak ansanm ak akonplisman istorik yo nan Daniel 11 swa tonbe anndan istwa vèsè 40 la (1798 rive jouk lwa dimanch lan), oswa depi vèsè 41 rive nan Daniel 12:1. Nan 45 vèsè yo, vèsè 1, 2, 7–15, ak 40—ki bay yon total douz—aplike sou delè vèsè 40 la lè yo poze liy sou liy. Vèsè 40 la divize an de segman nan 1989. Vèsè 1, 2, ak 10–15 yo koresponn ak dezyèm mwatye li. Vèsè 1 ak 2 trase liy prezidan yo nan istwa bèt ki soti sou tè a, tandiske vèsè 10–15 yo dekri twa lagè pa pwokirasyon wa nò a (pouvwa papal la) òganize soti 1989 rive jouk lwa dimanch lan. Twa lagè pa pwokirasyon yo kòmanse avèk Etazini, ki idantifye nan vèsè 40 kòm “charyo, bato ak kavalye.”</w:t>
      </w:r>
    </w:p>
    <w:p>
      <w:pPr>
        <w:pStyle w:val="ArticleBody"/>
        <w:jc w:val="left"/>
      </w:pPr>
      <w:r>
        <w:rPr>
          <w:rFonts w:ascii="Times New Roman" w:hAnsi="Times New Roman" w:eastAsia="Times New Roman" w:cs="Times New Roman"/>
        </w:rPr>
        <w:t>Nous poursuivrons dans l’article suivant.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パニウム――第一番</dc:title>
  <dc:subject>الفصل الحادي عشر</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