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Namba Faif</w:t>
      </w:r>
    </w:p>
    <w:p>
      <w:pPr>
        <w:pStyle w:val="ArticleSubtitle"/>
        <w:jc w:val="left"/>
      </w:pPr>
      <w:r>
        <w:rPr>
          <w:rFonts w:ascii="Arial" w:hAnsi="Arial" w:eastAsia="Arial" w:cs="Arial"/>
        </w:rPr>
        <w:t>Les voleurs de ton peuple : l’exaltation et la chute de Rome dans la prophétie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Le Livre de Daniel déploie un remarquable récit prophétique, tissant un principe de répétition et d’amplification qui traverse ses visions, depuis la statue métallique du chapitre 2 jusqu’aux conflits royaux complexes du chapitre 11. Dans ce cadre, un argument convaincant se dégage : la bataille d’Actium en 31 av. J.-C., culminant dans la chute de l’Égypte en 30 av. J.-C., constitue un accomplissement décisif de Daniel 11:25, 26, marquant l’aube de la suprématie de 360 ans de la Rome païenne.</w:t>
      </w:r>
    </w:p>
    <w:p>
      <w:pPr>
        <w:pStyle w:val="ArticleBody"/>
        <w:jc w:val="left"/>
      </w:pPr>
      <w:r>
        <w:rPr>
          <w:rFonts w:ascii="Times New Roman" w:hAnsi="Times New Roman" w:eastAsia="Times New Roman" w:cs="Times New Roman"/>
        </w:rPr>
        <w:t>Daniel 11 ouvre sur l’ascension et la chute des empires après la mort d’Alexandre le Grand, en 323 av. J.-C. Pourtant, au verset 14, un changement s’opère. Vers 200 av. J.-C., tandis qu’Antiochus III (Magnus) se préparait pour la bataille de Panium contre le roi-enfant Ptolémée V, Rome intervint, non comme un simple spectateur, mais comme les « brigands de ton peuple ». Soucieuse d’assurer l’approvisionnement en blé de l’Égypte au milieu des troubles hellénistiques, Rome fit valoir son influence durant la deuxième guerre macédonienne (200–197 av. J.-C.), préparant ainsi le terrain pour son rôle prophétique.</w:t>
      </w:r>
    </w:p>
    <w:p>
      <w:pPr>
        <w:pStyle w:val="ArticleHeading"/>
        <w:jc w:val="left"/>
      </w:pPr>
      <w:r>
        <w:rPr>
          <w:rFonts w:ascii="Arial" w:hAnsi="Arial" w:eastAsia="Arial" w:cs="Arial"/>
        </w:rPr>
        <w:t>Римското господство над евреите</w:t>
      </w:r>
    </w:p>
    <w:p>
      <w:pPr>
        <w:pStyle w:val="ArticleBody"/>
        <w:jc w:val="left"/>
      </w:pPr>
      <w:r>
        <w:rPr>
          <w:rFonts w:ascii="Times New Roman" w:hAnsi="Times New Roman" w:eastAsia="Times New Roman" w:cs="Times New Roman"/>
        </w:rPr>
        <w:t>Ff to the requested language is ambiguous. Please specify what language “ff” refers to.</w:t>
      </w:r>
    </w:p>
    <w:p>
      <w:pPr>
        <w:pStyle w:val="ArticleBody"/>
        <w:jc w:val="left"/>
      </w:pPr>
      <w:r>
        <w:rPr>
          <w:rFonts w:ascii="Times New Roman" w:hAnsi="Times New Roman" w:eastAsia="Times New Roman" w:cs="Times New Roman"/>
        </w:rPr>
        <w:t>Քանի որ այն սկսվում է հռոմեական մի զորավարի կողմից տաճարի պղծմամբ և ավարտվում է այն ժամանակով, երբ հռոմեական մի զորավար կործանեց տաճարը, այն կրում է Ալֆայի և Օմեգայի կնիքը։ Սկսվելով պղծմամբ և ավարտվելով կործանմամբ՝ պատմական այդ գիծը ներառում է նաև Նրա պղծումն ու կործանումը, Ով Իր մասին ասաց. «Քանդեցե՛ք այս տաճարը, և երեք օրում ես այն կվերականգնեմ»։ Ճշմարտությունը կազմված է եբրայական այբուբենի առաջին, տասներեքերորդ և վերջին տառերից, և այն գիծը, որ սկսվում է Պոմպեոսով և ավարտվում Տիտոսով, ներառում է տաճարի մի միջին կործանում, որը ներկայացված է երեք խաչերից միջնագույնով, որոնք կանգնեցվեցին հենց այն շաբաթվա ճիշտ մեջտեղում, որում Քրիստոսը եկավ հաստատելու ուխտը։ Տասնվեցից մինչև քսաներկու համարները ներկայացնում են մի մարգարեական գիծ, որը կրում է ճշմարտության կնիքը։ Համարներով ներկայացված պատմության ներսում կան մի քանի կարևոր մարգարեական գծեր, սակայն այդ գծի գլխավոր թեման Հռոմի գերիշխանությունն է հրեաների վրա։</w:t>
      </w:r>
    </w:p>
    <w:p>
      <w:pPr>
        <w:pStyle w:val="ArticleHeading"/>
        <w:jc w:val="left"/>
      </w:pPr>
      <w:r>
        <w:rPr>
          <w:rFonts w:ascii="Arial" w:hAnsi="Arial" w:eastAsia="Arial" w:cs="Arial"/>
        </w:rPr>
        <w:t>Ligues et Traités</w:t>
      </w:r>
    </w:p>
    <w:p>
      <w:pPr>
        <w:pStyle w:val="ArticleBody"/>
        <w:jc w:val="left"/>
      </w:pPr>
      <w:r>
        <w:rPr>
          <w:rFonts w:ascii="Leelawadee UI" w:hAnsi="Leelawadee UI" w:eastAsia="Leelawadee UI" w:cs="Leelawadee UI"/>
        </w:rPr>
        <w:t>ខណ្ឌទី</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ស្ទួនឡើងវិញ</w:t>
      </w:r>
      <w:r>
        <w:rPr>
          <w:rFonts w:ascii="Times New Roman" w:hAnsi="Times New Roman" w:eastAsia="Times New Roman" w:cs="Times New Roman"/>
        </w:rPr>
        <w:t xml:space="preserve"> </w:t>
      </w:r>
      <w:r>
        <w:rPr>
          <w:rFonts w:ascii="Leelawadee UI" w:hAnsi="Leelawadee UI" w:eastAsia="Leelawadee UI" w:cs="Leelawadee UI"/>
        </w:rPr>
        <w:t>ហើយពង្រីកបន្ថែម</w:t>
      </w:r>
      <w:r>
        <w:rPr>
          <w:rFonts w:ascii="Times New Roman" w:hAnsi="Times New Roman" w:eastAsia="Times New Roman" w:cs="Times New Roman"/>
        </w:rPr>
        <w:t xml:space="preserve">» </w:t>
      </w:r>
      <w:r>
        <w:rPr>
          <w:rFonts w:ascii="Leelawadee UI" w:hAnsi="Leelawadee UI" w:eastAsia="Leelawadee UI" w:cs="Leelawadee UI"/>
        </w:rPr>
        <w:t>ដោយត្រឡប់ទៅកាន់ឆ្នាំ</w:t>
      </w:r>
      <w:r>
        <w:rPr>
          <w:rFonts w:ascii="Times New Roman" w:hAnsi="Times New Roman" w:eastAsia="Times New Roman" w:cs="Times New Roman"/>
        </w:rPr>
        <w:t xml:space="preserve"> </w:t>
      </w:r>
      <w:r>
        <w:rPr>
          <w:rFonts w:ascii="Leelawadee UI" w:hAnsi="Leelawadee UI" w:eastAsia="Leelawadee UI" w:cs="Leelawadee UI"/>
        </w:rPr>
        <w:t>១៦១</w:t>
      </w:r>
      <w:r>
        <w:rPr>
          <w:rFonts w:ascii="Times New Roman" w:hAnsi="Times New Roman" w:eastAsia="Times New Roman" w:cs="Times New Roman"/>
        </w:rPr>
        <w:t>–</w:t>
      </w:r>
      <w:r>
        <w:rPr>
          <w:rFonts w:ascii="Leelawadee UI" w:hAnsi="Leelawadee UI" w:eastAsia="Leelawadee UI" w:cs="Leelawadee UI"/>
        </w:rPr>
        <w:t>១៥៨</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នៅពេលដែលពួកយូដាក្រោមការដឹកនាំរបស់យូដាស</w:t>
      </w:r>
      <w:r>
        <w:rPr>
          <w:rFonts w:ascii="Times New Roman" w:hAnsi="Times New Roman" w:eastAsia="Times New Roman" w:cs="Times New Roman"/>
        </w:rPr>
        <w:t xml:space="preserve"> </w:t>
      </w:r>
      <w:r>
        <w:rPr>
          <w:rFonts w:ascii="Leelawadee UI" w:hAnsi="Leelawadee UI" w:eastAsia="Leelawadee UI" w:cs="Leelawadee UI"/>
        </w:rPr>
        <w:t>ម៉ាកាបេអុស</w:t>
      </w:r>
      <w:r>
        <w:rPr>
          <w:rFonts w:ascii="Times New Roman" w:hAnsi="Times New Roman" w:eastAsia="Times New Roman" w:cs="Times New Roman"/>
        </w:rPr>
        <w:t xml:space="preserve"> </w:t>
      </w:r>
      <w:r>
        <w:rPr>
          <w:rFonts w:ascii="Leelawadee UI" w:hAnsi="Leelawadee UI" w:eastAsia="Leelawadee UI" w:cs="Leelawadee UI"/>
        </w:rPr>
        <w:t>បានចងសម្ព័ន្ធមិត្តជាមួយទីក្រុងរ៉ូម</w:t>
      </w:r>
      <w:r>
        <w:rPr>
          <w:rFonts w:ascii="Times New Roman" w:hAnsi="Times New Roman" w:eastAsia="Times New Roman" w:cs="Times New Roman"/>
        </w:rPr>
        <w:t xml:space="preserve"> (1 Maccabees 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ការនេះបញ្ជាក់ឲ្យឃើញយុទ្ធសាស្ត្រកសាងអាណាចក្រដ៏ពិសេសរបស់រ៉ូម</w:t>
      </w:r>
      <w:r>
        <w:rPr>
          <w:rFonts w:ascii="Times New Roman" w:hAnsi="Times New Roman" w:eastAsia="Times New Roman" w:cs="Times New Roman"/>
        </w:rPr>
        <w:t xml:space="preserve"> </w:t>
      </w:r>
      <w:r>
        <w:rPr>
          <w:rFonts w:ascii="Leelawadee UI" w:hAnsi="Leelawadee UI" w:eastAsia="Leelawadee UI" w:cs="Leelawadee UI"/>
        </w:rPr>
        <w:t>គឺការឈ្នះកាន់កាប់តាមរយៈសន្ធិសញ្ញា</w:t>
      </w:r>
      <w:r>
        <w:rPr>
          <w:rFonts w:ascii="Times New Roman" w:hAnsi="Times New Roman" w:eastAsia="Times New Roman" w:cs="Times New Roman"/>
        </w:rPr>
        <w:t xml:space="preserve"> </w:t>
      </w:r>
      <w:r>
        <w:rPr>
          <w:rFonts w:ascii="Leelawadee UI" w:hAnsi="Leelawadee UI" w:eastAsia="Leelawadee UI" w:cs="Leelawadee UI"/>
        </w:rPr>
        <w:t>និងសម្ព័ន្ធភាព</w:t>
      </w:r>
      <w:r>
        <w:rPr>
          <w:rFonts w:ascii="Times New Roman" w:hAnsi="Times New Roman" w:eastAsia="Times New Roman" w:cs="Times New Roman"/>
        </w:rPr>
        <w:t xml:space="preserve"> </w:t>
      </w:r>
      <w:r>
        <w:rPr>
          <w:rFonts w:ascii="Leelawadee UI" w:hAnsi="Leelawadee UI" w:eastAsia="Leelawadee UI" w:cs="Leelawadee UI"/>
        </w:rPr>
        <w:t>ជាវិធីសាស្ត្រមួយដែលខុសប្លែកពីអាណាចក្រមុនៗរបស់វា។</w:t>
      </w:r>
      <w:r>
        <w:rPr>
          <w:rFonts w:ascii="Times New Roman" w:hAnsi="Times New Roman" w:eastAsia="Times New Roman" w:cs="Times New Roman"/>
        </w:rPr>
        <w:t xml:space="preserve"> </w:t>
      </w:r>
      <w:r>
        <w:rPr>
          <w:rFonts w:ascii="Leelawadee UI" w:hAnsi="Leelawadee UI" w:eastAsia="Leelawadee UI" w:cs="Leelawadee UI"/>
        </w:rPr>
        <w:t>ខណ្ឌទី</w:t>
      </w:r>
      <w:r>
        <w:rPr>
          <w:rFonts w:ascii="Times New Roman" w:hAnsi="Times New Roman" w:eastAsia="Times New Roman" w:cs="Times New Roman"/>
        </w:rPr>
        <w:t xml:space="preserve"> </w:t>
      </w:r>
      <w:r>
        <w:rPr>
          <w:rFonts w:ascii="Leelawadee UI" w:hAnsi="Leelawadee UI" w:eastAsia="Leelawadee UI" w:cs="Leelawadee UI"/>
        </w:rPr>
        <w:t>២៤</w:t>
      </w:r>
      <w:r>
        <w:rPr>
          <w:rFonts w:ascii="Times New Roman" w:hAnsi="Times New Roman" w:eastAsia="Times New Roman" w:cs="Times New Roman"/>
        </w:rPr>
        <w:t xml:space="preserve"> </w:t>
      </w:r>
      <w:r>
        <w:rPr>
          <w:rFonts w:ascii="Leelawadee UI" w:hAnsi="Leelawadee UI" w:eastAsia="Leelawadee UI" w:cs="Leelawadee UI"/>
        </w:rPr>
        <w:t>បញ្ចប់ដំណាក់កាលនេះ</w:t>
      </w:r>
      <w:r>
        <w:rPr>
          <w:rFonts w:ascii="Times New Roman" w:hAnsi="Times New Roman" w:eastAsia="Times New Roman" w:cs="Times New Roman"/>
        </w:rPr>
        <w:t xml:space="preserve"> </w:t>
      </w:r>
      <w:r>
        <w:rPr>
          <w:rFonts w:ascii="Leelawadee UI" w:hAnsi="Leelawadee UI" w:eastAsia="Leelawadee UI" w:cs="Leelawadee UI"/>
        </w:rPr>
        <w:t>ដោយកត់សម្គាល់ថា</w:t>
      </w:r>
      <w:r>
        <w:rPr>
          <w:rFonts w:ascii="Times New Roman" w:hAnsi="Times New Roman" w:eastAsia="Times New Roman" w:cs="Times New Roman"/>
        </w:rPr>
        <w:t xml:space="preserve"> </w:t>
      </w:r>
      <w:r>
        <w:rPr>
          <w:rFonts w:ascii="Leelawadee UI" w:hAnsi="Leelawadee UI" w:eastAsia="Leelawadee UI" w:cs="Leelawadee UI"/>
        </w:rPr>
        <w:t>រ៉ូមនឹង</w:t>
      </w:r>
      <w:r>
        <w:rPr>
          <w:rFonts w:ascii="Times New Roman" w:hAnsi="Times New Roman" w:eastAsia="Times New Roman" w:cs="Times New Roman"/>
        </w:rPr>
        <w:t xml:space="preserve"> «</w:t>
      </w:r>
      <w:r>
        <w:rPr>
          <w:rFonts w:ascii="Leelawadee UI" w:hAnsi="Leelawadee UI" w:eastAsia="Leelawadee UI" w:cs="Leelawadee UI"/>
        </w:rPr>
        <w:t>គ្រោងឧបាយកលរបស់វាពីទីរឹងមាំទាំងឡាយ</w:t>
      </w:r>
      <w:r>
        <w:rPr>
          <w:rFonts w:ascii="Times New Roman" w:hAnsi="Times New Roman" w:eastAsia="Times New Roman" w:cs="Times New Roman"/>
        </w:rPr>
        <w:t xml:space="preserve"> </w:t>
      </w:r>
      <w:r>
        <w:rPr>
          <w:rFonts w:ascii="Leelawadee UI" w:hAnsi="Leelawadee UI" w:eastAsia="Leelawadee UI" w:cs="Leelawadee UI"/>
        </w:rPr>
        <w:t>សូម្បីតែសម្រាប់មួយរយៈកាល</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Y después del pacto hecho con él, obrará engañosamente; porque subirá y se hará fuerte con poca gente. Entrará pacíficamente aun en los lugares más fértiles de la provincia; y hará lo que no hicieron sus padres, ni los padres de sus padres; repartirá entre ellos presa, despojos y riquezas; y maquinará sus designios contra las fortalezas, aunque sólo por un tiempo. Daniel 11:23, 24.</w:t>
      </w:r>
    </w:p>
    <w:p>
      <w:pPr>
        <w:pStyle w:val="ArticleHeading"/>
        <w:jc w:val="left"/>
      </w:pPr>
      <w:r>
        <w:rPr>
          <w:rFonts w:ascii="Arial" w:hAnsi="Arial" w:eastAsia="Arial" w:cs="Arial"/>
        </w:rPr>
        <w:t>Kwa Wakati Fulani</w:t>
      </w:r>
    </w:p>
    <w:p>
      <w:pPr>
        <w:pStyle w:val="ArticleBody"/>
        <w:jc w:val="left"/>
      </w:pPr>
      <w:r>
        <w:rPr>
          <w:rFonts w:ascii="Times New Roman" w:hAnsi="Times New Roman" w:eastAsia="Times New Roman" w:cs="Times New Roman"/>
        </w:rPr>
        <w:t>Das Wort, das mit „gegen“ übersetzt wird, kann auch als das Wort „von“ verstanden werden. Rom ersinnt seine Pläne „von“ dort aus. Das Wort „von“ in dem Vers weist auf die Stadt Rom, das politische und militärische Herz des Reiches, als den Ausgangspunkt seiner Strategien hin. Die „Zeit“ beträgt prophetisch 360 Jahre; sie beginnt, als Ägypten nach Actium im Jahr 30 v. Chr. fällt, und endet im Jahr 330, als Konstantin Rom zugunsten Konstantinopels verlässt.</w:t>
      </w:r>
    </w:p>
    <w:p>
      <w:pPr>
        <w:pStyle w:val="ArticleBody"/>
        <w:jc w:val="left"/>
      </w:pPr>
      <w:r>
        <w:rPr>
          <w:rFonts w:ascii="Times New Roman" w:hAnsi="Times New Roman" w:eastAsia="Times New Roman" w:cs="Times New Roman"/>
        </w:rPr>
        <w:t>Ndime 25 ne 26 zitunu pa Actium yene.</w:t>
      </w:r>
    </w:p>
    <w:p>
      <w:pPr>
        <w:pStyle w:val="ArticleScripture"/>
        <w:jc w:val="left"/>
      </w:pPr>
      <w:r>
        <w:rPr>
          <w:rFonts w:ascii="Times New Roman" w:hAnsi="Times New Roman" w:eastAsia="Times New Roman" w:cs="Times New Roman"/>
        </w:rPr>
        <w:t>Naye atachochea nguvu zake na ujasiri wake dhidi ya mfalme wa kusini pamoja na jeshi kubwa; na mfalme wa kusini atachochewa kuingia vitani akiwa na jeshi kubwa sana na lenye nguvu; lakini hatasimama; kwa maana watapanga hila dhidi yake. Naam, wale wanaokula sehemu ya chakula chake watamwangamiza, na jeshi lake litafurika; nao wengi wataanguka wakiwa wameuawa. Danieli 11:25, 26.</w:t>
      </w:r>
    </w:p>
    <w:p>
      <w:pPr>
        <w:pStyle w:val="ArticleBody"/>
        <w:jc w:val="left"/>
      </w:pPr>
      <w:r>
        <w:rPr>
          <w:rFonts w:ascii="Times New Roman" w:hAnsi="Times New Roman" w:eastAsia="Times New Roman" w:cs="Times New Roman"/>
        </w:rPr>
        <w:t>Yn 31 CC, Octavian, yn cynrychioli Rhufain fel “brenin y gogledd,” a gasglodd ei luoedd yn erbyn yr Aifft dan Cleopatra, “brenin y de,” mewn gwrthdaro llyngesol anferth. Methodd “byddin hynod fawr a nerthol” Antony a Cleopatra, wedi ei difetha gan “ddyfeisiau” strategol (tactegau Agrippa) a bradychiadau—ymadawiadau o blith cynghreiriaid Antony ac enciliad Cleopatra yng nghanol y frwydr. Erbyn 30 CC, yr oedd yr Aifft yn dalaith Rufeinig, gan gychwyn ar lywodraeth ddiwrthwynebiad Rhufain baganaidd. Y mae’r cyfnod hwn o 360 mlynedd, o 30 CC hyd 330, yn cyd-fynd â goruchafiaeth Rhufain wedi ei chanoli yn ei chadarnle gwreiddiol, hyd nes y gwnaeth symudiad Cystennin “fwrw i lawr” y cadarnle, fel y rhagddywed Daniel 8:11.</w:t>
      </w:r>
    </w:p>
    <w:p>
      <w:pPr>
        <w:pStyle w:val="ArticleScripture"/>
        <w:jc w:val="left"/>
      </w:pPr>
      <w:r>
        <w:rPr>
          <w:rFonts w:ascii="Times New Roman" w:hAnsi="Times New Roman" w:eastAsia="Times New Roman" w:cs="Times New Roman"/>
        </w:rPr>
        <w:t>Үнэхээр тэрээр цэргийн ноёны эсрэг өөрийгөө өргөмжилсөн бөгөөд түүний улмаас өдөр тутмын тахил хураагдаж, түүний ариун газрын орон нурж унагав. Даниел 8:11.</w:t>
      </w:r>
    </w:p>
    <w:p>
      <w:pPr>
        <w:pStyle w:val="ArticleBody"/>
        <w:jc w:val="left"/>
      </w:pPr>
      <w:r>
        <w:rPr>
          <w:rFonts w:ascii="Times New Roman" w:hAnsi="Times New Roman" w:eastAsia="Times New Roman" w:cs="Times New Roman"/>
        </w:rPr>
        <w:t>Wakati Konstantino aliuachia mji wa Roma kwa ajili ya mji wa Konstantinopoli, aliacha ombwe la mamlaka katika mji wa Roma, likiwa wazi kwa kanisa la kipapa kuchukua kiti cha mamlaka kinachowakilishwa na mji wa Roma. Tendo hilo lilitimiza aya ya pili ya Ufunuo kumi na tatu.</w:t>
      </w:r>
    </w:p>
    <w:p>
      <w:pPr>
        <w:pStyle w:val="ArticleScripture"/>
        <w:jc w:val="left"/>
      </w:pPr>
      <w:r>
        <w:rPr>
          <w:rFonts w:ascii="Times New Roman" w:hAnsi="Times New Roman" w:eastAsia="Times New Roman" w:cs="Times New Roman"/>
        </w:rPr>
        <w:t>Et je vis une bête semblable à un léopard ; ses pieds étaient comme ceux d’un ours, et sa gueule comme la gueule d’un lion ; et le dragon lui donna sa puissance, son trône, et une grande autorité. Apocalypse 13:2.</w:t>
      </w:r>
    </w:p>
    <w:p>
      <w:pPr>
        <w:pStyle w:val="ArticleBody"/>
        <w:jc w:val="left"/>
      </w:pPr>
      <w:r>
        <w:rPr>
          <w:rFonts w:ascii="Times New Roman" w:hAnsi="Times New Roman" w:eastAsia="Times New Roman" w:cs="Times New Roman"/>
        </w:rPr>
        <w:t>Dans Daniel 8, deux mots hébreux différents, tous deux traduits par « sanctuaire », distinguent le récit du sanctuaire dans le livre de Daniel. Le livre de Daniel présente une guerre entre le Christ et Satan, telle qu’elle est illustrée par les représentants terrestres du Christ et de Satan. Babylone, représentant terrestre de Satan, conquiert Jérusalem à l’ouverture de Daniel, et Jérusalem conquiert Babylone au verset quarante-cinq du chapitre onze. Les royaumes représentés par la ville de Jérusalem et la ville de Babylone sont des « sanctuaires de force ». Les villes de Babylone et de Jérusalem sont toutes deux des sanctuaires de force, et elles possèdent chacune leurs propres temples au sein de la ville. Le temple du Panthéon se trouve dans la ville de Rome, et le temple de Jérusalem en est la contrepartie dans le récit prophétique. Babylone et la ville de Rome sont des contrefaçons de Jérusalem.</w:t>
      </w:r>
    </w:p>
    <w:p>
      <w:pPr>
        <w:pStyle w:val="ArticleBody"/>
        <w:jc w:val="left"/>
      </w:pP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8</w:t>
      </w:r>
      <w:r>
        <w:rPr>
          <w:rFonts w:ascii="Microsoft YaHei" w:hAnsi="Microsoft YaHei" w:eastAsia="Microsoft YaHei" w:cs="Microsoft YaHei"/>
        </w:rPr>
        <w:t>章中</w:t>
      </w:r>
      <w:r>
        <w:rPr>
          <w:rFonts w:ascii="Times New Roman" w:hAnsi="Times New Roman" w:eastAsia="Times New Roman" w:cs="Times New Roman"/>
        </w:rPr>
        <w:t>,</w:t>
      </w:r>
      <w:r>
        <w:rPr>
          <w:rFonts w:ascii="Microsoft YaHei" w:hAnsi="Microsoft YaHei" w:eastAsia="Microsoft YaHei" w:cs="Microsoft YaHei"/>
        </w:rPr>
        <w:t>这两个希伯来词分别是：第</w:t>
      </w:r>
      <w:r>
        <w:rPr>
          <w:rFonts w:ascii="Times New Roman" w:hAnsi="Times New Roman" w:eastAsia="Times New Roman" w:cs="Times New Roman"/>
        </w:rPr>
        <w:t>11</w:t>
      </w:r>
      <w:r>
        <w:rPr>
          <w:rFonts w:ascii="Microsoft YaHei" w:hAnsi="Microsoft YaHei" w:eastAsia="Microsoft YaHei" w:cs="Microsoft YaHei"/>
        </w:rPr>
        <w:t>节中的</w:t>
      </w:r>
      <w:r>
        <w:rPr>
          <w:rFonts w:ascii="Times New Roman" w:hAnsi="Times New Roman" w:eastAsia="Times New Roman" w:cs="Times New Roman"/>
        </w:rPr>
        <w:t>“miqdash”,</w:t>
      </w:r>
      <w:r>
        <w:rPr>
          <w:rFonts w:ascii="Microsoft YaHei" w:hAnsi="Microsoft YaHei" w:eastAsia="Microsoft YaHei" w:cs="Microsoft YaHei"/>
        </w:rPr>
        <w:t>在那里</w:t>
      </w:r>
      <w:r>
        <w:rPr>
          <w:rFonts w:ascii="Times New Roman" w:hAnsi="Times New Roman" w:eastAsia="Times New Roman" w:cs="Times New Roman"/>
        </w:rPr>
        <w:t>,</w:t>
      </w:r>
      <w:r>
        <w:rPr>
          <w:rFonts w:ascii="Microsoft YaHei" w:hAnsi="Microsoft YaHei" w:eastAsia="Microsoft YaHei" w:cs="Microsoft YaHei"/>
        </w:rPr>
        <w:t>小角（异教罗马）将</w:t>
      </w:r>
      <w:r>
        <w:rPr>
          <w:rFonts w:ascii="Times New Roman" w:hAnsi="Times New Roman" w:eastAsia="Times New Roman" w:cs="Times New Roman"/>
        </w:rPr>
        <w:t>“</w:t>
      </w:r>
      <w:r>
        <w:rPr>
          <w:rFonts w:ascii="Microsoft YaHei" w:hAnsi="Microsoft YaHei" w:eastAsia="Microsoft YaHei" w:cs="Microsoft YaHei"/>
        </w:rPr>
        <w:t>他圣所之地</w:t>
      </w:r>
      <w:r>
        <w:rPr>
          <w:rFonts w:ascii="Times New Roman" w:hAnsi="Times New Roman" w:eastAsia="Times New Roman" w:cs="Times New Roman"/>
        </w:rPr>
        <w:t>”</w:t>
      </w:r>
      <w:r>
        <w:rPr>
          <w:rFonts w:ascii="Microsoft YaHei" w:hAnsi="Microsoft YaHei" w:eastAsia="Microsoft YaHei" w:cs="Microsoft YaHei"/>
        </w:rPr>
        <w:t>（即罗马城）倾倒于地</w:t>
      </w:r>
      <w:r>
        <w:rPr>
          <w:rFonts w:ascii="Times New Roman" w:hAnsi="Times New Roman" w:eastAsia="Times New Roman" w:cs="Times New Roman"/>
        </w:rPr>
        <w:t>;</w:t>
      </w:r>
      <w:r>
        <w:rPr>
          <w:rFonts w:ascii="Microsoft YaHei" w:hAnsi="Microsoft YaHei" w:eastAsia="Microsoft YaHei" w:cs="Microsoft YaHei"/>
        </w:rPr>
        <w:t>这发生在君士坦丁于</w:t>
      </w:r>
      <w:r>
        <w:rPr>
          <w:rFonts w:ascii="Times New Roman" w:hAnsi="Times New Roman" w:eastAsia="Times New Roman" w:cs="Times New Roman"/>
        </w:rPr>
        <w:t>330</w:t>
      </w:r>
      <w:r>
        <w:rPr>
          <w:rFonts w:ascii="Microsoft YaHei" w:hAnsi="Microsoft YaHei" w:eastAsia="Microsoft YaHei" w:cs="Microsoft YaHei"/>
        </w:rPr>
        <w:t>年迁都之时</w:t>
      </w:r>
      <w:r>
        <w:rPr>
          <w:rFonts w:ascii="Times New Roman" w:hAnsi="Times New Roman" w:eastAsia="Times New Roman" w:cs="Times New Roman"/>
        </w:rPr>
        <w:t>.</w:t>
      </w:r>
      <w:r>
        <w:rPr>
          <w:rFonts w:ascii="Microsoft YaHei" w:hAnsi="Microsoft YaHei" w:eastAsia="Microsoft YaHei" w:cs="Microsoft YaHei"/>
        </w:rPr>
        <w:t>另一个词是第</w:t>
      </w:r>
      <w:r>
        <w:rPr>
          <w:rFonts w:ascii="Times New Roman" w:hAnsi="Times New Roman" w:eastAsia="Times New Roman" w:cs="Times New Roman"/>
        </w:rPr>
        <w:t>13</w:t>
      </w:r>
      <w:r>
        <w:rPr>
          <w:rFonts w:ascii="Microsoft YaHei" w:hAnsi="Microsoft YaHei" w:eastAsia="Microsoft YaHei" w:cs="Microsoft YaHei"/>
        </w:rPr>
        <w:t>、</w:t>
      </w:r>
      <w:r>
        <w:rPr>
          <w:rFonts w:ascii="Times New Roman" w:hAnsi="Times New Roman" w:eastAsia="Times New Roman" w:cs="Times New Roman"/>
        </w:rPr>
        <w:t>14</w:t>
      </w:r>
      <w:r>
        <w:rPr>
          <w:rFonts w:ascii="Microsoft YaHei" w:hAnsi="Microsoft YaHei" w:eastAsia="Microsoft YaHei" w:cs="Microsoft YaHei"/>
        </w:rPr>
        <w:t>节中的</w:t>
      </w:r>
      <w:r>
        <w:rPr>
          <w:rFonts w:ascii="Times New Roman" w:hAnsi="Times New Roman" w:eastAsia="Times New Roman" w:cs="Times New Roman"/>
        </w:rPr>
        <w:t>“qodesh”,</w:t>
      </w:r>
      <w:r>
        <w:rPr>
          <w:rFonts w:ascii="Microsoft YaHei" w:hAnsi="Microsoft YaHei" w:eastAsia="Microsoft YaHei" w:cs="Microsoft YaHei"/>
        </w:rPr>
        <w:t>在那里</w:t>
      </w:r>
      <w:r>
        <w:rPr>
          <w:rFonts w:ascii="Times New Roman" w:hAnsi="Times New Roman" w:eastAsia="Times New Roman" w:cs="Times New Roman"/>
        </w:rPr>
        <w:t>,</w:t>
      </w:r>
      <w:r>
        <w:rPr>
          <w:rFonts w:ascii="Microsoft YaHei" w:hAnsi="Microsoft YaHei" w:eastAsia="Microsoft YaHei" w:cs="Microsoft YaHei"/>
        </w:rPr>
        <w:t>上帝的圣所在</w:t>
      </w:r>
      <w:r>
        <w:rPr>
          <w:rFonts w:ascii="Times New Roman" w:hAnsi="Times New Roman" w:eastAsia="Times New Roman" w:cs="Times New Roman"/>
        </w:rPr>
        <w:t>2300</w:t>
      </w:r>
      <w:r>
        <w:rPr>
          <w:rFonts w:ascii="Microsoft YaHei" w:hAnsi="Microsoft YaHei" w:eastAsia="Microsoft YaHei" w:cs="Microsoft YaHei"/>
        </w:rPr>
        <w:t>日之后等候洁净</w:t>
      </w:r>
      <w:r>
        <w:rPr>
          <w:rFonts w:ascii="Times New Roman" w:hAnsi="Times New Roman" w:eastAsia="Times New Roman" w:cs="Times New Roman"/>
        </w:rPr>
        <w:t>.</w:t>
      </w:r>
      <w:r>
        <w:rPr>
          <w:rFonts w:ascii="Microsoft YaHei" w:hAnsi="Microsoft YaHei" w:eastAsia="Microsoft YaHei" w:cs="Microsoft YaHei"/>
        </w:rPr>
        <w:t>虽然这两个词都被译为</w:t>
      </w:r>
      <w:r>
        <w:rPr>
          <w:rFonts w:ascii="Times New Roman" w:hAnsi="Times New Roman" w:eastAsia="Times New Roman" w:cs="Times New Roman"/>
        </w:rPr>
        <w:t>“</w:t>
      </w:r>
      <w:r>
        <w:rPr>
          <w:rFonts w:ascii="Microsoft YaHei" w:hAnsi="Microsoft YaHei" w:eastAsia="Microsoft YaHei" w:cs="Microsoft YaHei"/>
        </w:rPr>
        <w:t>圣所</w:t>
      </w:r>
      <w:r>
        <w:rPr>
          <w:rFonts w:ascii="Times New Roman" w:hAnsi="Times New Roman" w:eastAsia="Times New Roman" w:cs="Times New Roman"/>
        </w:rPr>
        <w:t>”,</w:t>
      </w:r>
      <w:r>
        <w:rPr>
          <w:rFonts w:ascii="Microsoft YaHei" w:hAnsi="Microsoft YaHei" w:eastAsia="Microsoft YaHei" w:cs="Microsoft YaHei"/>
        </w:rPr>
        <w:t>但</w:t>
      </w:r>
      <w:r>
        <w:rPr>
          <w:rFonts w:ascii="Times New Roman" w:hAnsi="Times New Roman" w:eastAsia="Times New Roman" w:cs="Times New Roman"/>
        </w:rPr>
        <w:t>“miqdash”</w:t>
      </w:r>
      <w:r>
        <w:rPr>
          <w:rFonts w:ascii="Microsoft YaHei" w:hAnsi="Microsoft YaHei" w:eastAsia="Microsoft YaHei" w:cs="Microsoft YaHei"/>
        </w:rPr>
        <w:t>既可表示上帝的堡垒</w:t>
      </w:r>
      <w:r>
        <w:rPr>
          <w:rFonts w:ascii="Times New Roman" w:hAnsi="Times New Roman" w:eastAsia="Times New Roman" w:cs="Times New Roman"/>
        </w:rPr>
        <w:t>,</w:t>
      </w:r>
      <w:r>
        <w:rPr>
          <w:rFonts w:ascii="Microsoft YaHei" w:hAnsi="Microsoft YaHei" w:eastAsia="Microsoft YaHei" w:cs="Microsoft YaHei"/>
        </w:rPr>
        <w:t>也可表示异教的堡垒</w:t>
      </w:r>
      <w:r>
        <w:rPr>
          <w:rFonts w:ascii="Times New Roman" w:hAnsi="Times New Roman" w:eastAsia="Times New Roman" w:cs="Times New Roman"/>
        </w:rPr>
        <w:t>;</w:t>
      </w:r>
      <w:r>
        <w:rPr>
          <w:rFonts w:ascii="Microsoft YaHei" w:hAnsi="Microsoft YaHei" w:eastAsia="Microsoft YaHei" w:cs="Microsoft YaHei"/>
        </w:rPr>
        <w:t>而</w:t>
      </w:r>
      <w:r>
        <w:rPr>
          <w:rFonts w:ascii="Times New Roman" w:hAnsi="Times New Roman" w:eastAsia="Times New Roman" w:cs="Times New Roman"/>
        </w:rPr>
        <w:t>“qodesh”</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中只用来表示上帝的圣所</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Daniel 11:31, le « sanctuaire de la force » (la ville de Rome) est profané lorsque les Barbares et les Vandales portent la guerre dans la ville de Rome. Les « bras » mentionnés dans le verset commencèrent avec Clovis en 496 et se poursuivirent jusqu’à ce que la Rome papale fût pleinement ascendante en 538, lorsque les Ostrogoths furent expulsés de la ville.</w:t>
      </w:r>
    </w:p>
    <w:p>
      <w:pPr>
        <w:pStyle w:val="ArticleBody"/>
        <w:jc w:val="left"/>
      </w:pPr>
      <w:r>
        <w:rPr>
          <w:rFonts w:ascii="Times New Roman" w:hAnsi="Times New Roman" w:eastAsia="Times New Roman" w:cs="Times New Roman"/>
        </w:rPr>
        <w:t>Mstari wa kinabii kutoka Actium unaendelea zaidi ya mwaka 330. “Meli za Kittimu” za mstari wa 30 zinawatambulisha Wavandali chini ya Genseric, waliouteka na kuupora mji wa Rumi mwaka 455, jambo lililoashiria kuanguka kwa Rumi ya Magharibi. Kisha Rumi ya Upapa ikainuka, ikatawala kuanzia 538 hadi 1798; kwa miaka 1260 hadi Jenerali Berthier wa Napoleon alipoitoa “jeraha la mauti” kwa kumkamata Pius VI. Miaka 360 ya Rumi ya kipagani, kutoka 30 KK hadi 330, inalingana na miaka 1260 ya Rumi ya upapa, kila mmoja ukianza wakati kikwazo cha tatu (Misri, Waostrogothi) kinapoanguka.</w:t>
      </w:r>
    </w:p>
    <w:p>
      <w:pPr>
        <w:pStyle w:val="ArticleBody"/>
        <w:jc w:val="left"/>
      </w:pPr>
      <w:r>
        <w:rPr>
          <w:rFonts w:ascii="Times New Roman" w:hAnsi="Times New Roman" w:eastAsia="Times New Roman" w:cs="Times New Roman"/>
        </w:rPr>
        <w:t>Tubu la kɛrɛfɛla” waati kura bɔra ni sura 40. San 1989, papaati ye, a ka yɛrɛgundo kaɲɔgɔnya fɛ Reagan ka Amerika yɔrɔ la (min bɛ taamasiyɛn kɛ ni so-kɛrɛw, kɔnɔw, ani so-denw ye), USSR — “tubu la kɛrɛfɛla” (dalilabali/Kominisimu) — lajigi. Sura 41 bɛ papaati jira ka “dugukolo tɛgɛlɛn” kɛlɛnma — ka Amerika Protestanti bɛɛ yɛlɛma ka kɛ Amerika Katoliki — k’a sira suraw 42 ani 43 bɛ Mɔgɔyɔrɔw ka Jɛkulu la jamana min taamasiyɛn ye ni Misiri ye jira ka bɛn kɛ sabatali kaɲɔgɔnya dɔ la, min kɔrɔ ye Mɔgɔyɔrɔw ka Jɛkulu (sogomaɲɛ), Vatikan (jaw), ani Estados Unidos (nebikuma jɛnkɛla) ye, ka duniɲa kɛlɛnma ka ta Armagedon ma. Sura 45 bɛ sɛbɛnni in laban ko, “mɔgɔ si tɛ na a dɛmɛ”; a ka jiri ye ɲɛnamaya sɔrɔ sura ni bɛɛ-na-fɔlɔ 41 la, nka a ka dan tugu la sura 45 la.</w:t>
      </w:r>
    </w:p>
    <w:p>
      <w:pPr>
        <w:pStyle w:val="ArticleBody"/>
        <w:jc w:val="left"/>
      </w:pPr>
      <w:r>
        <w:rPr>
          <w:rFonts w:ascii="Times New Roman" w:hAnsi="Times New Roman" w:eastAsia="Times New Roman" w:cs="Times New Roman"/>
        </w:rPr>
        <w:t>Atio mwaka 31 BC ezali moboko ya bavɛrsɛ 25 mpe 26, mpe ezali kobanda bokonzi ya Roma ya mbula 360 uta na esika na yango ya bulee-ndako makasi. Elongo na vɛrsɛ ya zomi na minei lokola likebisi, lisolo ya Roma ya bapakano kobanda na vɛrsɛ ya zomi na motoba kino na mbongwana epai ya Roma ya bopapa na vɛrsɛ ya ntuku misato na moko ezali molɔngɔ mobimba ya Roma ya bapakano. Molɔngɔ yango ekabolami na biteni misato. Vɛrsɛ ya zomi na motoba kino na ntuku mibale na mibale ezali molɔngɔ ya bokonzi ya Roma likoló ya Yisraele ya kala. Vɛrsɛ ya ntuku mibale na misato mpe ya ntuku mibale na minei elakisi mosala wana ya kotonga bokonzi monene oyo Roma esalelaki ntango ezalaki kolonga na nzela ya boyokani mpe ya mayokani elongo na nguya ya basoda. Kobanda na vɛrsɛ ya ntuku mibale na minei kino na maloba ya nsuka na vɛrsɛ ya ntuku misato na moko ezali molɔngɔ ya biteni mibale oyo emonisaka eleko oyo Roma emikumisaki, mpe na nsima kokwea.</w:t>
      </w:r>
    </w:p>
    <w:p>
      <w:pPr>
        <w:pStyle w:val="ArticleBody"/>
        <w:jc w:val="left"/>
      </w:pPr>
      <w:r>
        <w:rPr>
          <w:rFonts w:ascii="Times New Roman" w:hAnsi="Times New Roman" w:eastAsia="Times New Roman" w:cs="Times New Roman"/>
        </w:rPr>
        <w:t>L’« temps fixé » est l’achèvement des 360 années en l’an 330. Les versets vingt-sept jusqu’à la dernière proposition du verset trente-et-un, laquelle indique le moment où la puissance papale, représentée comme l’abomination qui cause la désolation, fut établie sur le trône en 538, constituent l’histoire de la Rome païenne dans le cadre de la période de trois cent soixante années de domination suprême, à laquelle succèdent ensuite deux cent huit années de déclin progressif.</w:t>
      </w:r>
    </w:p>
    <w:p>
      <w:pPr>
        <w:pStyle w:val="ArticleBody"/>
        <w:jc w:val="left"/>
      </w:pPr>
      <w:r>
        <w:rPr>
          <w:rFonts w:ascii="Times New Roman" w:hAnsi="Times New Roman" w:eastAsia="Times New Roman" w:cs="Times New Roman"/>
        </w:rPr>
        <w:t>Nitorero “igihe” cy’umurongo wa makumyabiri na kane gitangirira mu mwaka wa 31 mbere ya Kristo, ubwo ubwami bw’epfo bwongerwaga ku butware bw’umwami w’amajyaruguru, kandi kigasozwa mu mwaka wa 330, ubwo ubwami bw’umwami w’amajyaruguru bwacikagamo ibice bibiri: iburasirazuba n’iburengerazuba. Kuva mu mwaka wa 330 kugeza mu wa 538, Roma ya gipagani igenda isenyuka buhoro buhoro. Ibiranga by’ubuhanuzi bitandukanye bifitanye isano n’intambwe zinyuranye z’isenyuka rya Roma ya gipagani ni byo nkingi z’ubuhanuzi zituma umunyeshuri w’ubuhanuzi amenya Ijambo ry’Imana ry’ubuhanuzi. Mu isohozwa ry’umurongo wa cumi na kane wa Daniyeli cumi n’umwe, Roma ishyiraho iyerekwa, kandi imwe mu nzira ikoramo icyo kintu nyirizina ni mu kugwa kwayo. Uwo murongo uravuga uti: “kandi n’abanyazi bo mu bwoko bwawe bazishyira hejuru kugira ngo bashyireho iyerekwa; ariko bazagwa.”</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কিত্তিমের</w:t>
      </w:r>
      <w:r>
        <w:rPr>
          <w:rFonts w:ascii="Times New Roman" w:hAnsi="Times New Roman" w:eastAsia="Times New Roman" w:cs="Times New Roman"/>
        </w:rPr>
        <w:t xml:space="preserve"> </w:t>
      </w:r>
      <w:r>
        <w:rPr>
          <w:rFonts w:ascii="Nirmala UI" w:hAnsi="Nirmala UI" w:eastAsia="Nirmala UI" w:cs="Nirmala UI"/>
        </w:rPr>
        <w:t>জাহাজসমূহ</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আক্রমণ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আক্রমণ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পূর্ববর্তীটির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পরবর্তীতির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পতনই</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গ্রন্থের</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তূর্যের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তূর্য</w:t>
      </w:r>
      <w:r>
        <w:rPr>
          <w:rFonts w:ascii="Times New Roman" w:hAnsi="Times New Roman" w:eastAsia="Times New Roman" w:cs="Times New Roman"/>
        </w:rPr>
        <w:t xml:space="preserve"> </w:t>
      </w:r>
      <w:r>
        <w:rPr>
          <w:rFonts w:ascii="Nirmala UI" w:hAnsi="Nirmala UI" w:eastAsia="Nirmala UI" w:cs="Nirmala UI"/>
        </w:rPr>
        <w:t>বিশেষভাবে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শক্তিকে</w:t>
      </w:r>
      <w:r>
        <w:rPr>
          <w:rFonts w:ascii="Times New Roman" w:hAnsi="Times New Roman" w:eastAsia="Times New Roman" w:cs="Times New Roman"/>
        </w:rPr>
        <w:t xml:space="preserve"> </w:t>
      </w:r>
      <w:r>
        <w:rPr>
          <w:rFonts w:ascii="Nirmala UI" w:hAnsi="Nirmala UI" w:eastAsia="Nirmala UI" w:cs="Nirmala UI"/>
        </w:rPr>
        <w:t>বর্ণনা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পরিণামে</w:t>
      </w:r>
      <w:r>
        <w:rPr>
          <w:rFonts w:ascii="Times New Roman" w:hAnsi="Times New Roman" w:eastAsia="Times New Roman" w:cs="Times New Roman"/>
        </w:rPr>
        <w:t xml:space="preserve"> </w:t>
      </w:r>
      <w:r>
        <w:rPr>
          <w:rFonts w:ascii="Nirmala UI" w:hAnsi="Nirmala UI" w:eastAsia="Nirmala UI" w:cs="Nirmala UI"/>
        </w:rPr>
        <w:t>৪৭৬</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পাশ্চাত্য</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অবসান</w:t>
      </w:r>
      <w:r>
        <w:rPr>
          <w:rFonts w:ascii="Times New Roman" w:hAnsi="Times New Roman" w:eastAsia="Times New Roman" w:cs="Times New Roman"/>
        </w:rPr>
        <w:t xml:space="preserve"> </w:t>
      </w:r>
      <w:r>
        <w:rPr>
          <w:rFonts w:ascii="Nirmala UI" w:hAnsi="Nirmala UI" w:eastAsia="Nirmala UI" w:cs="Nirmala UI"/>
        </w:rPr>
        <w:t>ঘটায়।</w:t>
      </w:r>
      <w:r>
        <w:rPr>
          <w:rFonts w:ascii="Times New Roman" w:hAnsi="Times New Roman" w:eastAsia="Times New Roman" w:cs="Times New Roman"/>
        </w:rPr>
        <w:t xml:space="preserve"> </w:t>
      </w:r>
      <w:r>
        <w:rPr>
          <w:rFonts w:ascii="Nirmala UI" w:hAnsi="Nirmala UI" w:eastAsia="Nirmala UI" w:cs="Nirmala UI"/>
        </w:rPr>
        <w:t>দর্শনটি</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লুণ্ঠনকারীরা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দর্শনটি</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কাঠামোর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পাশ্চাত্যের</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৩৩০</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৫৩৮</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তূর্যের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প্রাচ্য</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১৪৫৩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অটোমান</w:t>
      </w:r>
      <w:r>
        <w:rPr>
          <w:rFonts w:ascii="Times New Roman" w:hAnsi="Times New Roman" w:eastAsia="Times New Roman" w:cs="Times New Roman"/>
        </w:rPr>
        <w:t xml:space="preserve"> </w:t>
      </w:r>
      <w:r>
        <w:rPr>
          <w:rFonts w:ascii="Nirmala UI" w:hAnsi="Nirmala UI" w:eastAsia="Nirmala UI" w:cs="Nirmala UI"/>
        </w:rPr>
        <w:t>তুর্কিদের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লুণ্ঠনকারীদের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অংশ।</w:t>
      </w:r>
    </w:p>
    <w:p>
      <w:pPr>
        <w:pStyle w:val="ArticleBody"/>
        <w:jc w:val="left"/>
      </w:pPr>
      <w:r>
        <w:rPr>
          <w:rFonts w:ascii="Times New Roman" w:hAnsi="Times New Roman" w:eastAsia="Times New Roman" w:cs="Times New Roman"/>
        </w:rPr>
        <w:t>Na verse i talem se, “ol stilman bilong ol manmeri bilong yu bai litimapim ol yet bilong strongim dispela driman; tasol bai ol i pundaun.” Long 31 BC i go inap long 330, haiden Rom i “litimapim ol yet” long nambawan strong bilong em antap long graun olgeta. Long 330 i go inap long 538, haiden Rom i pundaun i go daun bilong redim rot long man bilong sin i sindaun long tempel bilong God, na tokaut olsem em yet i God. Long 538 i go inap long 1798, pawa bilong pop i “litimapim ol yet,” na long 1798 ol i pundaun. Long 31 BC i go inap long 330, Wesen Rom i “litimapim” olsem em i senta bilong gavman bilong Rom, na long 330 i go inap long 476 em i pundaun. Long 330, Constantine i litimapim tok olsem Constantinople em i senta bilong Is Rom, na long 1453 Is Rom i pundaun. Ol haptaim bilong ol kainkain mak bilong Rom, wan wan i gat wanpela haptaim we Rom i litimapim em yet, bihain na wanpela haptaim i soim pundaun bilong en, long wanem, “ol stilman bilong ol manmeri bilong yu bai litimapim ol yet bilong strongim dispela driman; tasol bai ol i pundaun.”</w:t>
      </w:r>
    </w:p>
    <w:p>
      <w:pPr>
        <w:pStyle w:val="ArticleBody"/>
        <w:jc w:val="left"/>
      </w:pPr>
      <w:r>
        <w:rPr>
          <w:rFonts w:ascii="Times New Roman" w:hAnsi="Times New Roman" w:eastAsia="Times New Roman" w:cs="Times New Roman"/>
        </w:rPr>
        <w:t>Qeqa choyesv nvfeckv “robbers” hvtvm cehayv “breakers” vpoket os, mvto en vliketv em ponvkv root em honvsvs cvtotkv—to break through or disrupt—mvto “robbers” vt owis, hvtvm theft em yvnvsket os. Mv term hvtvm hocetv boundary, law, hokkolen covenant vm eponakos, eston goods em stelet os. Rome em breaker vpoket Bible prophecy em, hvtvm cehayv “robbers” verse fourteen em. Daniel chapter two em Rome hvtvm iron kingdom os, ahen chapter seven em fourth beast cvpofv Rome em os.</w:t>
      </w:r>
    </w:p>
    <w:p>
      <w:pPr>
        <w:pStyle w:val="ArticleScripture"/>
        <w:jc w:val="left"/>
      </w:pPr>
      <w:r>
        <w:rPr>
          <w:rFonts w:ascii="Times New Roman" w:hAnsi="Times New Roman" w:eastAsia="Times New Roman" w:cs="Times New Roman"/>
        </w:rPr>
        <w:t>Après cela, je regardai dans les visions de la nuit, et voici, une quatrième bête, effroyable, terrible et extraordinairement forte; elle avait de grandes dents de fer: elle dévorait, brisait en pièces, et foulait aux pieds ce qui restait; elle était différente de toutes les bêtes qui l’avaient précédée; et elle avait dix cornes. Daniel 7:7.</w:t>
      </w:r>
    </w:p>
    <w:p>
      <w:pPr>
        <w:pStyle w:val="ArticleBody"/>
        <w:jc w:val="left"/>
      </w:pPr>
      <w:r>
        <w:rPr>
          <w:rFonts w:ascii="Times New Roman" w:hAnsi="Times New Roman" w:eastAsia="Times New Roman" w:cs="Times New Roman"/>
        </w:rPr>
        <w:t>Nyama ya nne—ambayo ni Roma—ina meno ya “chuma,” kwa maana ndiyo ufalme uleule wa nne uliowakilishwa kama chuma katika sura ya pili. Katika aya ya saba, mnyama wa nne wa Roma “huvunja vipande-vipande,” na anapovunja vipande-vipande, “alikanyaga mabaki kwa miguu yake.” Mnyama wa Roma ni ufalme wa chuma, na tabia ya kuvunja vipande-vipande na kukanyaga mabaki inawakilisha tendo la mateso. Mateso yaliyoletwa juu ya Israeli ya kale yalikuwa “ishara.”</w:t>
      </w:r>
    </w:p>
    <w:p>
      <w:pPr>
        <w:pStyle w:val="ArticleScripture"/>
        <w:jc w:val="left"/>
      </w:pPr>
      <w:r>
        <w:rPr>
          <w:rFonts w:ascii="Times New Roman" w:hAnsi="Times New Roman" w:eastAsia="Times New Roman" w:cs="Times New Roman"/>
        </w:rPr>
        <w:t>Anko, makhwinya mbilu lawa hinkwawo ma ta ku wela, ma ta ku hlongorisa, ma ku kuma, ku ko u lovisiwa; hikuva a wu yingisanga rito ra Yehovha Xikwembu xa wena, ku hlayisa swileriso swa yena ni milawu ya yena leyi a ku leriseke yona. Kutani ma ta va ehenhla ka wena ma va xikombiso ni xihlamariso, ni le henhla ka mbewu ya wena hilaha ku nga heriki. Hikuva a wu tirhelanga Yehovha Xikwembu xa wena hi ku tsaka ni hi ku khana ka mbilu hikwalaho ka vunyingi bya hinkwaswo; hikwalaho u ta tirhela valala va wena lava Yehovha a nga ta va rhumela ehenhla ka wena, hi ndlala, ni hi torha, ni hi vuhava, ni hi ku pfumala ka hinkwaswo; kutani u ta veka joko ra nsimbi enhan’wini ya wena, ku ko a ku lovisa. Yehovha u ta tisa tiko ehenhla ka wena ri huma ekule, ri huma emakumu ka misava, ri hatlaka kukota loko gama ri haha; tiko leri ririmi ra rona u nga ta ka u nga ri twisisi; tiko ra xikandza xa vukari, leri nga ta ka ri nga xiximi munhu wa mukhalabye, naswona ri nga ta ka ri nga kombi tintswalo eka lontsongo. Deuteronoma 28:45–50.</w:t>
      </w:r>
    </w:p>
    <w:p>
      <w:pPr>
        <w:pStyle w:val="ArticleBody"/>
        <w:jc w:val="left"/>
      </w:pPr>
      <w:r>
        <w:rPr>
          <w:rFonts w:ascii="Nirmala UI" w:hAnsi="Nirmala UI" w:eastAsia="Nirmala UI" w:cs="Nirmala UI"/>
        </w:rPr>
        <w:t>ଧିକ୍କାର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ବିଦ୍ରୋହର</w:t>
      </w:r>
      <w:r>
        <w:rPr>
          <w:rFonts w:ascii="Times New Roman" w:hAnsi="Times New Roman" w:eastAsia="Times New Roman" w:cs="Times New Roman"/>
        </w:rPr>
        <w:t xml:space="preserve"> </w:t>
      </w:r>
      <w:r>
        <w:rPr>
          <w:rFonts w:ascii="Nirmala UI" w:hAnsi="Nirmala UI" w:eastAsia="Nirmala UI" w:cs="Nirmala UI"/>
        </w:rPr>
        <w:t>ଫଳସ୍ୱରୂପ</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ଆଣାଯାଇଥିବା</w:t>
      </w:r>
      <w:r>
        <w:rPr>
          <w:rFonts w:ascii="Times New Roman" w:hAnsi="Times New Roman" w:eastAsia="Times New Roman" w:cs="Times New Roman"/>
        </w:rPr>
        <w:t xml:space="preserve"> </w:t>
      </w:r>
      <w:r>
        <w:rPr>
          <w:rFonts w:ascii="Nirmala UI" w:hAnsi="Nirmala UI" w:eastAsia="Nirmala UI" w:cs="Nirmala UI"/>
        </w:rPr>
        <w:t>ଶାପଗୁଡ଼ିକ</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ସନ୍ତାନର</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ସଦାକାଳ</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ଆଶ୍ଚର୍ଯ୍ୟ</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ଶାପ</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କଠୋର</w:t>
      </w:r>
      <w:r>
        <w:rPr>
          <w:rFonts w:ascii="Times New Roman" w:hAnsi="Times New Roman" w:eastAsia="Times New Roman" w:cs="Times New Roman"/>
        </w:rPr>
        <w:t xml:space="preserve"> </w:t>
      </w:r>
      <w:r>
        <w:rPr>
          <w:rFonts w:ascii="Nirmala UI" w:hAnsi="Nirmala UI" w:eastAsia="Nirmala UI" w:cs="Nirmala UI"/>
        </w:rPr>
        <w:t>ଚେହେରାବଳୀର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ଆଣାଯିବାକୁ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ସପ୍ତମ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ଲୋହର</w:t>
      </w:r>
      <w:r>
        <w:rPr>
          <w:rFonts w:ascii="Times New Roman" w:hAnsi="Times New Roman" w:eastAsia="Times New Roman" w:cs="Times New Roman"/>
        </w:rPr>
        <w:t xml:space="preserve"> </w:t>
      </w:r>
      <w:r>
        <w:rPr>
          <w:rFonts w:ascii="Nirmala UI" w:hAnsi="Nirmala UI" w:eastAsia="Nirmala UI" w:cs="Nirmala UI"/>
        </w:rPr>
        <w:t>ଦାନ୍ତଯୁକ୍ତ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ପଶୁ</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ଚୁର୍ଣ୍ଣବିଚୁର୍ଣ୍ଣ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ଅବଶିଷ୍ଟକୁ</w:t>
      </w:r>
      <w:r>
        <w:rPr>
          <w:rFonts w:ascii="Times New Roman" w:hAnsi="Times New Roman" w:eastAsia="Times New Roman" w:cs="Times New Roman"/>
        </w:rPr>
        <w:t xml:space="preserve"> </w:t>
      </w:r>
      <w:r>
        <w:rPr>
          <w:rFonts w:ascii="Nirmala UI" w:hAnsi="Nirmala UI" w:eastAsia="Nirmala UI" w:cs="Nirmala UI"/>
        </w:rPr>
        <w:t>ପାଦତଳରେ</w:t>
      </w:r>
      <w:r>
        <w:rPr>
          <w:rFonts w:ascii="Times New Roman" w:hAnsi="Times New Roman" w:eastAsia="Times New Roman" w:cs="Times New Roman"/>
        </w:rPr>
        <w:t xml:space="preserve"> </w:t>
      </w:r>
      <w:r>
        <w:rPr>
          <w:rFonts w:ascii="Nirmala UI" w:hAnsi="Nirmala UI" w:eastAsia="Nirmala UI" w:cs="Nirmala UI"/>
        </w:rPr>
        <w:t>ଦଳିଦେଇଥାଏ</w:t>
      </w:r>
      <w:r>
        <w:rPr>
          <w:rFonts w:ascii="Times New Roman" w:hAnsi="Times New Roman" w:eastAsia="Times New Roman" w:cs="Times New Roman"/>
        </w:rPr>
        <w:t xml:space="preserve">,” </w:t>
      </w:r>
      <w:r>
        <w:rPr>
          <w:rFonts w:ascii="Nirmala UI" w:hAnsi="Nirmala UI" w:eastAsia="Nirmala UI" w:cs="Nirmala UI"/>
        </w:rPr>
        <w:t>ସେହିଠାରେ</w:t>
      </w:r>
      <w:r>
        <w:rPr>
          <w:rFonts w:ascii="Times New Roman" w:hAnsi="Times New Roman" w:eastAsia="Times New Roman" w:cs="Times New Roman"/>
        </w:rPr>
        <w:t xml:space="preserve"> </w:t>
      </w:r>
      <w:r>
        <w:rPr>
          <w:rFonts w:ascii="Nirmala UI" w:hAnsi="Nirmala UI" w:eastAsia="Nirmala UI" w:cs="Nirmala UI"/>
        </w:rPr>
        <w:t>ଚତୁର୍ଥ</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ଆଲେକ୍ସାଣ୍ଡରଙ୍କ</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ବିଭାଜନରୁ</w:t>
      </w:r>
      <w:r>
        <w:rPr>
          <w:rFonts w:ascii="Times New Roman" w:hAnsi="Times New Roman" w:eastAsia="Times New Roman" w:cs="Times New Roman"/>
        </w:rPr>
        <w:t xml:space="preserve"> </w:t>
      </w:r>
      <w:r>
        <w:rPr>
          <w:rFonts w:ascii="Nirmala UI" w:hAnsi="Nirmala UI" w:eastAsia="Nirmala UI" w:cs="Nirmala UI"/>
        </w:rPr>
        <w:t>ଉତ୍ପନ୍ନ</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ବ୍ୟବସ୍ଥାବିବରଣରେ</w:t>
      </w:r>
      <w:r>
        <w:rPr>
          <w:rFonts w:ascii="Times New Roman" w:hAnsi="Times New Roman" w:eastAsia="Times New Roman" w:cs="Times New Roman"/>
        </w:rPr>
        <w:t xml:space="preserve"> </w:t>
      </w:r>
      <w:r>
        <w:rPr>
          <w:rFonts w:ascii="Nirmala UI" w:hAnsi="Nirmala UI" w:eastAsia="Nirmala UI" w:cs="Nirmala UI"/>
        </w:rPr>
        <w:t>ମୋଶିଙ୍କ</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w:t>
      </w:r>
      <w:r>
        <w:rPr>
          <w:rFonts w:ascii="Nirmala UI" w:hAnsi="Nirmala UI" w:eastAsia="Nirmala UI" w:cs="Nirmala UI"/>
        </w:rPr>
        <w:t>ଭାଷା</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ବୁଝିପାରୁନଥିଲା।</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ରୋମର</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କଠୋର</w:t>
      </w:r>
      <w:r>
        <w:rPr>
          <w:rFonts w:ascii="Times New Roman" w:hAnsi="Times New Roman" w:eastAsia="Times New Roman" w:cs="Times New Roman"/>
        </w:rPr>
        <w:t xml:space="preserve"> </w:t>
      </w:r>
      <w:r>
        <w:rPr>
          <w:rFonts w:ascii="Nirmala UI" w:hAnsi="Nirmala UI" w:eastAsia="Nirmala UI" w:cs="Nirmala UI"/>
        </w:rPr>
        <w:t>ଚେହେରାବଳୀର</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ଭିନ୍ନ</w:t>
      </w:r>
      <w:r>
        <w:rPr>
          <w:rFonts w:ascii="Times New Roman" w:hAnsi="Times New Roman" w:eastAsia="Times New Roman" w:cs="Times New Roman"/>
        </w:rPr>
        <w:t xml:space="preserve"> </w:t>
      </w:r>
      <w:r>
        <w:rPr>
          <w:rFonts w:ascii="Nirmala UI" w:hAnsi="Nirmala UI" w:eastAsia="Nirmala UI" w:cs="Nirmala UI"/>
        </w:rPr>
        <w:t>ଭାଷା</w:t>
      </w:r>
      <w:r>
        <w:rPr>
          <w:rFonts w:ascii="Times New Roman" w:hAnsi="Times New Roman" w:eastAsia="Times New Roman" w:cs="Times New Roman"/>
        </w:rPr>
        <w:t xml:space="preserve"> </w:t>
      </w:r>
      <w:r>
        <w:rPr>
          <w:rFonts w:ascii="Nirmala UI" w:hAnsi="Nirmala UI" w:eastAsia="Nirmala UI" w:cs="Nirmala UI"/>
        </w:rPr>
        <w:t>କହୁଥିବା</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 xml:space="preserve"> </w:t>
      </w:r>
      <w:r>
        <w:rPr>
          <w:rFonts w:ascii="Nirmala UI" w:hAnsi="Nirmala UI" w:eastAsia="Nirmala UI" w:cs="Nirmala UI"/>
        </w:rPr>
        <w:t>ଅଟେ।</w:t>
      </w:r>
    </w:p>
    <w:p>
      <w:pPr>
        <w:pStyle w:val="ArticleScripture"/>
        <w:jc w:val="left"/>
      </w:pPr>
      <w:r>
        <w:rPr>
          <w:rFonts w:ascii="Times New Roman" w:hAnsi="Times New Roman" w:eastAsia="Times New Roman" w:cs="Times New Roman"/>
        </w:rPr>
        <w:t>لە ئێستا کە شکایەوە، لە جیاتی ئەوەدا چوار دانە هەستانەوە، چوار شانشینی لە نەتەوەکە هەڵدەستن، بەڵام نە بە هێزی ئەو. و لە دوایی کاتی شانشینییان، کاتێک یاخیبووان تەواو دەبن، پاشایەکی توندڕوو، و تێگەیشتووی وشە تاریکەکان، هەڵدەستێت. دانیال 8:22, 23.</w:t>
      </w:r>
    </w:p>
    <w:p>
      <w:pPr>
        <w:pStyle w:val="ArticleBody"/>
        <w:jc w:val="left"/>
      </w:pPr>
      <w:r>
        <w:rPr>
          <w:rFonts w:ascii="Times New Roman" w:hAnsi="Times New Roman" w:eastAsia="Times New Roman" w:cs="Times New Roman"/>
        </w:rPr>
        <w:t>“Les voleurs (les violents) de ton peuple” accomplissent la vision; ils s’élèvent eux-mêmes et ils tombent. Le quatrième royaume de fer était la Rome païenne, qui dominait souverainement lorsqu’elle s’exaltait elle-même, mais dont la chute finale devint une caractéristique prophétique qui accomplit la vision. Ils sont des violents, car ils foulent aux pieds le peuple de Dieu par la persécution.</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Namba Faif</dc:title>
  <dc:subject>Les voleurs de ton peuple : l’exaltation et la chute de Rome dans la prophétie</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