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Le Chiffre Huit</w:t>
      </w:r>
    </w:p>
    <w:p>
      <w:pPr>
        <w:pStyle w:val="ArticleSubtitle"/>
        <w:jc w:val="left"/>
      </w:pPr>
      <w:r>
        <w:rPr>
          <w:rFonts w:ascii="Arial" w:hAnsi="Arial" w:eastAsia="Arial" w:cs="Arial"/>
        </w:rPr>
        <w:t>Aperçu de la troisième ligne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2025-03-17</w:t>
      </w:r>
    </w:p>
    <w:p>
      <w:pPr>
        <w:pStyle w:val="ArticleBody"/>
        <w:jc w:val="left"/>
      </w:pPr>
      <w:r>
        <w:rPr>
          <w:rFonts w:ascii="Microsoft YaHei" w:hAnsi="Microsoft YaHei" w:eastAsia="Microsoft YaHei" w:cs="Microsoft YaHei"/>
        </w:rPr>
        <w:t>塞琉古三世</w:t>
      </w:r>
      <w:r>
        <w:rPr>
          <w:rFonts w:ascii="Times New Roman" w:hAnsi="Times New Roman" w:eastAsia="Times New Roman" w:cs="Times New Roman"/>
        </w:rPr>
        <w:t>·</w:t>
      </w:r>
      <w:r>
        <w:rPr>
          <w:rFonts w:ascii="Microsoft YaHei" w:hAnsi="Microsoft YaHei" w:eastAsia="Microsoft YaHei" w:cs="Microsoft YaHei"/>
        </w:rPr>
        <w:t>克劳努斯于公元前</w:t>
      </w:r>
      <w:r>
        <w:rPr>
          <w:rFonts w:ascii="Times New Roman" w:hAnsi="Times New Roman" w:eastAsia="Times New Roman" w:cs="Times New Roman"/>
        </w:rPr>
        <w:t>226</w:t>
      </w:r>
      <w:r>
        <w:rPr>
          <w:rFonts w:ascii="Microsoft YaHei" w:hAnsi="Microsoft YaHei" w:eastAsia="Microsoft YaHei" w:cs="Microsoft YaHei"/>
        </w:rPr>
        <w:t>年至</w:t>
      </w:r>
      <w:r>
        <w:rPr>
          <w:rFonts w:ascii="Times New Roman" w:hAnsi="Times New Roman" w:eastAsia="Times New Roman" w:cs="Times New Roman"/>
        </w:rPr>
        <w:t>223</w:t>
      </w:r>
      <w:r>
        <w:rPr>
          <w:rFonts w:ascii="Microsoft YaHei" w:hAnsi="Microsoft YaHei" w:eastAsia="Microsoft YaHei" w:cs="Microsoft YaHei"/>
        </w:rPr>
        <w:t>年间短暂为王</w:t>
      </w:r>
      <w:r>
        <w:rPr>
          <w:rFonts w:ascii="Times New Roman" w:hAnsi="Times New Roman" w:eastAsia="Times New Roman" w:cs="Times New Roman"/>
        </w:rPr>
        <w:t>,</w:t>
      </w:r>
      <w:r>
        <w:rPr>
          <w:rFonts w:ascii="Microsoft YaHei" w:hAnsi="Microsoft YaHei" w:eastAsia="Microsoft YaHei" w:cs="Microsoft YaHei"/>
        </w:rPr>
        <w:t>后遭刺杀</w:t>
      </w:r>
      <w:r>
        <w:rPr>
          <w:rFonts w:ascii="Times New Roman" w:hAnsi="Times New Roman" w:eastAsia="Times New Roman" w:cs="Times New Roman"/>
        </w:rPr>
        <w:t>,</w:t>
      </w:r>
      <w:r>
        <w:rPr>
          <w:rFonts w:ascii="Microsoft YaHei" w:hAnsi="Microsoft YaHei" w:eastAsia="Microsoft YaHei" w:cs="Microsoft YaHei"/>
        </w:rPr>
        <w:t>或在神秘情形下死去</w:t>
      </w:r>
      <w:r>
        <w:rPr>
          <w:rFonts w:ascii="Times New Roman" w:hAnsi="Times New Roman" w:eastAsia="Times New Roman" w:cs="Times New Roman"/>
        </w:rPr>
        <w:t>.</w:t>
      </w:r>
      <w:r>
        <w:rPr>
          <w:rFonts w:ascii="Microsoft YaHei" w:hAnsi="Microsoft YaHei" w:eastAsia="Microsoft YaHei" w:cs="Microsoft YaHei"/>
        </w:rPr>
        <w:t>塞琉古三世乃安条克三世的直接前任</w:t>
      </w:r>
      <w:r>
        <w:rPr>
          <w:rFonts w:ascii="Times New Roman" w:hAnsi="Times New Roman" w:eastAsia="Times New Roman" w:cs="Times New Roman"/>
        </w:rPr>
        <w:t>.</w:t>
      </w:r>
      <w:r>
        <w:rPr>
          <w:rFonts w:ascii="Microsoft YaHei" w:hAnsi="Microsoft YaHei" w:eastAsia="Microsoft YaHei" w:cs="Microsoft YaHei"/>
        </w:rPr>
        <w:t>这两兄弟即是第十节中的</w:t>
      </w:r>
      <w:r>
        <w:rPr>
          <w:rFonts w:ascii="Times New Roman" w:hAnsi="Times New Roman" w:eastAsia="Times New Roman" w:cs="Times New Roman"/>
        </w:rPr>
        <w:t>“</w:t>
      </w:r>
      <w:r>
        <w:rPr>
          <w:rFonts w:ascii="Microsoft YaHei" w:hAnsi="Microsoft YaHei" w:eastAsia="Microsoft YaHei" w:cs="Microsoft YaHei"/>
        </w:rPr>
        <w:t>众子</w:t>
      </w:r>
      <w:r>
        <w:rPr>
          <w:rFonts w:ascii="Times New Roman" w:hAnsi="Times New Roman" w:eastAsia="Times New Roman" w:cs="Times New Roman"/>
        </w:rPr>
        <w:t>”,</w:t>
      </w:r>
      <w:r>
        <w:rPr>
          <w:rFonts w:ascii="Microsoft YaHei" w:hAnsi="Microsoft YaHei" w:eastAsia="Microsoft YaHei" w:cs="Microsoft YaHei"/>
        </w:rPr>
        <w:t>并且他们在</w:t>
      </w:r>
      <w:r>
        <w:rPr>
          <w:rFonts w:ascii="Times New Roman" w:hAnsi="Times New Roman" w:eastAsia="Times New Roman" w:cs="Times New Roman"/>
        </w:rPr>
        <w:t>1989</w:t>
      </w:r>
      <w:r>
        <w:rPr>
          <w:rFonts w:ascii="Microsoft YaHei" w:hAnsi="Microsoft YaHei" w:eastAsia="Microsoft YaHei" w:cs="Microsoft YaHei"/>
        </w:rPr>
        <w:t>年代表里根与布什</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Mais ses fils s’animeront, et rassembleront une multitude de grandes forces ; et l’un d’eux viendra certainement, débordera et passera au travers ; puis il reviendra, et s’animera jusqu’à sa forteresse. Daniel 11:10.</w:t>
      </w:r>
    </w:p>
    <w:p>
      <w:pPr>
        <w:pStyle w:val="ArticleBody"/>
        <w:jc w:val="left"/>
      </w:pPr>
      <w:r>
        <w:rPr>
          <w:rFonts w:ascii="Times New Roman" w:hAnsi="Times New Roman" w:eastAsia="Times New Roman" w:cs="Times New Roman"/>
        </w:rPr>
        <w:t>El versículo diez es la tercera línea y representa el “tiempo del fin” en 1989. Se enlaza con el versículo cuarenta del capítulo once y con Isaías ocho, versículo ocho. La conexión de estos tres versículos identifica que el versículo once representa la actual guerra de Ucrania, con Putin y Zelenskyy como los antagonistas representados en la Batalla de Rafia expuesta en el versículo once. El versículo doce identifica las secuelas de la guerra de Ucrania y el destino de Putin. Los versículos trece al quince constituyen la batalla de Panio.</w:t>
      </w:r>
    </w:p>
    <w:p>
      <w:pPr>
        <w:pStyle w:val="ArticleBody"/>
        <w:jc w:val="left"/>
      </w:pPr>
      <w:r>
        <w:rPr>
          <w:rFonts w:ascii="Times New Roman" w:hAnsi="Times New Roman" w:eastAsia="Times New Roman" w:cs="Times New Roman"/>
        </w:rPr>
        <w:t>موضوعُ الآيةِ العاشرة هو «وقتُ النهاية»، ووفقًا للمبادئ المرتبطة بفكِّ خَتمِ الحقِّ في «وقتِ النهاية»، فإن هذه الآية، مع أنها آيةٌ واحدةٌ فقط، تُمثِّل عددًا كبيرًا من الخطوط النبوية. وتُحدِّد الآيةُ العاشرة بدايةَ التاريخ الخفيِّ للآية الأربعين، الذي يَسِمُ بدايةَ حركة الملاك الثالث وخَتمِ المئةِ والأربعةِ والأربعين ألفًا.</w:t>
      </w:r>
    </w:p>
    <w:p>
      <w:pPr>
        <w:pStyle w:val="ArticleBody"/>
        <w:jc w:val="left"/>
      </w:pPr>
      <w:r>
        <w:rPr>
          <w:rFonts w:ascii="Times New Roman" w:hAnsi="Times New Roman" w:eastAsia="Times New Roman" w:cs="Times New Roman"/>
        </w:rPr>
        <w:t>Aayaddu waxay isku xidhaysaa toddobada waqti ee Laawiyiintii lix iyo labaatan, sida lagu aqoonsaday riyada ka bilaabmaysa Ishacyaah cutubka toddobaad. Isku xidhkaasu wuxuu calaamadiyaa isu-geynta Ilaahnimada iyo dadnimada, taas oo ah dhammaadka qarsoodiga cibaado-suubbanaanta inta lagu jiro dhawaaqa buunka toddobaad, kaas oo ah hoogga saddexaad ee Islaamka.</w:t>
      </w:r>
    </w:p>
    <w:p>
      <w:pPr>
        <w:pStyle w:val="ArticleBody"/>
        <w:jc w:val="left"/>
      </w:pPr>
      <w:r>
        <w:rPr>
          <w:rFonts w:ascii="Times New Roman" w:hAnsi="Times New Roman" w:eastAsia="Times New Roman" w:cs="Times New Roman"/>
        </w:rPr>
        <w:t>ئەو ئایەتە ساڵی 1989 وەک کاتی کۆتایی نیشان دەدات، و لەگەڵ پەیوەندیی حەوت کاتەکانی لەویەکان بیست و شەش، ڕاستیی بنەڕەتیی ویلیام میلەر، و یاخیبوونی 1863 دەگرێتەوە. ئەو ئایەتە مێژووی نهێنیی ئایەتی چل دەست پێ دەکات. بۆیە، ئەوە توخمێکی بنەڕەتیی زیادبوونی زانینە کە لە کاتی کۆتایی لە ساڵی 1989 دەگات و دەست بە وێنەی پێغەمبەرانەی ڕووداوە دەرەکییەکان دەکات کە مێژووی نهێنیی ئایەتی چل پێک دەهێنن، و لە ڕێگەی پەیوەندییەکەی بە حەوت کاتەکانەوە هەروەها ڕووداوە ناوەکییەکان لە مێژووی نێوان 1989 و یاسای شەممەش ناسێنێت.</w:t>
      </w:r>
    </w:p>
    <w:p>
      <w:pPr>
        <w:pStyle w:val="ArticleBody"/>
        <w:jc w:val="left"/>
      </w:pPr>
      <w:r>
        <w:rPr>
          <w:rFonts w:ascii="Times New Roman" w:hAnsi="Times New Roman" w:eastAsia="Times New Roman" w:cs="Times New Roman"/>
        </w:rPr>
        <w:t>El número diez es un símbolo de prueba, y la conexión de los versículos con la visión de Isaías siete pone énfasis en comprender la verdad.</w:t>
      </w:r>
    </w:p>
    <w:p>
      <w:pPr>
        <w:pStyle w:val="ArticleScripture"/>
        <w:jc w:val="left"/>
      </w:pPr>
      <w:r>
        <w:rPr>
          <w:rFonts w:ascii="Nirmala UI" w:hAnsi="Nirmala UI" w:eastAsia="Nirmala UI" w:cs="Nirmala UI"/>
        </w:rPr>
        <w:t>ಕಾರಣ</w:t>
      </w:r>
      <w:r>
        <w:rPr>
          <w:rFonts w:ascii="Times New Roman" w:hAnsi="Times New Roman" w:eastAsia="Times New Roman" w:cs="Times New Roman"/>
        </w:rPr>
        <w:t xml:space="preserve"> </w:t>
      </w:r>
      <w:r>
        <w:rPr>
          <w:rFonts w:ascii="Nirmala UI" w:hAnsi="Nirmala UI" w:eastAsia="Nirmala UI" w:cs="Nirmala UI"/>
        </w:rPr>
        <w:t>ಸಿರಿಯದ</w:t>
      </w:r>
      <w:r>
        <w:rPr>
          <w:rFonts w:ascii="Times New Roman" w:hAnsi="Times New Roman" w:eastAsia="Times New Roman" w:cs="Times New Roman"/>
        </w:rPr>
        <w:t xml:space="preserve"> </w:t>
      </w:r>
      <w:r>
        <w:rPr>
          <w:rFonts w:ascii="Nirmala UI" w:hAnsi="Nirmala UI" w:eastAsia="Nirmala UI" w:cs="Nirmala UI"/>
        </w:rPr>
        <w:t>ತಲೆ</w:t>
      </w:r>
      <w:r>
        <w:rPr>
          <w:rFonts w:ascii="Times New Roman" w:hAnsi="Times New Roman" w:eastAsia="Times New Roman" w:cs="Times New Roman"/>
        </w:rPr>
        <w:t xml:space="preserve"> </w:t>
      </w:r>
      <w:r>
        <w:rPr>
          <w:rFonts w:ascii="Nirmala UI" w:hAnsi="Nirmala UI" w:eastAsia="Nirmala UI" w:cs="Nirmala UI"/>
        </w:rPr>
        <w:t>ದಮಸ್ಕಸ್ಸು</w:t>
      </w:r>
      <w:r>
        <w:rPr>
          <w:rFonts w:ascii="Times New Roman" w:hAnsi="Times New Roman" w:eastAsia="Times New Roman" w:cs="Times New Roman"/>
        </w:rPr>
        <w:t xml:space="preserve">, </w:t>
      </w:r>
      <w:r>
        <w:rPr>
          <w:rFonts w:ascii="Nirmala UI" w:hAnsi="Nirmala UI" w:eastAsia="Nirmala UI" w:cs="Nirmala UI"/>
        </w:rPr>
        <w:t>ದಮಸ್ಕಸ್ಸಿನ</w:t>
      </w:r>
      <w:r>
        <w:rPr>
          <w:rFonts w:ascii="Times New Roman" w:hAnsi="Times New Roman" w:eastAsia="Times New Roman" w:cs="Times New Roman"/>
        </w:rPr>
        <w:t xml:space="preserve"> </w:t>
      </w:r>
      <w:r>
        <w:rPr>
          <w:rFonts w:ascii="Nirmala UI" w:hAnsi="Nirmala UI" w:eastAsia="Nirmala UI" w:cs="Nirmala UI"/>
        </w:rPr>
        <w:t>ತಲೆ</w:t>
      </w:r>
      <w:r>
        <w:rPr>
          <w:rFonts w:ascii="Times New Roman" w:hAnsi="Times New Roman" w:eastAsia="Times New Roman" w:cs="Times New Roman"/>
        </w:rPr>
        <w:t xml:space="preserve"> </w:t>
      </w:r>
      <w:r>
        <w:rPr>
          <w:rFonts w:ascii="Nirmala UI" w:hAnsi="Nirmala UI" w:eastAsia="Nirmala UI" w:cs="Nirmala UI"/>
        </w:rPr>
        <w:t>ರೆಜೀನ್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ಅರವತ್ತೈದು</w:t>
      </w:r>
      <w:r>
        <w:rPr>
          <w:rFonts w:ascii="Times New Roman" w:hAnsi="Times New Roman" w:eastAsia="Times New Roman" w:cs="Times New Roman"/>
        </w:rPr>
        <w:t xml:space="preserve"> </w:t>
      </w:r>
      <w:r>
        <w:rPr>
          <w:rFonts w:ascii="Nirmala UI" w:hAnsi="Nirmala UI" w:eastAsia="Nirmala UI" w:cs="Nirmala UI"/>
        </w:rPr>
        <w:t>ವರ್ಷಗಳೊಳಗೆ</w:t>
      </w:r>
      <w:r>
        <w:rPr>
          <w:rFonts w:ascii="Times New Roman" w:hAnsi="Times New Roman" w:eastAsia="Times New Roman" w:cs="Times New Roman"/>
        </w:rPr>
        <w:t xml:space="preserve"> </w:t>
      </w:r>
      <w:r>
        <w:rPr>
          <w:rFonts w:ascii="Nirmala UI" w:hAnsi="Nirmala UI" w:eastAsia="Nirmala UI" w:cs="Nirmala UI"/>
        </w:rPr>
        <w:t>ಎಫ್ರಾಯೀಮು</w:t>
      </w:r>
      <w:r>
        <w:rPr>
          <w:rFonts w:ascii="Times New Roman" w:hAnsi="Times New Roman" w:eastAsia="Times New Roman" w:cs="Times New Roman"/>
        </w:rPr>
        <w:t xml:space="preserve"> </w:t>
      </w:r>
      <w:r>
        <w:rPr>
          <w:rFonts w:ascii="Nirmala UI" w:hAnsi="Nirmala UI" w:eastAsia="Nirmala UI" w:cs="Nirmala UI"/>
        </w:rPr>
        <w:t>ಜನವಾಗಿರದಂತೆ</w:t>
      </w:r>
      <w:r>
        <w:rPr>
          <w:rFonts w:ascii="Times New Roman" w:hAnsi="Times New Roman" w:eastAsia="Times New Roman" w:cs="Times New Roman"/>
        </w:rPr>
        <w:t xml:space="preserve"> </w:t>
      </w:r>
      <w:r>
        <w:rPr>
          <w:rFonts w:ascii="Nirmala UI" w:hAnsi="Nirmala UI" w:eastAsia="Nirmala UI" w:cs="Nirmala UI"/>
        </w:rPr>
        <w:t>ಒಡೆಯಲ್ಪಡುವನು</w:t>
      </w:r>
      <w:r>
        <w:rPr>
          <w:rFonts w:ascii="Times New Roman" w:hAnsi="Times New Roman" w:eastAsia="Times New Roman" w:cs="Times New Roman"/>
        </w:rPr>
        <w:t xml:space="preserve">. </w:t>
      </w:r>
      <w:r>
        <w:rPr>
          <w:rFonts w:ascii="Nirmala UI" w:hAnsi="Nirmala UI" w:eastAsia="Nirmala UI" w:cs="Nirmala UI"/>
        </w:rPr>
        <w:t>ಎಫ್ರಾಯೀಮಿನ</w:t>
      </w:r>
      <w:r>
        <w:rPr>
          <w:rFonts w:ascii="Times New Roman" w:hAnsi="Times New Roman" w:eastAsia="Times New Roman" w:cs="Times New Roman"/>
        </w:rPr>
        <w:t xml:space="preserve"> </w:t>
      </w:r>
      <w:r>
        <w:rPr>
          <w:rFonts w:ascii="Nirmala UI" w:hAnsi="Nirmala UI" w:eastAsia="Nirmala UI" w:cs="Nirmala UI"/>
        </w:rPr>
        <w:t>ತಲೆ</w:t>
      </w:r>
      <w:r>
        <w:rPr>
          <w:rFonts w:ascii="Times New Roman" w:hAnsi="Times New Roman" w:eastAsia="Times New Roman" w:cs="Times New Roman"/>
        </w:rPr>
        <w:t xml:space="preserve"> </w:t>
      </w:r>
      <w:r>
        <w:rPr>
          <w:rFonts w:ascii="Nirmala UI" w:hAnsi="Nirmala UI" w:eastAsia="Nirmala UI" w:cs="Nirmala UI"/>
        </w:rPr>
        <w:t>ಸಮಾರ್ಯ</w:t>
      </w:r>
      <w:r>
        <w:rPr>
          <w:rFonts w:ascii="Times New Roman" w:hAnsi="Times New Roman" w:eastAsia="Times New Roman" w:cs="Times New Roman"/>
        </w:rPr>
        <w:t xml:space="preserve">, </w:t>
      </w:r>
      <w:r>
        <w:rPr>
          <w:rFonts w:ascii="Nirmala UI" w:hAnsi="Nirmala UI" w:eastAsia="Nirmala UI" w:cs="Nirmala UI"/>
        </w:rPr>
        <w:t>ಸಮಾರ್ಯದ</w:t>
      </w:r>
      <w:r>
        <w:rPr>
          <w:rFonts w:ascii="Times New Roman" w:hAnsi="Times New Roman" w:eastAsia="Times New Roman" w:cs="Times New Roman"/>
        </w:rPr>
        <w:t xml:space="preserve"> </w:t>
      </w:r>
      <w:r>
        <w:rPr>
          <w:rFonts w:ascii="Nirmala UI" w:hAnsi="Nirmala UI" w:eastAsia="Nirmala UI" w:cs="Nirmala UI"/>
        </w:rPr>
        <w:t>ತಲೆ</w:t>
      </w:r>
      <w:r>
        <w:rPr>
          <w:rFonts w:ascii="Times New Roman" w:hAnsi="Times New Roman" w:eastAsia="Times New Roman" w:cs="Times New Roman"/>
        </w:rPr>
        <w:t xml:space="preserve"> </w:t>
      </w:r>
      <w:r>
        <w:rPr>
          <w:rFonts w:ascii="Nirmala UI" w:hAnsi="Nirmala UI" w:eastAsia="Nirmala UI" w:cs="Nirmala UI"/>
        </w:rPr>
        <w:t>ರೆಮಲ್ಯನ</w:t>
      </w:r>
      <w:r>
        <w:rPr>
          <w:rFonts w:ascii="Times New Roman" w:hAnsi="Times New Roman" w:eastAsia="Times New Roman" w:cs="Times New Roman"/>
        </w:rPr>
        <w:t xml:space="preserve"> </w:t>
      </w:r>
      <w:r>
        <w:rPr>
          <w:rFonts w:ascii="Nirmala UI" w:hAnsi="Nirmala UI" w:eastAsia="Nirmala UI" w:cs="Nirmala UI"/>
        </w:rPr>
        <w:t>ಮಗನು</w:t>
      </w:r>
      <w:r>
        <w:rPr>
          <w:rFonts w:ascii="Times New Roman" w:hAnsi="Times New Roman" w:eastAsia="Times New Roman" w:cs="Times New Roman"/>
        </w:rPr>
        <w:t xml:space="preserve">. </w:t>
      </w:r>
      <w:r>
        <w:rPr>
          <w:rFonts w:ascii="Nirmala UI" w:hAnsi="Nirmala UI" w:eastAsia="Nirmala UI" w:cs="Nirmala UI"/>
        </w:rPr>
        <w:t>ನೀವು</w:t>
      </w:r>
      <w:r>
        <w:rPr>
          <w:rFonts w:ascii="Times New Roman" w:hAnsi="Times New Roman" w:eastAsia="Times New Roman" w:cs="Times New Roman"/>
        </w:rPr>
        <w:t xml:space="preserve"> </w:t>
      </w:r>
      <w:r>
        <w:rPr>
          <w:rFonts w:ascii="Nirmala UI" w:hAnsi="Nirmala UI" w:eastAsia="Nirmala UI" w:cs="Nirmala UI"/>
        </w:rPr>
        <w:t>ನಂಬದಿದ್ದರೆ</w:t>
      </w:r>
      <w:r>
        <w:rPr>
          <w:rFonts w:ascii="Times New Roman" w:hAnsi="Times New Roman" w:eastAsia="Times New Roman" w:cs="Times New Roman"/>
        </w:rPr>
        <w:t xml:space="preserve">, </w:t>
      </w:r>
      <w:r>
        <w:rPr>
          <w:rFonts w:ascii="Nirmala UI" w:hAnsi="Nirmala UI" w:eastAsia="Nirmala UI" w:cs="Nirmala UI"/>
        </w:rPr>
        <w:t>ನಿಶ್ಚಯವಾಗಿ</w:t>
      </w:r>
      <w:r>
        <w:rPr>
          <w:rFonts w:ascii="Times New Roman" w:hAnsi="Times New Roman" w:eastAsia="Times New Roman" w:cs="Times New Roman"/>
        </w:rPr>
        <w:t xml:space="preserve"> </w:t>
      </w:r>
      <w:r>
        <w:rPr>
          <w:rFonts w:ascii="Nirmala UI" w:hAnsi="Nirmala UI" w:eastAsia="Nirmala UI" w:cs="Nirmala UI"/>
        </w:rPr>
        <w:t>ಸ್ಥಿರಪಡಿಸಲ್ಪಡುವುದಿಲ್ಲ</w:t>
      </w:r>
      <w:r>
        <w:rPr>
          <w:rFonts w:ascii="Times New Roman" w:hAnsi="Times New Roman" w:eastAsia="Times New Roman" w:cs="Times New Roman"/>
        </w:rPr>
        <w:t xml:space="preserve">. </w:t>
      </w:r>
      <w:r>
        <w:rPr>
          <w:rFonts w:ascii="Nirmala UI" w:hAnsi="Nirmala UI" w:eastAsia="Nirmala UI" w:cs="Nirmala UI"/>
        </w:rPr>
        <w:t>ಯೆಶಾಯ</w:t>
      </w:r>
      <w:r>
        <w:rPr>
          <w:rFonts w:ascii="Times New Roman" w:hAnsi="Times New Roman" w:eastAsia="Times New Roman" w:cs="Times New Roman"/>
        </w:rPr>
        <w:t xml:space="preserve"> 7:8, 9.</w:t>
      </w:r>
    </w:p>
    <w:p>
      <w:pPr>
        <w:pStyle w:val="ArticleBody"/>
        <w:jc w:val="left"/>
      </w:pPr>
      <w:r>
        <w:rPr>
          <w:rFonts w:ascii="Times New Roman" w:hAnsi="Times New Roman" w:eastAsia="Times New Roman" w:cs="Times New Roman"/>
        </w:rPr>
        <w:t>Vous ne serez pas affermis si vous ne croyez pas qu’une « tête » représente une ville capitale (Samarie et Damas) et un roi (Retsîn et Pékach, fils de Remalia). Si vous ne comprenez pas ces trois symboles interchangeables, dans le contexte d’Ésaïe huit, verset huit, (qui est la même vision que celle du chapitre sept) alors vous ne serez pas en mesure d’identifier Poutine et la Russie comme le roi du midi dans les versets onze à quinze.</w:t>
      </w:r>
    </w:p>
    <w:p>
      <w:pPr>
        <w:pStyle w:val="ArticleScripture"/>
        <w:jc w:val="left"/>
      </w:pPr>
      <w:r>
        <w:rPr>
          <w:rFonts w:ascii="Times New Roman" w:hAnsi="Times New Roman" w:eastAsia="Times New Roman" w:cs="Times New Roman"/>
        </w:rPr>
        <w:t>C’est pourquoi, voici, le Seigneur fait monter contre eux les eaux du fleuve, puissantes et abondantes, savoir le roi d’Assyrie et toute sa gloire; il s’élèvera au-dessus de tous ses canaux et débordera sur toutes ses rives. Il pénétrera dans Juda; il inondera et submergera, il atteindra jusqu’au cou; et le déploiement de ses ailes remplira toute l’étendue de ton pays, ô Immanuel. Ésaïe 8:7, 8.</w:t>
      </w:r>
    </w:p>
    <w:p>
      <w:pPr>
        <w:pStyle w:val="ArticleBody"/>
        <w:jc w:val="left"/>
      </w:pPr>
      <w:r>
        <w:rPr>
          <w:rFonts w:ascii="Times New Roman" w:hAnsi="Times New Roman" w:eastAsia="Times New Roman" w:cs="Times New Roman"/>
        </w:rPr>
        <w:t>Le thème du verset dix est un processus d’épreuve en trois étapes qui commence au temps de la fin et conduit à la fin du temps de grâce lors de la loi du dimanche.</w:t>
      </w:r>
    </w:p>
    <w:p>
      <w:pPr>
        <w:pStyle w:val="ArticleScripture"/>
        <w:jc w:val="left"/>
      </w:pPr>
      <w:r>
        <w:rPr>
          <w:rFonts w:ascii="Times New Roman" w:hAnsi="Times New Roman" w:eastAsia="Times New Roman" w:cs="Times New Roman"/>
        </w:rPr>
        <w:t>Kaye li di: Ale fè wout ou, Danyèl; paske pawòl yo fèmen e sele jouk nan tan lafen an. Anpil pral pirifye, yo pral blanchi, e yo pral pase anba eprèv; men mechan yo pral aji avèk mechanste; e okenn nan mechan yo p ap konprann; men saj yo va konprann. Danyèl 12:9, 10.</w:t>
      </w:r>
    </w:p>
    <w:p>
      <w:pPr>
        <w:pStyle w:val="ArticleBody"/>
        <w:jc w:val="left"/>
      </w:pPr>
      <w:r>
        <w:rPr>
          <w:rFonts w:ascii="Times New Roman" w:hAnsi="Times New Roman" w:eastAsia="Times New Roman" w:cs="Times New Roman"/>
        </w:rPr>
        <w:t>“</w:t>
      </w:r>
      <w:r>
        <w:rPr>
          <w:rFonts w:ascii="Nirmala UI" w:hAnsi="Nirmala UI" w:eastAsia="Nirmala UI" w:cs="Nirmala UI"/>
        </w:rPr>
        <w:t>ஆகமத்தின்</w:t>
      </w:r>
      <w:r>
        <w:rPr>
          <w:rFonts w:ascii="Times New Roman" w:hAnsi="Times New Roman" w:eastAsia="Times New Roman" w:cs="Times New Roman"/>
        </w:rPr>
        <w:t xml:space="preserve"> </w:t>
      </w:r>
      <w:r>
        <w:rPr>
          <w:rFonts w:ascii="Nirmala UI" w:hAnsi="Nirmala UI" w:eastAsia="Nirmala UI" w:cs="Nirmala UI"/>
        </w:rPr>
        <w:t>முடிவுக்</w:t>
      </w:r>
      <w:r>
        <w:rPr>
          <w:rFonts w:ascii="Times New Roman" w:hAnsi="Times New Roman" w:eastAsia="Times New Roman" w:cs="Times New Roman"/>
        </w:rPr>
        <w:t xml:space="preserve"> </w:t>
      </w:r>
      <w:r>
        <w:rPr>
          <w:rFonts w:ascii="Nirmala UI" w:hAnsi="Nirmala UI" w:eastAsia="Nirmala UI" w:cs="Nirmala UI"/>
        </w:rPr>
        <w:t>காலத்தில்</w:t>
      </w:r>
      <w:r>
        <w:rPr>
          <w:rFonts w:ascii="Times New Roman" w:hAnsi="Times New Roman" w:eastAsia="Times New Roman" w:cs="Times New Roman"/>
        </w:rPr>
        <w:t xml:space="preserve">” </w:t>
      </w:r>
      <w:r>
        <w:rPr>
          <w:rFonts w:ascii="Nirmala UI" w:hAnsi="Nirmala UI" w:eastAsia="Nirmala UI" w:cs="Nirmala UI"/>
        </w:rPr>
        <w:t>தானியேலின்</w:t>
      </w:r>
      <w:r>
        <w:rPr>
          <w:rFonts w:ascii="Times New Roman" w:hAnsi="Times New Roman" w:eastAsia="Times New Roman" w:cs="Times New Roman"/>
        </w:rPr>
        <w:t xml:space="preserve"> </w:t>
      </w:r>
      <w:r>
        <w:rPr>
          <w:rFonts w:ascii="Nirmala UI" w:hAnsi="Nirmala UI" w:eastAsia="Nirmala UI" w:cs="Nirmala UI"/>
        </w:rPr>
        <w:t>புத்தகம்</w:t>
      </w:r>
      <w:r>
        <w:rPr>
          <w:rFonts w:ascii="Times New Roman" w:hAnsi="Times New Roman" w:eastAsia="Times New Roman" w:cs="Times New Roman"/>
        </w:rPr>
        <w:t xml:space="preserve"> “</w:t>
      </w:r>
      <w:r>
        <w:rPr>
          <w:rFonts w:ascii="Nirmala UI" w:hAnsi="Nirmala UI" w:eastAsia="Nirmala UI" w:cs="Nirmala UI"/>
        </w:rPr>
        <w:t>முத்திரை</w:t>
      </w:r>
      <w:r>
        <w:rPr>
          <w:rFonts w:ascii="Times New Roman" w:hAnsi="Times New Roman" w:eastAsia="Times New Roman" w:cs="Times New Roman"/>
        </w:rPr>
        <w:t xml:space="preserve"> </w:t>
      </w:r>
      <w:r>
        <w:rPr>
          <w:rFonts w:ascii="Nirmala UI" w:hAnsi="Nirmala UI" w:eastAsia="Nirmala UI" w:cs="Nirmala UI"/>
        </w:rPr>
        <w:t>நீக்கப்படுகிறது</w:t>
      </w:r>
      <w:r>
        <w:rPr>
          <w:rFonts w:ascii="Times New Roman" w:hAnsi="Times New Roman" w:eastAsia="Times New Roman" w:cs="Times New Roman"/>
        </w:rPr>
        <w:t>”; “</w:t>
      </w:r>
      <w:r>
        <w:rPr>
          <w:rFonts w:ascii="Nirmala UI" w:hAnsi="Nirmala UI" w:eastAsia="Nirmala UI" w:cs="Nirmala UI"/>
        </w:rPr>
        <w:t>சுத்திகரிக்கப்பட்டும்</w:t>
      </w:r>
      <w:r>
        <w:rPr>
          <w:rFonts w:ascii="Times New Roman" w:hAnsi="Times New Roman" w:eastAsia="Times New Roman" w:cs="Times New Roman"/>
        </w:rPr>
        <w:t xml:space="preserve">, </w:t>
      </w:r>
      <w:r>
        <w:rPr>
          <w:rFonts w:ascii="Nirmala UI" w:hAnsi="Nirmala UI" w:eastAsia="Nirmala UI" w:cs="Nirmala UI"/>
        </w:rPr>
        <w:t>வெண்மையாக்கப்பட்டும்</w:t>
      </w:r>
      <w:r>
        <w:rPr>
          <w:rFonts w:ascii="Times New Roman" w:hAnsi="Times New Roman" w:eastAsia="Times New Roman" w:cs="Times New Roman"/>
        </w:rPr>
        <w:t xml:space="preserve">, </w:t>
      </w:r>
      <w:r>
        <w:rPr>
          <w:rFonts w:ascii="Nirmala UI" w:hAnsi="Nirmala UI" w:eastAsia="Nirmala UI" w:cs="Nirmala UI"/>
        </w:rPr>
        <w:t>சோதிக்கப்பட்டும்</w:t>
      </w:r>
      <w:r>
        <w:rPr>
          <w:rFonts w:ascii="Times New Roman" w:hAnsi="Times New Roman" w:eastAsia="Times New Roman" w:cs="Times New Roman"/>
        </w:rPr>
        <w:t xml:space="preserve">” </w:t>
      </w:r>
      <w:r>
        <w:rPr>
          <w:rFonts w:ascii="Nirmala UI" w:hAnsi="Nirmala UI" w:eastAsia="Nirmala UI" w:cs="Nirmala UI"/>
        </w:rPr>
        <w:t>என்பதனால்</w:t>
      </w:r>
      <w:r>
        <w:rPr>
          <w:rFonts w:ascii="Times New Roman" w:hAnsi="Times New Roman" w:eastAsia="Times New Roman" w:cs="Times New Roman"/>
        </w:rPr>
        <w:t xml:space="preserve"> </w:t>
      </w:r>
      <w:r>
        <w:rPr>
          <w:rFonts w:ascii="Nirmala UI" w:hAnsi="Nirmala UI" w:eastAsia="Nirmala UI" w:cs="Nirmala UI"/>
        </w:rPr>
        <w:t>குறிக்கப்படும்</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w:t>
      </w:r>
      <w:r>
        <w:rPr>
          <w:rFonts w:ascii="Nirmala UI" w:hAnsi="Nirmala UI" w:eastAsia="Nirmala UI" w:cs="Nirmala UI"/>
        </w:rPr>
        <w:t>அடுக்கு</w:t>
      </w:r>
      <w:r>
        <w:rPr>
          <w:rFonts w:ascii="Times New Roman" w:hAnsi="Times New Roman" w:eastAsia="Times New Roman" w:cs="Times New Roman"/>
        </w:rPr>
        <w:t xml:space="preserve"> </w:t>
      </w:r>
      <w:r>
        <w:rPr>
          <w:rFonts w:ascii="Nirmala UI" w:hAnsi="Nirmala UI" w:eastAsia="Nirmala UI" w:cs="Nirmala UI"/>
        </w:rPr>
        <w:t>சோதனைச்</w:t>
      </w:r>
      <w:r>
        <w:rPr>
          <w:rFonts w:ascii="Times New Roman" w:hAnsi="Times New Roman" w:eastAsia="Times New Roman" w:cs="Times New Roman"/>
        </w:rPr>
        <w:t xml:space="preserve"> </w:t>
      </w:r>
      <w:r>
        <w:rPr>
          <w:rFonts w:ascii="Nirmala UI" w:hAnsi="Nirmala UI" w:eastAsia="Nirmala UI" w:cs="Nirmala UI"/>
        </w:rPr>
        <w:t>செயல்முறை</w:t>
      </w:r>
      <w:r>
        <w:rPr>
          <w:rFonts w:ascii="Times New Roman" w:hAnsi="Times New Roman" w:eastAsia="Times New Roman" w:cs="Times New Roman"/>
        </w:rPr>
        <w:t xml:space="preserve"> </w:t>
      </w:r>
      <w:r>
        <w:rPr>
          <w:rFonts w:ascii="Nirmala UI" w:hAnsi="Nirmala UI" w:eastAsia="Nirmala UI" w:cs="Nirmala UI"/>
        </w:rPr>
        <w:t>ஆரம்பமாகிறது</w:t>
      </w:r>
      <w:r>
        <w:rPr>
          <w:rFonts w:ascii="Times New Roman" w:hAnsi="Times New Roman" w:eastAsia="Times New Roman" w:cs="Times New Roman"/>
        </w:rPr>
        <w:t>. “</w:t>
      </w:r>
      <w:r>
        <w:rPr>
          <w:rFonts w:ascii="Nirmala UI" w:hAnsi="Nirmala UI" w:eastAsia="Nirmala UI" w:cs="Nirmala UI"/>
        </w:rPr>
        <w:t>ஞானிகள்</w:t>
      </w:r>
      <w:r>
        <w:rPr>
          <w:rFonts w:ascii="Times New Roman" w:hAnsi="Times New Roman" w:eastAsia="Times New Roman" w:cs="Times New Roman"/>
        </w:rPr>
        <w:t xml:space="preserve">” </w:t>
      </w:r>
      <w:r>
        <w:rPr>
          <w:rFonts w:ascii="Nirmala UI" w:hAnsi="Nirmala UI" w:eastAsia="Nirmala UI" w:cs="Nirmala UI"/>
        </w:rPr>
        <w:t>புரிந்துகொள்கிறார்கள்</w:t>
      </w:r>
      <w:r>
        <w:rPr>
          <w:rFonts w:ascii="Times New Roman" w:hAnsi="Times New Roman" w:eastAsia="Times New Roman" w:cs="Times New Roman"/>
        </w:rPr>
        <w:t>; “</w:t>
      </w:r>
      <w:r>
        <w:rPr>
          <w:rFonts w:ascii="Nirmala UI" w:hAnsi="Nirmala UI" w:eastAsia="Nirmala UI" w:cs="Nirmala UI"/>
        </w:rPr>
        <w:t>தீயவர்கள்</w:t>
      </w:r>
      <w:r>
        <w:rPr>
          <w:rFonts w:ascii="Times New Roman" w:hAnsi="Times New Roman" w:eastAsia="Times New Roman" w:cs="Times New Roman"/>
        </w:rPr>
        <w:t xml:space="preserve">” </w:t>
      </w:r>
      <w:r>
        <w:rPr>
          <w:rFonts w:ascii="Nirmala UI" w:hAnsi="Nirmala UI" w:eastAsia="Nirmala UI" w:cs="Nirmala UI"/>
        </w:rPr>
        <w:t>புரிந்துகொள்ளவில்லை</w:t>
      </w:r>
      <w:r>
        <w:rPr>
          <w:rFonts w:ascii="Times New Roman" w:hAnsi="Times New Roman" w:eastAsia="Times New Roman" w:cs="Times New Roman"/>
        </w:rPr>
        <w:t xml:space="preserve">. </w:t>
      </w:r>
      <w:r>
        <w:rPr>
          <w:rFonts w:ascii="Nirmala UI" w:hAnsi="Nirmala UI" w:eastAsia="Nirmala UI" w:cs="Nirmala UI"/>
        </w:rPr>
        <w:t>பத்து</w:t>
      </w:r>
      <w:r>
        <w:rPr>
          <w:rFonts w:ascii="Times New Roman" w:hAnsi="Times New Roman" w:eastAsia="Times New Roman" w:cs="Times New Roman"/>
        </w:rPr>
        <w:t xml:space="preserve"> </w:t>
      </w:r>
      <w:r>
        <w:rPr>
          <w:rFonts w:ascii="Nirmala UI" w:hAnsi="Nirmala UI" w:eastAsia="Nirmala UI" w:cs="Nirmala UI"/>
        </w:rPr>
        <w:t>கன்னியரின்</w:t>
      </w:r>
      <w:r>
        <w:rPr>
          <w:rFonts w:ascii="Times New Roman" w:hAnsi="Times New Roman" w:eastAsia="Times New Roman" w:cs="Times New Roman"/>
        </w:rPr>
        <w:t xml:space="preserve"> </w:t>
      </w:r>
      <w:r>
        <w:rPr>
          <w:rFonts w:ascii="Nirmala UI" w:hAnsi="Nirmala UI" w:eastAsia="Nirmala UI" w:cs="Nirmala UI"/>
        </w:rPr>
        <w:t>உவமையில்</w:t>
      </w:r>
      <w:r>
        <w:rPr>
          <w:rFonts w:ascii="Times New Roman" w:hAnsi="Times New Roman" w:eastAsia="Times New Roman" w:cs="Times New Roman"/>
        </w:rPr>
        <w:t xml:space="preserve"> </w:t>
      </w:r>
      <w:r>
        <w:rPr>
          <w:rFonts w:ascii="Nirmala UI" w:hAnsi="Nirmala UI" w:eastAsia="Nirmala UI" w:cs="Nirmala UI"/>
        </w:rPr>
        <w:t>எண்ணெய்</w:t>
      </w:r>
      <w:r>
        <w:rPr>
          <w:rFonts w:ascii="Times New Roman" w:hAnsi="Times New Roman" w:eastAsia="Times New Roman" w:cs="Times New Roman"/>
        </w:rPr>
        <w:t xml:space="preserve"> </w:t>
      </w:r>
      <w:r>
        <w:rPr>
          <w:rFonts w:ascii="Nirmala UI" w:hAnsi="Nirmala UI" w:eastAsia="Nirmala UI" w:cs="Nirmala UI"/>
        </w:rPr>
        <w:t>இல்லாததுபோலவே</w:t>
      </w:r>
      <w:r>
        <w:rPr>
          <w:rFonts w:ascii="Times New Roman" w:hAnsi="Times New Roman" w:eastAsia="Times New Roman" w:cs="Times New Roman"/>
        </w:rPr>
        <w:t xml:space="preserve">, </w:t>
      </w:r>
      <w:r>
        <w:rPr>
          <w:rFonts w:ascii="Nirmala UI" w:hAnsi="Nirmala UI" w:eastAsia="Nirmala UI" w:cs="Nirmala UI"/>
        </w:rPr>
        <w:t>அவர்களின்</w:t>
      </w:r>
      <w:r>
        <w:rPr>
          <w:rFonts w:ascii="Times New Roman" w:hAnsi="Times New Roman" w:eastAsia="Times New Roman" w:cs="Times New Roman"/>
        </w:rPr>
        <w:t xml:space="preserve"> </w:t>
      </w:r>
      <w:r>
        <w:rPr>
          <w:rFonts w:ascii="Nirmala UI" w:hAnsi="Nirmala UI" w:eastAsia="Nirmala UI" w:cs="Nirmala UI"/>
        </w:rPr>
        <w:t>இந்தப்</w:t>
      </w:r>
      <w:r>
        <w:rPr>
          <w:rFonts w:ascii="Times New Roman" w:hAnsi="Times New Roman" w:eastAsia="Times New Roman" w:cs="Times New Roman"/>
        </w:rPr>
        <w:t xml:space="preserve"> </w:t>
      </w:r>
      <w:r>
        <w:rPr>
          <w:rFonts w:ascii="Nirmala UI" w:hAnsi="Nirmala UI" w:eastAsia="Nirmala UI" w:cs="Nirmala UI"/>
        </w:rPr>
        <w:t>புரிதல்</w:t>
      </w:r>
      <w:r>
        <w:rPr>
          <w:rFonts w:ascii="Times New Roman" w:hAnsi="Times New Roman" w:eastAsia="Times New Roman" w:cs="Times New Roman"/>
        </w:rPr>
        <w:t xml:space="preserve"> </w:t>
      </w:r>
      <w:r>
        <w:rPr>
          <w:rFonts w:ascii="Nirmala UI" w:hAnsi="Nirmala UI" w:eastAsia="Nirmala UI" w:cs="Nirmala UI"/>
        </w:rPr>
        <w:t>இல்லாமையே</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அழிவுக்குள்ளாகக்</w:t>
      </w:r>
      <w:r>
        <w:rPr>
          <w:rFonts w:ascii="Times New Roman" w:hAnsi="Times New Roman" w:eastAsia="Times New Roman" w:cs="Times New Roman"/>
        </w:rPr>
        <w:t xml:space="preserve"> </w:t>
      </w:r>
      <w:r>
        <w:rPr>
          <w:rFonts w:ascii="Nirmala UI" w:hAnsi="Nirmala UI" w:eastAsia="Nirmala UI" w:cs="Nirmala UI"/>
        </w:rPr>
        <w:t>காரணமாகிறது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Mi pueblo fue destruido por falta de conocimiento; por cuanto tú desechaste el conocimiento, yo también te desecharé para que no seas mi sacerdote; por cuanto olvidaste la ley de tu Dios, yo también me olvidaré de tus hijos. Oseas 4:6.</w:t>
      </w:r>
    </w:p>
    <w:p>
      <w:pPr>
        <w:pStyle w:val="ArticleBody"/>
        <w:jc w:val="left"/>
      </w:pPr>
      <w:r>
        <w:rPr>
          <w:rFonts w:ascii="Microsoft YaHei" w:hAnsi="Microsoft YaHei" w:eastAsia="Microsoft YaHei" w:cs="Microsoft YaHei"/>
        </w:rPr>
        <w:t>「</w:t>
      </w:r>
      <w:r>
        <w:rPr>
          <w:rFonts w:ascii="MS Gothic" w:hAnsi="MS Gothic" w:eastAsia="MS Gothic" w:cs="MS Gothic"/>
        </w:rPr>
        <w:t>わたしの</w:t>
      </w:r>
      <w:r>
        <w:rPr>
          <w:rFonts w:ascii="Microsoft YaHei" w:hAnsi="Microsoft YaHei" w:eastAsia="Microsoft YaHei" w:cs="Microsoft YaHei"/>
        </w:rPr>
        <w:t>民」</w:t>
      </w:r>
      <w:r>
        <w:rPr>
          <w:rFonts w:ascii="MS Gothic" w:hAnsi="MS Gothic" w:eastAsia="MS Gothic" w:cs="MS Gothic"/>
        </w:rPr>
        <w:t>という</w:t>
      </w:r>
      <w:r>
        <w:rPr>
          <w:rFonts w:ascii="Microsoft YaHei" w:hAnsi="Microsoft YaHei" w:eastAsia="Microsoft YaHei" w:cs="Microsoft YaHei"/>
        </w:rPr>
        <w:t>言葉</w:t>
      </w:r>
      <w:r>
        <w:rPr>
          <w:rFonts w:ascii="MS Gothic" w:hAnsi="MS Gothic" w:eastAsia="MS Gothic" w:cs="MS Gothic"/>
        </w:rPr>
        <w:t>は</w:t>
      </w:r>
      <w:r>
        <w:rPr>
          <w:rFonts w:ascii="Microsoft YaHei" w:hAnsi="Microsoft YaHei" w:eastAsia="Microsoft YaHei" w:cs="Microsoft YaHei"/>
        </w:rPr>
        <w:t>、契約</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を</w:t>
      </w:r>
      <w:r>
        <w:rPr>
          <w:rFonts w:ascii="Microsoft YaHei" w:hAnsi="Microsoft YaHei" w:eastAsia="Microsoft YaHei" w:cs="Microsoft YaHei"/>
        </w:rPr>
        <w:t>意味</w:t>
      </w:r>
      <w:r>
        <w:rPr>
          <w:rFonts w:ascii="MS Gothic" w:hAnsi="MS Gothic" w:eastAsia="MS Gothic" w:cs="MS Gothic"/>
        </w:rPr>
        <w:t>する</w:t>
      </w:r>
      <w:r>
        <w:rPr>
          <w:rFonts w:ascii="Times New Roman" w:hAnsi="Times New Roman" w:eastAsia="Times New Roman" w:cs="Times New Roman"/>
        </w:rPr>
        <w:t>.</w:t>
      </w:r>
      <w:r>
        <w:rPr>
          <w:rFonts w:ascii="MS Gothic" w:hAnsi="MS Gothic" w:eastAsia="MS Gothic" w:cs="MS Gothic"/>
        </w:rPr>
        <w:t>そして</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契約</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は</w:t>
      </w:r>
      <w:r>
        <w:rPr>
          <w:rFonts w:ascii="Microsoft YaHei" w:hAnsi="Microsoft YaHei" w:eastAsia="Microsoft YaHei" w:cs="Microsoft YaHei"/>
        </w:rPr>
        <w:t>、「知識</w:t>
      </w:r>
      <w:r>
        <w:rPr>
          <w:rFonts w:ascii="MS Gothic" w:hAnsi="MS Gothic" w:eastAsia="MS Gothic" w:cs="MS Gothic"/>
        </w:rPr>
        <w:t>がないために</w:t>
      </w:r>
      <w:r>
        <w:rPr>
          <w:rFonts w:ascii="Microsoft YaHei" w:hAnsi="Microsoft YaHei" w:eastAsia="Microsoft YaHei" w:cs="Microsoft YaHei"/>
        </w:rPr>
        <w:t>」退</w:t>
      </w:r>
      <w:r>
        <w:rPr>
          <w:rFonts w:ascii="MS Gothic" w:hAnsi="MS Gothic" w:eastAsia="MS Gothic" w:cs="MS Gothic"/>
        </w:rPr>
        <w:t>けられ</w:t>
      </w:r>
      <w:r>
        <w:rPr>
          <w:rFonts w:ascii="Microsoft YaHei" w:hAnsi="Microsoft YaHei" w:eastAsia="Microsoft YaHei" w:cs="Microsoft YaHei"/>
        </w:rPr>
        <w:t>、滅</w:t>
      </w:r>
      <w:r>
        <w:rPr>
          <w:rFonts w:ascii="MS Gothic" w:hAnsi="MS Gothic" w:eastAsia="MS Gothic" w:cs="MS Gothic"/>
        </w:rPr>
        <w:t>ぼされるのである</w:t>
      </w:r>
      <w:r>
        <w:rPr>
          <w:rFonts w:ascii="Times New Roman" w:hAnsi="Times New Roman" w:eastAsia="Times New Roman" w:cs="Times New Roman"/>
        </w:rPr>
        <w:t>.</w:t>
      </w:r>
      <w:r>
        <w:rPr>
          <w:rFonts w:ascii="MS Gothic" w:hAnsi="MS Gothic" w:eastAsia="MS Gothic" w:cs="MS Gothic"/>
        </w:rPr>
        <w:t>アメリカ</w:t>
      </w:r>
      <w:r>
        <w:rPr>
          <w:rFonts w:ascii="Microsoft YaHei" w:hAnsi="Microsoft YaHei" w:eastAsia="Microsoft YaHei" w:cs="Microsoft YaHei"/>
        </w:rPr>
        <w:t>合衆国</w:t>
      </w:r>
      <w:r>
        <w:rPr>
          <w:rFonts w:ascii="MS Gothic" w:hAnsi="MS Gothic" w:eastAsia="MS Gothic" w:cs="MS Gothic"/>
        </w:rPr>
        <w:t>における</w:t>
      </w:r>
      <w:r>
        <w:rPr>
          <w:rFonts w:ascii="Microsoft YaHei" w:hAnsi="Microsoft YaHei" w:eastAsia="Microsoft YaHei" w:cs="Microsoft YaHei"/>
        </w:rPr>
        <w:t>日曜法</w:t>
      </w:r>
      <w:r>
        <w:rPr>
          <w:rFonts w:ascii="MS Gothic" w:hAnsi="MS Gothic" w:eastAsia="MS Gothic" w:cs="MS Gothic"/>
        </w:rPr>
        <w:t>は</w:t>
      </w:r>
      <w:r>
        <w:rPr>
          <w:rFonts w:ascii="Microsoft YaHei" w:hAnsi="Microsoft YaHei" w:eastAsia="Microsoft YaHei" w:cs="Microsoft YaHei"/>
        </w:rPr>
        <w:t>、物事</w:t>
      </w:r>
      <w:r>
        <w:rPr>
          <w:rFonts w:ascii="MS Gothic" w:hAnsi="MS Gothic" w:eastAsia="MS Gothic" w:cs="MS Gothic"/>
        </w:rPr>
        <w:t>が</w:t>
      </w:r>
      <w:r>
        <w:rPr>
          <w:rFonts w:ascii="Microsoft YaHei" w:hAnsi="Microsoft YaHei" w:eastAsia="Microsoft YaHei" w:cs="Microsoft YaHei"/>
        </w:rPr>
        <w:t>忘</w:t>
      </w:r>
      <w:r>
        <w:rPr>
          <w:rFonts w:ascii="MS Gothic" w:hAnsi="MS Gothic" w:eastAsia="MS Gothic" w:cs="MS Gothic"/>
        </w:rPr>
        <w:t>れられるか</w:t>
      </w:r>
      <w:r>
        <w:rPr>
          <w:rFonts w:ascii="Microsoft YaHei" w:hAnsi="Microsoft YaHei" w:eastAsia="Microsoft YaHei" w:cs="Microsoft YaHei"/>
        </w:rPr>
        <w:t>、</w:t>
      </w:r>
      <w:r>
        <w:rPr>
          <w:rFonts w:ascii="MS Gothic" w:hAnsi="MS Gothic" w:eastAsia="MS Gothic" w:cs="MS Gothic"/>
        </w:rPr>
        <w:t>あるいは</w:t>
      </w:r>
      <w:r>
        <w:rPr>
          <w:rFonts w:ascii="Microsoft YaHei" w:hAnsi="Microsoft YaHei" w:eastAsia="Microsoft YaHei" w:cs="Microsoft YaHei"/>
        </w:rPr>
        <w:t>思</w:t>
      </w:r>
      <w:r>
        <w:rPr>
          <w:rFonts w:ascii="MS Gothic" w:hAnsi="MS Gothic" w:eastAsia="MS Gothic" w:cs="MS Gothic"/>
        </w:rPr>
        <w:t>い</w:t>
      </w:r>
      <w:r>
        <w:rPr>
          <w:rFonts w:ascii="Microsoft YaHei" w:hAnsi="Microsoft YaHei" w:eastAsia="Microsoft YaHei" w:cs="Microsoft YaHei"/>
        </w:rPr>
        <w:t>起</w:t>
      </w:r>
      <w:r>
        <w:rPr>
          <w:rFonts w:ascii="MS Gothic" w:hAnsi="MS Gothic" w:eastAsia="MS Gothic" w:cs="MS Gothic"/>
        </w:rPr>
        <w:t>こされるかの</w:t>
      </w:r>
      <w:r>
        <w:rPr>
          <w:rFonts w:ascii="Microsoft YaHei" w:hAnsi="Microsoft YaHei" w:eastAsia="Microsoft YaHei" w:cs="Microsoft YaHei"/>
        </w:rPr>
        <w:t>道標</w:t>
      </w:r>
      <w:r>
        <w:rPr>
          <w:rFonts w:ascii="MS Gothic" w:hAnsi="MS Gothic" w:eastAsia="MS Gothic" w:cs="MS Gothic"/>
        </w:rPr>
        <w:t>である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時点</w:t>
      </w:r>
      <w:r>
        <w:rPr>
          <w:rFonts w:ascii="MS Gothic" w:hAnsi="MS Gothic" w:eastAsia="MS Gothic" w:cs="MS Gothic"/>
        </w:rPr>
        <w:t>における</w:t>
      </w:r>
      <w:r>
        <w:rPr>
          <w:rFonts w:ascii="Microsoft YaHei" w:hAnsi="Microsoft YaHei" w:eastAsia="Microsoft YaHei" w:cs="Microsoft YaHei"/>
        </w:rPr>
        <w:t>現在</w:t>
      </w:r>
      <w:r>
        <w:rPr>
          <w:rFonts w:ascii="MS Gothic" w:hAnsi="MS Gothic" w:eastAsia="MS Gothic" w:cs="MS Gothic"/>
        </w:rPr>
        <w:t>の</w:t>
      </w:r>
      <w:r>
        <w:rPr>
          <w:rFonts w:ascii="Microsoft YaHei" w:hAnsi="Microsoft YaHei" w:eastAsia="Microsoft YaHei" w:cs="Microsoft YaHei"/>
        </w:rPr>
        <w:t>真理</w:t>
      </w:r>
      <w:r>
        <w:rPr>
          <w:rFonts w:ascii="MS Gothic" w:hAnsi="MS Gothic" w:eastAsia="MS Gothic" w:cs="MS Gothic"/>
        </w:rPr>
        <w:t>は</w:t>
      </w:r>
      <w:r>
        <w:rPr>
          <w:rFonts w:ascii="Microsoft YaHei" w:hAnsi="Microsoft YaHei" w:eastAsia="Microsoft YaHei" w:cs="Microsoft YaHei"/>
        </w:rPr>
        <w:t>、「安息日</w:t>
      </w:r>
      <w:r>
        <w:rPr>
          <w:rFonts w:ascii="MS Gothic" w:hAnsi="MS Gothic" w:eastAsia="MS Gothic" w:cs="MS Gothic"/>
        </w:rPr>
        <w:t>を</w:t>
      </w:r>
      <w:r>
        <w:rPr>
          <w:rFonts w:ascii="Microsoft YaHei" w:hAnsi="Microsoft YaHei" w:eastAsia="Microsoft YaHei" w:cs="Microsoft YaHei"/>
        </w:rPr>
        <w:t>覚</w:t>
      </w:r>
      <w:r>
        <w:rPr>
          <w:rFonts w:ascii="MS Gothic" w:hAnsi="MS Gothic" w:eastAsia="MS Gothic" w:cs="MS Gothic"/>
        </w:rPr>
        <w:t>えて</w:t>
      </w:r>
      <w:r>
        <w:rPr>
          <w:rFonts w:ascii="Microsoft YaHei" w:hAnsi="Microsoft YaHei" w:eastAsia="Microsoft YaHei" w:cs="Microsoft YaHei"/>
        </w:rPr>
        <w:t>、</w:t>
      </w:r>
      <w:r>
        <w:rPr>
          <w:rFonts w:ascii="MS Gothic" w:hAnsi="MS Gothic" w:eastAsia="MS Gothic" w:cs="MS Gothic"/>
        </w:rPr>
        <w:t>これを</w:t>
      </w:r>
      <w:r>
        <w:rPr>
          <w:rFonts w:ascii="Microsoft YaHei" w:hAnsi="Microsoft YaHei" w:eastAsia="Microsoft YaHei" w:cs="Microsoft YaHei"/>
        </w:rPr>
        <w:t>聖</w:t>
      </w:r>
      <w:r>
        <w:rPr>
          <w:rFonts w:ascii="MS Gothic" w:hAnsi="MS Gothic" w:eastAsia="MS Gothic" w:cs="MS Gothic"/>
        </w:rPr>
        <w:t>なる</w:t>
      </w:r>
      <w:r>
        <w:rPr>
          <w:rFonts w:ascii="Microsoft YaHei" w:hAnsi="Microsoft YaHei" w:eastAsia="Microsoft YaHei" w:cs="Microsoft YaHei"/>
        </w:rPr>
        <w:t>日</w:t>
      </w:r>
      <w:r>
        <w:rPr>
          <w:rFonts w:ascii="MS Gothic" w:hAnsi="MS Gothic" w:eastAsia="MS Gothic" w:cs="MS Gothic"/>
        </w:rPr>
        <w:t>とせよ</w:t>
      </w:r>
      <w:r>
        <w:rPr>
          <w:rFonts w:ascii="Microsoft YaHei" w:hAnsi="Microsoft YaHei" w:eastAsia="Microsoft YaHei" w:cs="Microsoft YaHei"/>
        </w:rPr>
        <w:t>」</w:t>
      </w:r>
      <w:r>
        <w:rPr>
          <w:rFonts w:ascii="MS Gothic" w:hAnsi="MS Gothic" w:eastAsia="MS Gothic" w:cs="MS Gothic"/>
        </w:rPr>
        <w:t>ということである</w:t>
      </w:r>
      <w:r>
        <w:rPr>
          <w:rFonts w:ascii="Times New Roman" w:hAnsi="Times New Roman" w:eastAsia="Times New Roman" w:cs="Times New Roman"/>
        </w:rPr>
        <w:t>.</w:t>
      </w:r>
      <w:r>
        <w:rPr>
          <w:rFonts w:ascii="MS Gothic" w:hAnsi="MS Gothic" w:eastAsia="MS Gothic" w:cs="MS Gothic"/>
        </w:rPr>
        <w:t>そこでツロの</w:t>
      </w:r>
      <w:r>
        <w:rPr>
          <w:rFonts w:ascii="Microsoft YaHei" w:hAnsi="Microsoft YaHei" w:eastAsia="Microsoft YaHei" w:cs="Microsoft YaHei"/>
        </w:rPr>
        <w:t>淫婦</w:t>
      </w:r>
      <w:r>
        <w:rPr>
          <w:rFonts w:ascii="MS Gothic" w:hAnsi="MS Gothic" w:eastAsia="MS Gothic" w:cs="MS Gothic"/>
        </w:rPr>
        <w:t>は</w:t>
      </w:r>
      <w:r>
        <w:rPr>
          <w:rFonts w:ascii="Microsoft YaHei" w:hAnsi="Microsoft YaHei" w:eastAsia="Microsoft YaHei" w:cs="Microsoft YaHei"/>
        </w:rPr>
        <w:t>覚</w:t>
      </w:r>
      <w:r>
        <w:rPr>
          <w:rFonts w:ascii="MS Gothic" w:hAnsi="MS Gothic" w:eastAsia="MS Gothic" w:cs="MS Gothic"/>
        </w:rPr>
        <w:t>えられるのである</w:t>
      </w:r>
      <w:r>
        <w:rPr>
          <w:rFonts w:ascii="Times New Roman" w:hAnsi="Times New Roman" w:eastAsia="Times New Roman" w:cs="Times New Roman"/>
        </w:rPr>
        <w:t>.</w:t>
      </w:r>
      <w:r>
        <w:rPr>
          <w:rFonts w:ascii="MS Gothic" w:hAnsi="MS Gothic" w:eastAsia="MS Gothic" w:cs="MS Gothic"/>
        </w:rPr>
        <w:t>そこでまた</w:t>
      </w:r>
      <w:r>
        <w:rPr>
          <w:rFonts w:ascii="Microsoft YaHei" w:hAnsi="Microsoft YaHei" w:eastAsia="Microsoft YaHei" w:cs="Microsoft YaHei"/>
        </w:rPr>
        <w:t>、黙示録</w:t>
      </w:r>
      <w:r>
        <w:rPr>
          <w:rFonts w:ascii="MS Gothic" w:hAnsi="MS Gothic" w:eastAsia="MS Gothic" w:cs="MS Gothic"/>
        </w:rPr>
        <w:t>において</w:t>
      </w:r>
      <w:r>
        <w:rPr>
          <w:rFonts w:ascii="Microsoft YaHei" w:hAnsi="Microsoft YaHei" w:eastAsia="Microsoft YaHei" w:cs="Microsoft YaHei"/>
        </w:rPr>
        <w:t>、神</w:t>
      </w:r>
      <w:r>
        <w:rPr>
          <w:rFonts w:ascii="MS Gothic" w:hAnsi="MS Gothic" w:eastAsia="MS Gothic" w:cs="MS Gothic"/>
        </w:rPr>
        <w:t>はバビロンの</w:t>
      </w:r>
      <w:r>
        <w:rPr>
          <w:rFonts w:ascii="Microsoft YaHei" w:hAnsi="Microsoft YaHei" w:eastAsia="Microsoft YaHei" w:cs="Microsoft YaHei"/>
        </w:rPr>
        <w:t>罪</w:t>
      </w:r>
      <w:r>
        <w:rPr>
          <w:rFonts w:ascii="MS Gothic" w:hAnsi="MS Gothic" w:eastAsia="MS Gothic" w:cs="MS Gothic"/>
        </w:rPr>
        <w:t>を</w:t>
      </w:r>
      <w:r>
        <w:rPr>
          <w:rFonts w:ascii="Microsoft YaHei" w:hAnsi="Microsoft YaHei" w:eastAsia="Microsoft YaHei" w:cs="Microsoft YaHei"/>
        </w:rPr>
        <w:t>思</w:t>
      </w:r>
      <w:r>
        <w:rPr>
          <w:rFonts w:ascii="MS Gothic" w:hAnsi="MS Gothic" w:eastAsia="MS Gothic" w:cs="MS Gothic"/>
        </w:rPr>
        <w:t>い</w:t>
      </w:r>
      <w:r>
        <w:rPr>
          <w:rFonts w:ascii="Microsoft YaHei" w:hAnsi="Microsoft YaHei" w:eastAsia="Microsoft YaHei" w:cs="Microsoft YaHei"/>
        </w:rPr>
        <w:t>起</w:t>
      </w:r>
      <w:r>
        <w:rPr>
          <w:rFonts w:ascii="MS Gothic" w:hAnsi="MS Gothic" w:eastAsia="MS Gothic" w:cs="MS Gothic"/>
        </w:rPr>
        <w:t>こされるのである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Jeg hørte en annen røst fra himmelen som sa: Gå ut fra henne, mitt folk, for at dere ikke skal bli delaktige i hennes synder, og for at dere ikke skal få del i hennes plager. For hennes synder har nådd like opp til himmelen, og Gud har kommet hennes misgjerninger i hu. Gjengjeld henne slik som hun har gjengjeldt dere, og gi henne dobbelt igjen, dobbelt etter hennes gjerninger; i det beger som hun har fylt, skal dere fylle dobbelt til henne. Åpenbaringen 18:4–6.</w:t>
      </w:r>
    </w:p>
    <w:p>
      <w:pPr>
        <w:pStyle w:val="ArticleBody"/>
        <w:jc w:val="left"/>
      </w:pPr>
      <w:r>
        <w:rPr>
          <w:rFonts w:ascii="Times New Roman" w:hAnsi="Times New Roman" w:eastAsia="Times New Roman" w:cs="Times New Roman"/>
        </w:rPr>
        <w:t>C’est là que les enfants, ou la dernière génération prophétique de l’adventisme laodicéen, est retranchée. C’est là que ceux que Daniel appelle les « méchants » manifestent qu’ils ont « oublié » la loi de Dieu, et la partie de la loi de Dieu qu’ils ont oubliée, ce sont les règles ou lois prophétiques de Dieu. Le contexte montre clairement qu’ils sont dépourvus de la « connaissance » qui s’accroît lorsque le livre de Daniel est descellé. Daniel oppose les « sages » aux « méchants », et Jésus les « vierges sages » aux « vierges folles ». Amos identifie la même catégorie, les « belles vierges », comme étant celles qui sont incapables de trouver le message prophétique représenté par l’orient, le nord et les mers.</w:t>
      </w:r>
    </w:p>
    <w:p>
      <w:pPr>
        <w:pStyle w:val="ArticleScripture"/>
        <w:jc w:val="left"/>
      </w:pPr>
      <w:r>
        <w:rPr>
          <w:rFonts w:ascii="Times New Roman" w:hAnsi="Times New Roman" w:eastAsia="Times New Roman" w:cs="Times New Roman"/>
        </w:rPr>
        <w:t>Voici, les jours viennent, dit le Seigneur, l’Éternel, où j’enverrai dans le pays une famine, non une famine de pain, ni une soif d’eau, mais celle d’entendre les paroles de l’Éternel. Ils erreront d’une mer à l’autre, et du nord jusqu’à l’orient; ils iront çà et là pour chercher la parole de l’Éternel, et ils ne la trouveront pas. En ce jour-là, les belles vierges et les jeunes hommes défailliront de soif. Ceux qui jurent par le péché de Samarie, et qui disent: Ton dieu, ô Dan, est vivant! et: La voie de Beer-Schéba est vivante! ceux-là tomberont, et ne se relèveront jamais. Amos 8:11–14.</w:t>
      </w:r>
    </w:p>
    <w:p>
      <w:pPr>
        <w:pStyle w:val="ArticleBody"/>
        <w:jc w:val="left"/>
      </w:pPr>
      <w:r>
        <w:rPr>
          <w:rFonts w:ascii="Times New Roman" w:hAnsi="Times New Roman" w:eastAsia="Times New Roman" w:cs="Times New Roman"/>
        </w:rPr>
        <w:t>Dahil ang target language na “ff” ay hindi malinaw na natukoy, kailangan ko muna ng paglilinaw kung aling wika ang ibig mong sabihin. Pakispecify ang “ff” upang maisalin ko nang wasto ang teksto.</w:t>
      </w:r>
    </w:p>
    <w:p>
      <w:pPr>
        <w:pStyle w:val="ArticleScripture"/>
        <w:jc w:val="left"/>
      </w:pPr>
      <w:r>
        <w:rPr>
          <w:rFonts w:ascii="Times New Roman" w:hAnsi="Times New Roman" w:eastAsia="Times New Roman" w:cs="Times New Roman"/>
        </w:rPr>
        <w:t>Ale noviny z východu a ze severu ho znepokojí; proto vytáhne s velikou zuřivostí, aby hubil a mnohé docela vyhladil. A postaví stany svého paláce mezi moři na nádherné svaté hoře; avšak dojde ke svému konci a nikdo mu nepomůže. Daniel 11,44.45.</w:t>
      </w:r>
    </w:p>
    <w:p>
      <w:pPr>
        <w:pStyle w:val="ArticleBody"/>
        <w:jc w:val="left"/>
      </w:pPr>
      <w:r>
        <w:rPr>
          <w:rFonts w:ascii="Times New Roman" w:hAnsi="Times New Roman" w:eastAsia="Times New Roman" w:cs="Times New Roman"/>
        </w:rPr>
        <w:t>Die törichten, schönen und gottlosen Jungfrauen, denen das Öl fehlt, die Botschaft des Ostens, des Nordens und der Meere, die die Erkenntnis und Gottes Bund und Gesetz verworfen haben, werden von Gott beim Sonntagsgesetz in Erinnerung gerufen. In den Versen zehn bis fünfzehn werden drei Kämpfe dargestellt. Ich trenne diese drei Kämpfe in drei Geschichtsverläufe, doch bilden sie zusammengenommen auch eine Linie; denn Vers zehn eröffnet die „Zeit des Endes“ und leitet daher einen dreistufigen Prüfungsprozess ein.</w:t>
      </w:r>
    </w:p>
    <w:p>
      <w:pPr>
        <w:pStyle w:val="ArticleBody"/>
        <w:jc w:val="left"/>
      </w:pPr>
      <w:r>
        <w:rPr>
          <w:rFonts w:ascii="Myanmar Text" w:hAnsi="Myanmar Text" w:eastAsia="Myanmar Text" w:cs="Myanmar Text"/>
        </w:rPr>
        <w:t>ခွက်ဒ္ဒုရာစာပိုဒ်</w:t>
      </w:r>
      <w:r>
        <w:rPr>
          <w:rFonts w:ascii="Times New Roman" w:hAnsi="Times New Roman" w:eastAsia="Times New Roman" w:cs="Times New Roman"/>
        </w:rPr>
        <w:t xml:space="preserve"> </w:t>
      </w:r>
      <w:r>
        <w:rPr>
          <w:rFonts w:ascii="Myanmar Text" w:hAnsi="Myanmar Text" w:eastAsia="Myanmar Text" w:cs="Myanmar Text"/>
        </w:rPr>
        <w:t>ဆယ်သည်</w:t>
      </w:r>
      <w:r>
        <w:rPr>
          <w:rFonts w:ascii="Times New Roman" w:hAnsi="Times New Roman" w:eastAsia="Times New Roman" w:cs="Times New Roman"/>
        </w:rPr>
        <w:t xml:space="preserve"> </w:t>
      </w:r>
      <w:r>
        <w:rPr>
          <w:rFonts w:ascii="Myanmar Text" w:hAnsi="Myanmar Text" w:eastAsia="Myanmar Text" w:cs="Myanmar Text"/>
        </w:rPr>
        <w:t>လေဝိဝတ်ပြုကျမ်း</w:t>
      </w:r>
      <w:r>
        <w:rPr>
          <w:rFonts w:ascii="Times New Roman" w:hAnsi="Times New Roman" w:eastAsia="Times New Roman" w:cs="Times New Roman"/>
        </w:rPr>
        <w:t xml:space="preserve"> </w:t>
      </w:r>
      <w:r>
        <w:rPr>
          <w:rFonts w:ascii="Myanmar Text" w:hAnsi="Myanmar Text" w:eastAsia="Myanmar Text" w:cs="Myanmar Text"/>
        </w:rPr>
        <w:t>နှစ်ဆယ့်ခြောက်၏</w:t>
      </w:r>
      <w:r>
        <w:rPr>
          <w:rFonts w:ascii="Times New Roman" w:hAnsi="Times New Roman" w:eastAsia="Times New Roman" w:cs="Times New Roman"/>
        </w:rPr>
        <w:t xml:space="preserve"> “</w:t>
      </w:r>
      <w:r>
        <w:rPr>
          <w:rFonts w:ascii="Myanmar Text" w:hAnsi="Myanmar Text" w:eastAsia="Myanmar Text" w:cs="Myanmar Text"/>
        </w:rPr>
        <w:t>အကြိမ်ခုနစ်ကြိမ်</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ချိတ်ဆက်နေသဖြင့်၊</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အက်ဒဗန်တစ်ဝါဒ၏</w:t>
      </w:r>
      <w:r>
        <w:rPr>
          <w:rFonts w:ascii="Times New Roman" w:hAnsi="Times New Roman" w:eastAsia="Times New Roman" w:cs="Times New Roman"/>
        </w:rPr>
        <w:t xml:space="preserve"> </w:t>
      </w:r>
      <w:r>
        <w:rPr>
          <w:rFonts w:ascii="Myanmar Text" w:hAnsi="Myanmar Text" w:eastAsia="Myanmar Text" w:cs="Myanmar Text"/>
        </w:rPr>
        <w:t>အခြေခံများနှင့်</w:t>
      </w:r>
      <w:r>
        <w:rPr>
          <w:rFonts w:ascii="Times New Roman" w:hAnsi="Times New Roman" w:eastAsia="Times New Roman" w:cs="Times New Roman"/>
        </w:rPr>
        <w:t xml:space="preserve"> </w:t>
      </w:r>
      <w:r>
        <w:rPr>
          <w:rFonts w:ascii="Myanmar Text" w:hAnsi="Myanmar Text" w:eastAsia="Myanmar Text" w:cs="Myanmar Text"/>
        </w:rPr>
        <w:t>ဝီလျံ</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အမှုတော်နှင့်လည်း</w:t>
      </w:r>
      <w:r>
        <w:rPr>
          <w:rFonts w:ascii="Times New Roman" w:hAnsi="Times New Roman" w:eastAsia="Times New Roman" w:cs="Times New Roman"/>
        </w:rPr>
        <w:t xml:space="preserve"> </w:t>
      </w:r>
      <w:r>
        <w:rPr>
          <w:rFonts w:ascii="Myanmar Text" w:hAnsi="Myanmar Text" w:eastAsia="Myanmar Text" w:cs="Myanmar Text"/>
        </w:rPr>
        <w:t>ဆက်နွှယ်နေသည်။</w:t>
      </w:r>
      <w:r>
        <w:rPr>
          <w:rFonts w:ascii="Times New Roman" w:hAnsi="Times New Roman" w:eastAsia="Times New Roman" w:cs="Times New Roman"/>
        </w:rPr>
        <w:t xml:space="preserve"> </w:t>
      </w:r>
      <w:r>
        <w:rPr>
          <w:rFonts w:ascii="Myanmar Text" w:hAnsi="Myanmar Text" w:eastAsia="Myanmar Text" w:cs="Myanmar Text"/>
        </w:rPr>
        <w:t>အဆင့်သုံးဆင့်အနက်</w:t>
      </w:r>
      <w:r>
        <w:rPr>
          <w:rFonts w:ascii="Times New Roman" w:hAnsi="Times New Roman" w:eastAsia="Times New Roman" w:cs="Times New Roman"/>
        </w:rPr>
        <w:t xml:space="preserve"> </w:t>
      </w:r>
      <w:r>
        <w:rPr>
          <w:rFonts w:ascii="Myanmar Text" w:hAnsi="Myanmar Text" w:eastAsia="Myanmar Text" w:cs="Myanmar Text"/>
        </w:rPr>
        <w:t>ဒုတိယအဆင့်သည်</w:t>
      </w:r>
      <w:r>
        <w:rPr>
          <w:rFonts w:ascii="Times New Roman" w:hAnsi="Times New Roman" w:eastAsia="Times New Roman" w:cs="Times New Roman"/>
        </w:rPr>
        <w:t xml:space="preserve"> </w:t>
      </w:r>
      <w:r>
        <w:rPr>
          <w:rFonts w:ascii="Myanmar Text" w:hAnsi="Myanmar Text" w:eastAsia="Myanmar Text" w:cs="Myanmar Text"/>
        </w:rPr>
        <w:t>မျက်မြင်ဆိုင်ရာ</w:t>
      </w:r>
      <w:r>
        <w:rPr>
          <w:rFonts w:ascii="Times New Roman" w:hAnsi="Times New Roman" w:eastAsia="Times New Roman" w:cs="Times New Roman"/>
        </w:rPr>
        <w:t xml:space="preserve"> </w:t>
      </w:r>
      <w:r>
        <w:rPr>
          <w:rFonts w:ascii="Myanmar Text" w:hAnsi="Myanmar Text" w:eastAsia="Myanmar Text" w:cs="Myanmar Text"/>
        </w:rPr>
        <w:t>စမ်းသပ်မှုတစ်ရပ်ဖြစ်ပြီး၊</w:t>
      </w:r>
      <w:r>
        <w:rPr>
          <w:rFonts w:ascii="Times New Roman" w:hAnsi="Times New Roman" w:eastAsia="Times New Roman" w:cs="Times New Roman"/>
        </w:rPr>
        <w:t xml:space="preserve"> </w:t>
      </w:r>
      <w:r>
        <w:rPr>
          <w:rFonts w:ascii="Myanmar Text" w:hAnsi="Myanmar Text" w:eastAsia="Myanmar Text" w:cs="Myanmar Text"/>
        </w:rPr>
        <w:t>စာပိုဒ်</w:t>
      </w:r>
      <w:r>
        <w:rPr>
          <w:rFonts w:ascii="Times New Roman" w:hAnsi="Times New Roman" w:eastAsia="Times New Roman" w:cs="Times New Roman"/>
        </w:rPr>
        <w:t xml:space="preserve"> </w:t>
      </w:r>
      <w:r>
        <w:rPr>
          <w:rFonts w:ascii="Myanmar Text" w:hAnsi="Myanmar Text" w:eastAsia="Myanmar Text" w:cs="Myanmar Text"/>
        </w:rPr>
        <w:t>ဆယ့်တစ်၏</w:t>
      </w:r>
      <w:r>
        <w:rPr>
          <w:rFonts w:ascii="Times New Roman" w:hAnsi="Times New Roman" w:eastAsia="Times New Roman" w:cs="Times New Roman"/>
        </w:rPr>
        <w:t xml:space="preserve"> </w:t>
      </w:r>
      <w:r>
        <w:rPr>
          <w:rFonts w:ascii="Myanmar Text" w:hAnsi="Myanmar Text" w:eastAsia="Myanmar Text" w:cs="Myanmar Text"/>
        </w:rPr>
        <w:t>အလင်းတော်နှင့်</w:t>
      </w:r>
      <w:r>
        <w:rPr>
          <w:rFonts w:ascii="Times New Roman" w:hAnsi="Times New Roman" w:eastAsia="Times New Roman" w:cs="Times New Roman"/>
        </w:rPr>
        <w:t xml:space="preserve"> </w:t>
      </w:r>
      <w:r>
        <w:rPr>
          <w:rFonts w:ascii="Myanmar Text" w:hAnsi="Myanmar Text" w:eastAsia="Myanmar Text" w:cs="Myanmar Text"/>
        </w:rPr>
        <w:t>ယူကရိန်းစစ်ပွဲ</w:t>
      </w:r>
      <w:r>
        <w:rPr>
          <w:rFonts w:ascii="Times New Roman" w:hAnsi="Times New Roman" w:eastAsia="Times New Roman" w:cs="Times New Roman"/>
        </w:rPr>
        <w:t xml:space="preserve"> </w:t>
      </w:r>
      <w:r>
        <w:rPr>
          <w:rFonts w:ascii="Myanmar Text" w:hAnsi="Myanmar Text" w:eastAsia="Myanmar Text" w:cs="Myanmar Text"/>
        </w:rPr>
        <w:t>ပေါ်ပင်လာချိန်မှ</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ဤဒုတိယစမ်းသပ်မှုသည်</w:t>
      </w:r>
      <w:r>
        <w:rPr>
          <w:rFonts w:ascii="Times New Roman" w:hAnsi="Times New Roman" w:eastAsia="Times New Roman" w:cs="Times New Roman"/>
        </w:rPr>
        <w:t xml:space="preserve"> </w:t>
      </w:r>
      <w:r>
        <w:rPr>
          <w:rFonts w:ascii="Myanmar Text" w:hAnsi="Myanmar Text" w:eastAsia="Myanmar Text" w:cs="Myanmar Text"/>
        </w:rPr>
        <w:t>မျက်မြင်ဆိုင်ရာ</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ပရောဖက်ပြုနှုတ်ကပတ်တော်၏</w:t>
      </w:r>
      <w:r>
        <w:rPr>
          <w:rFonts w:ascii="Times New Roman" w:hAnsi="Times New Roman" w:eastAsia="Times New Roman" w:cs="Times New Roman"/>
        </w:rPr>
        <w:t xml:space="preserve"> </w:t>
      </w:r>
      <w:r>
        <w:rPr>
          <w:rFonts w:ascii="Myanmar Text" w:hAnsi="Myanmar Text" w:eastAsia="Myanmar Text" w:cs="Myanmar Text"/>
        </w:rPr>
        <w:t>အလင်း၌</w:t>
      </w:r>
      <w:r>
        <w:rPr>
          <w:rFonts w:ascii="Times New Roman" w:hAnsi="Times New Roman" w:eastAsia="Times New Roman" w:cs="Times New Roman"/>
        </w:rPr>
        <w:t xml:space="preserve"> </w:t>
      </w:r>
      <w:r>
        <w:rPr>
          <w:rFonts w:ascii="Myanmar Text" w:hAnsi="Myanmar Text" w:eastAsia="Myanmar Text" w:cs="Myanmar Text"/>
        </w:rPr>
        <w:t>လက်ရှိဖြစ်ရပ်များကို</w:t>
      </w:r>
      <w:r>
        <w:rPr>
          <w:rFonts w:ascii="Times New Roman" w:hAnsi="Times New Roman" w:eastAsia="Times New Roman" w:cs="Times New Roman"/>
        </w:rPr>
        <w:t xml:space="preserve"> </w:t>
      </w:r>
      <w:r>
        <w:rPr>
          <w:rFonts w:ascii="Myanmar Text" w:hAnsi="Myanmar Text" w:eastAsia="Myanmar Text" w:cs="Myanmar Text"/>
        </w:rPr>
        <w:t>အသိအမှတ်ပြုနိုင်စွမ်းနှင့်</w:t>
      </w:r>
      <w:r>
        <w:rPr>
          <w:rFonts w:ascii="Times New Roman" w:hAnsi="Times New Roman" w:eastAsia="Times New Roman" w:cs="Times New Roman"/>
        </w:rPr>
        <w:t xml:space="preserve"> </w:t>
      </w:r>
      <w:r>
        <w:rPr>
          <w:rFonts w:ascii="Myanmar Text" w:hAnsi="Myanmar Text" w:eastAsia="Myanmar Text" w:cs="Myanmar Text"/>
        </w:rPr>
        <w:t>သက်ဆိုင်သော</w:t>
      </w:r>
      <w:r>
        <w:rPr>
          <w:rFonts w:ascii="Times New Roman" w:hAnsi="Times New Roman" w:eastAsia="Times New Roman" w:cs="Times New Roman"/>
        </w:rPr>
        <w:t xml:space="preserve"> </w:t>
      </w:r>
      <w:r>
        <w:rPr>
          <w:rFonts w:ascii="Myanmar Text" w:hAnsi="Myanmar Text" w:eastAsia="Myanmar Text" w:cs="Myanmar Text"/>
        </w:rPr>
        <w:t>စမ်းသပ်မှုတစ်ရပ်ကို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တတိယစမ်းသပ်မှုမှာ</w:t>
      </w:r>
      <w:r>
        <w:rPr>
          <w:rFonts w:ascii="Times New Roman" w:hAnsi="Times New Roman" w:eastAsia="Times New Roman" w:cs="Times New Roman"/>
        </w:rPr>
        <w:t xml:space="preserve"> </w:t>
      </w:r>
      <w:r>
        <w:rPr>
          <w:rFonts w:ascii="Myanmar Text" w:hAnsi="Myanmar Text" w:eastAsia="Myanmar Text" w:cs="Myanmar Text"/>
        </w:rPr>
        <w:t>စာပိုဒ်</w:t>
      </w:r>
      <w:r>
        <w:rPr>
          <w:rFonts w:ascii="Times New Roman" w:hAnsi="Times New Roman" w:eastAsia="Times New Roman" w:cs="Times New Roman"/>
        </w:rPr>
        <w:t xml:space="preserve"> </w:t>
      </w:r>
      <w:r>
        <w:rPr>
          <w:rFonts w:ascii="Myanmar Text" w:hAnsi="Myanmar Text" w:eastAsia="Myanmar Text" w:cs="Myanmar Text"/>
        </w:rPr>
        <w:t>ဆယ့်ငါး၏</w:t>
      </w:r>
      <w:r>
        <w:rPr>
          <w:rFonts w:ascii="Times New Roman" w:hAnsi="Times New Roman" w:eastAsia="Times New Roman" w:cs="Times New Roman"/>
        </w:rPr>
        <w:t xml:space="preserve"> </w:t>
      </w:r>
      <w:r>
        <w:rPr>
          <w:rFonts w:ascii="Myanmar Text" w:hAnsi="Myanmar Text" w:eastAsia="Myanmar Text" w:cs="Myanmar Text"/>
        </w:rPr>
        <w:t>ပန်နီယံတိုက်ပွဲဖြစ်ပြီး၊</w:t>
      </w:r>
      <w:r>
        <w:rPr>
          <w:rFonts w:ascii="Times New Roman" w:hAnsi="Times New Roman" w:eastAsia="Times New Roman" w:cs="Times New Roman"/>
        </w:rPr>
        <w:t xml:space="preserve"> </w:t>
      </w:r>
      <w:r>
        <w:rPr>
          <w:rFonts w:ascii="Myanmar Text" w:hAnsi="Myanmar Text" w:eastAsia="Myanmar Text" w:cs="Myanmar Text"/>
        </w:rPr>
        <w:t>ထိုအရပ်၌</w:t>
      </w:r>
      <w:r>
        <w:rPr>
          <w:rFonts w:ascii="Times New Roman" w:hAnsi="Times New Roman" w:eastAsia="Times New Roman" w:cs="Times New Roman"/>
        </w:rPr>
        <w:t xml:space="preserve"> </w:t>
      </w:r>
      <w:r>
        <w:rPr>
          <w:rFonts w:ascii="Myanmar Text" w:hAnsi="Myanmar Text" w:eastAsia="Myanmar Text" w:cs="Myanmar Text"/>
        </w:rPr>
        <w:t>ဆိမုန်</w:t>
      </w:r>
      <w:r>
        <w:rPr>
          <w:rFonts w:ascii="Times New Roman" w:hAnsi="Times New Roman" w:eastAsia="Times New Roman" w:cs="Times New Roman"/>
        </w:rPr>
        <w:t xml:space="preserve"> </w:t>
      </w:r>
      <w:r>
        <w:rPr>
          <w:rFonts w:ascii="Myanmar Text" w:hAnsi="Myanmar Text" w:eastAsia="Myanmar Text" w:cs="Myanmar Text"/>
        </w:rPr>
        <w:t>ဘာဂျိုးနား၏</w:t>
      </w:r>
      <w:r>
        <w:rPr>
          <w:rFonts w:ascii="Times New Roman" w:hAnsi="Times New Roman" w:eastAsia="Times New Roman" w:cs="Times New Roman"/>
        </w:rPr>
        <w:t xml:space="preserve"> </w:t>
      </w:r>
      <w:r>
        <w:rPr>
          <w:rFonts w:ascii="Myanmar Text" w:hAnsi="Myanmar Text" w:eastAsia="Myanmar Text" w:cs="Myanmar Text"/>
        </w:rPr>
        <w:t>အမည်ကို</w:t>
      </w:r>
      <w:r>
        <w:rPr>
          <w:rFonts w:ascii="Times New Roman" w:hAnsi="Times New Roman" w:eastAsia="Times New Roman" w:cs="Times New Roman"/>
        </w:rPr>
        <w:t xml:space="preserve"> </w:t>
      </w:r>
      <w:r>
        <w:rPr>
          <w:rFonts w:ascii="Myanmar Text" w:hAnsi="Myanmar Text" w:eastAsia="Myanmar Text" w:cs="Myanmar Text"/>
        </w:rPr>
        <w:t>ပေတရုဟု</w:t>
      </w:r>
      <w:r>
        <w:rPr>
          <w:rFonts w:ascii="Times New Roman" w:hAnsi="Times New Roman" w:eastAsia="Times New Roman" w:cs="Times New Roman"/>
        </w:rPr>
        <w:t xml:space="preserve"> </w:t>
      </w:r>
      <w:r>
        <w:rPr>
          <w:rFonts w:ascii="Myanmar Text" w:hAnsi="Myanmar Text" w:eastAsia="Myanmar Text" w:cs="Myanmar Text"/>
        </w:rPr>
        <w:t>ပြောင်းလဲပေးခဲ့သဖြင့်၊</w:t>
      </w:r>
      <w:r>
        <w:rPr>
          <w:rFonts w:ascii="Times New Roman" w:hAnsi="Times New Roman" w:eastAsia="Times New Roman" w:cs="Times New Roman"/>
        </w:rPr>
        <w:t xml:space="preserve"> </w:t>
      </w:r>
      <w:r>
        <w:rPr>
          <w:rFonts w:ascii="Myanmar Text" w:hAnsi="Myanmar Text" w:eastAsia="Myanmar Text" w:cs="Myanmar Text"/>
        </w:rPr>
        <w:t>စာပိုဒ်</w:t>
      </w:r>
      <w:r>
        <w:rPr>
          <w:rFonts w:ascii="Times New Roman" w:hAnsi="Times New Roman" w:eastAsia="Times New Roman" w:cs="Times New Roman"/>
        </w:rPr>
        <w:t xml:space="preserve"> </w:t>
      </w:r>
      <w:r>
        <w:rPr>
          <w:rFonts w:ascii="Myanmar Text" w:hAnsi="Myanmar Text" w:eastAsia="Myanmar Text" w:cs="Myanmar Text"/>
        </w:rPr>
        <w:t>ဆယ့်ခြောက်၏</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ကရုဏာကာလမပိတ်မီလေးတွင်</w:t>
      </w:r>
      <w:r>
        <w:rPr>
          <w:rFonts w:ascii="Times New Roman" w:hAnsi="Times New Roman" w:eastAsia="Times New Roman" w:cs="Times New Roman"/>
        </w:rPr>
        <w:t xml:space="preserve"> </w:t>
      </w:r>
      <w:r>
        <w:rPr>
          <w:rFonts w:ascii="Myanmar Text" w:hAnsi="Myanmar Text" w:eastAsia="Myanmar Text" w:cs="Myanmar Text"/>
        </w:rPr>
        <w:t>လူတစ်သိန်းလေးသောင်းလေးထောင်၏</w:t>
      </w:r>
      <w:r>
        <w:rPr>
          <w:rFonts w:ascii="Times New Roman" w:hAnsi="Times New Roman" w:eastAsia="Times New Roman" w:cs="Times New Roman"/>
        </w:rPr>
        <w:t xml:space="preserve"> </w:t>
      </w:r>
      <w:r>
        <w:rPr>
          <w:rFonts w:ascii="Myanmar Text" w:hAnsi="Myanmar Text" w:eastAsia="Myanmar Text" w:cs="Myanmar Text"/>
        </w:rPr>
        <w:t>တံဆိပ်ခတ်ခြင်းကို</w:t>
      </w:r>
      <w:r>
        <w:rPr>
          <w:rFonts w:ascii="Times New Roman" w:hAnsi="Times New Roman" w:eastAsia="Times New Roman" w:cs="Times New Roman"/>
        </w:rPr>
        <w:t xml:space="preserve"> </w:t>
      </w:r>
      <w:r>
        <w:rPr>
          <w:rFonts w:ascii="Myanmar Text" w:hAnsi="Myanmar Text" w:eastAsia="Myanmar Text" w:cs="Myanmar Text"/>
        </w:rPr>
        <w:t>အမှတ်အသားပြုခဲ့သည်။</w:t>
      </w:r>
    </w:p>
    <w:p>
      <w:pPr>
        <w:pStyle w:val="ArticleBody"/>
        <w:jc w:val="left"/>
      </w:pPr>
      <w:r>
        <w:rPr>
          <w:rFonts w:ascii="Times New Roman" w:hAnsi="Times New Roman" w:eastAsia="Times New Roman" w:cs="Times New Roman"/>
        </w:rPr>
        <w:t>Lorsque nous considérons l’apparition d’Antiochus Magnus dans chacune des trois batailles représentées par les versets dix, onze et quinze, nous voyons aussi, dans l’histoire des versets neuf à seize, l’ascension et la chute du faux prophète de la prophétie biblique.</w:t>
      </w:r>
    </w:p>
    <w:p>
      <w:pPr>
        <w:pStyle w:val="ArticleBody"/>
        <w:jc w:val="left"/>
      </w:pPr>
      <w:r>
        <w:rPr>
          <w:rFonts w:ascii="Times New Roman" w:hAnsi="Times New Roman" w:eastAsia="Times New Roman" w:cs="Times New Roman"/>
        </w:rPr>
        <w:t>Les versets un à quatre identifient l’ascension et la chute de la puissance du dragon. Les versets neuf et dix identifient respectivement 1798 et 1989 et, ce faisant, les versets neuf à seize identifient l’ascension et la chute du faux prophète. Les versets quarante à quarante-cinq représentent l’ascension et la chute de la bête. Les versets neuf et dix correspondent également aux deux « temps de la fin » du verset quarante, en 1798 et en 1989.</w:t>
      </w:r>
    </w:p>
    <w:p>
      <w:pPr>
        <w:pStyle w:val="ArticleBody"/>
        <w:jc w:val="left"/>
      </w:pPr>
      <w:r>
        <w:rPr>
          <w:rFonts w:ascii="Times New Roman" w:hAnsi="Times New Roman" w:eastAsia="Times New Roman" w:cs="Times New Roman"/>
        </w:rPr>
        <w:t>Soeur White nous indique clairement que mal comprendre le « temps de la fin » engendre de la confusion quant à l’endroit où il convient d’appliquer les prophéties.</w:t>
      </w:r>
    </w:p>
    <w:p>
      <w:pPr>
        <w:pStyle w:val="ArticleScripture"/>
        <w:jc w:val="left"/>
      </w:pPr>
      <w:r>
        <w:rPr>
          <w:rFonts w:ascii="Times New Roman" w:hAnsi="Times New Roman" w:eastAsia="Times New Roman" w:cs="Times New Roman"/>
        </w:rPr>
        <w:t>«Большинство и сегодня, в 1897 году, поступают так же, потому что не имели опыта в отношении испытывающей вести, заключённой в вестях первого, второго и третьего ангелов. Есть такие, которые исследуют Писания, стремясь найти доказательство того, что эти вести всё ещё относятся к будущему. Они собирают свидетельства истинности этих вестей, но не отводят им надлежащего места в пророческой истории. Поэтому таковые находятся в опасности ввести народ в заблуждение относительно определения места этих вестей. Они не видят и не разумеют времени конца и не знают, куда следует отнести эти вести. День Божий приближается неслышной поступью, а мнимо мудрые и великие люди разглагольствуют о “высшем образовании”, которое, как они полагают, происходит от конечных людей. Они не знают ни знамений пришествия Христа, ни конца мира». Sermons and Talks, volume 1, 290.</w:t>
      </w:r>
    </w:p>
    <w:p>
      <w:pPr>
        <w:pStyle w:val="ArticleBody"/>
        <w:jc w:val="left"/>
      </w:pP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छंद</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कब</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पवित्रशास्त्रों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भविष्यद्वक्ताओं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आमोस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सुंदर</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उठतीं।</w:t>
      </w:r>
    </w:p>
    <w:p>
      <w:pPr>
        <w:pStyle w:val="ArticleBody"/>
        <w:jc w:val="left"/>
      </w:pPr>
      <w:r>
        <w:rPr>
          <w:rFonts w:ascii="Nirmala UI" w:hAnsi="Nirmala UI" w:eastAsia="Nirmala UI" w:cs="Nirmala UI"/>
        </w:rPr>
        <w:t>ಈಗೆಯ</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ಹನ್ನೊಂದನೇ</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ಮೊದಲನೆಯ</w:t>
      </w:r>
      <w:r>
        <w:rPr>
          <w:rFonts w:ascii="Times New Roman" w:hAnsi="Times New Roman" w:eastAsia="Times New Roman" w:cs="Times New Roman"/>
        </w:rPr>
        <w:t xml:space="preserve"> </w:t>
      </w:r>
      <w:r>
        <w:rPr>
          <w:rFonts w:ascii="Nirmala UI" w:hAnsi="Nirmala UI" w:eastAsia="Nirmala UI" w:cs="Nirmala UI"/>
        </w:rPr>
        <w:t>ವಚನದಲ್ಲಿ</w:t>
      </w:r>
      <w:r>
        <w:rPr>
          <w:rFonts w:ascii="Times New Roman" w:hAnsi="Times New Roman" w:eastAsia="Times New Roman" w:cs="Times New Roman"/>
        </w:rPr>
        <w:t xml:space="preserve"> </w:t>
      </w:r>
      <w:r>
        <w:rPr>
          <w:rFonts w:ascii="Nirmala UI" w:hAnsi="Nirmala UI" w:eastAsia="Nirmala UI" w:cs="Nirmala UI"/>
        </w:rPr>
        <w:t>ದಾರಿಯೂಷನು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ಸೈರಸನು</w:t>
      </w:r>
      <w:r>
        <w:rPr>
          <w:rFonts w:ascii="Times New Roman" w:hAnsi="Times New Roman" w:eastAsia="Times New Roman" w:cs="Times New Roman"/>
        </w:rPr>
        <w:t xml:space="preserve"> 1989</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ಅಂತ್ಯದ</w:t>
      </w:r>
      <w:r>
        <w:rPr>
          <w:rFonts w:ascii="Times New Roman" w:hAnsi="Times New Roman" w:eastAsia="Times New Roman" w:cs="Times New Roman"/>
        </w:rPr>
        <w:t xml:space="preserve"> </w:t>
      </w:r>
      <w:r>
        <w:rPr>
          <w:rFonts w:ascii="Nirmala UI" w:hAnsi="Nirmala UI" w:eastAsia="Nirmala UI" w:cs="Nirmala UI"/>
        </w:rPr>
        <w:t>ಕಾಲವನ್ನು</w:t>
      </w:r>
      <w:r>
        <w:rPr>
          <w:rFonts w:ascii="Times New Roman" w:hAnsi="Times New Roman" w:eastAsia="Times New Roman" w:cs="Times New Roman"/>
        </w:rPr>
        <w:t xml:space="preserve"> </w:t>
      </w:r>
      <w:r>
        <w:rPr>
          <w:rFonts w:ascii="Nirmala UI" w:hAnsi="Nirmala UI" w:eastAsia="Nirmala UI" w:cs="Nirmala UI"/>
        </w:rPr>
        <w:t>ಗುರುತಿಸುವುದಕ್ಕಾಗಿ</w:t>
      </w:r>
      <w:r>
        <w:rPr>
          <w:rFonts w:ascii="Times New Roman" w:hAnsi="Times New Roman" w:eastAsia="Times New Roman" w:cs="Times New Roman"/>
        </w:rPr>
        <w:t xml:space="preserve"> </w:t>
      </w:r>
      <w:r>
        <w:rPr>
          <w:rFonts w:ascii="Nirmala UI" w:hAnsi="Nirmala UI" w:eastAsia="Nirmala UI" w:cs="Nirmala UI"/>
        </w:rPr>
        <w:t>ಒಟ್ಟಾಗಿ</w:t>
      </w:r>
      <w:r>
        <w:rPr>
          <w:rFonts w:ascii="Times New Roman" w:hAnsi="Times New Roman" w:eastAsia="Times New Roman" w:cs="Times New Roman"/>
        </w:rPr>
        <w:t xml:space="preserve"> </w:t>
      </w:r>
      <w:r>
        <w:rPr>
          <w:rFonts w:ascii="Nirmala UI" w:hAnsi="Nirmala UI" w:eastAsia="Nirmala UI" w:cs="Nirmala UI"/>
        </w:rPr>
        <w:t>ನಿಲ್ಲುತ್ತಾರೆ</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ಪೂ</w:t>
      </w:r>
      <w:r>
        <w:rPr>
          <w:rFonts w:ascii="Times New Roman" w:hAnsi="Times New Roman" w:eastAsia="Times New Roman" w:cs="Times New Roman"/>
        </w:rPr>
        <w:t>. 246</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ಪ್ಟೋಲೆಮಿ</w:t>
      </w:r>
      <w:r>
        <w:rPr>
          <w:rFonts w:ascii="Times New Roman" w:hAnsi="Times New Roman" w:eastAsia="Times New Roman" w:cs="Times New Roman"/>
        </w:rPr>
        <w:t xml:space="preserve"> </w:t>
      </w:r>
      <w:r>
        <w:rPr>
          <w:rFonts w:ascii="Nirmala UI" w:hAnsi="Nirmala UI" w:eastAsia="Nirmala UI" w:cs="Nirmala UI"/>
        </w:rPr>
        <w:t>ಬಾಬೆಲಿಗೆ</w:t>
      </w:r>
      <w:r>
        <w:rPr>
          <w:rFonts w:ascii="Times New Roman" w:hAnsi="Times New Roman" w:eastAsia="Times New Roman" w:cs="Times New Roman"/>
        </w:rPr>
        <w:t xml:space="preserve"> </w:t>
      </w:r>
      <w:r>
        <w:rPr>
          <w:rFonts w:ascii="Nirmala UI" w:hAnsi="Nirmala UI" w:eastAsia="Nirmala UI" w:cs="Nirmala UI"/>
        </w:rPr>
        <w:t>ಹೋಗಿ</w:t>
      </w:r>
      <w:r>
        <w:rPr>
          <w:rFonts w:ascii="Times New Roman" w:hAnsi="Times New Roman" w:eastAsia="Times New Roman" w:cs="Times New Roman"/>
        </w:rPr>
        <w:t xml:space="preserve"> </w:t>
      </w:r>
      <w:r>
        <w:rPr>
          <w:rFonts w:ascii="Nirmala UI" w:hAnsi="Nirmala UI" w:eastAsia="Nirmala UI" w:cs="Nirmala UI"/>
        </w:rPr>
        <w:t>ಉತ್ತರದ</w:t>
      </w:r>
      <w:r>
        <w:rPr>
          <w:rFonts w:ascii="Times New Roman" w:hAnsi="Times New Roman" w:eastAsia="Times New Roman" w:cs="Times New Roman"/>
        </w:rPr>
        <w:t xml:space="preserve"> </w:t>
      </w:r>
      <w:r>
        <w:rPr>
          <w:rFonts w:ascii="Nirmala UI" w:hAnsi="Nirmala UI" w:eastAsia="Nirmala UI" w:cs="Nirmala UI"/>
        </w:rPr>
        <w:t>ರಾಜನನ್ನು</w:t>
      </w:r>
      <w:r>
        <w:rPr>
          <w:rFonts w:ascii="Times New Roman" w:hAnsi="Times New Roman" w:eastAsia="Times New Roman" w:cs="Times New Roman"/>
        </w:rPr>
        <w:t xml:space="preserve"> </w:t>
      </w:r>
      <w:r>
        <w:rPr>
          <w:rFonts w:ascii="Nirmala UI" w:hAnsi="Nirmala UI" w:eastAsia="Nirmala UI" w:cs="Nirmala UI"/>
        </w:rPr>
        <w:t>ಐಗುಪ್ತದಲ್ಲಿ</w:t>
      </w:r>
      <w:r>
        <w:rPr>
          <w:rFonts w:ascii="Times New Roman" w:hAnsi="Times New Roman" w:eastAsia="Times New Roman" w:cs="Times New Roman"/>
        </w:rPr>
        <w:t xml:space="preserve"> </w:t>
      </w:r>
      <w:r>
        <w:rPr>
          <w:rFonts w:ascii="Nirmala UI" w:hAnsi="Nirmala UI" w:eastAsia="Nirmala UI" w:cs="Nirmala UI"/>
        </w:rPr>
        <w:t>ಬಂಧನಕ್ಕೆ</w:t>
      </w:r>
      <w:r>
        <w:rPr>
          <w:rFonts w:ascii="Times New Roman" w:hAnsi="Times New Roman" w:eastAsia="Times New Roman" w:cs="Times New Roman"/>
        </w:rPr>
        <w:t xml:space="preserve"> </w:t>
      </w:r>
      <w:r>
        <w:rPr>
          <w:rFonts w:ascii="Nirmala UI" w:hAnsi="Nirmala UI" w:eastAsia="Nirmala UI" w:cs="Nirmala UI"/>
        </w:rPr>
        <w:t>ತೆಗೆದುಕೊಂಡಾಗ</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ಪರ್ಯಾಯವಾಗಿ</w:t>
      </w:r>
      <w:r>
        <w:rPr>
          <w:rFonts w:ascii="Times New Roman" w:hAnsi="Times New Roman" w:eastAsia="Times New Roman" w:cs="Times New Roman"/>
        </w:rPr>
        <w:t xml:space="preserve"> </w:t>
      </w:r>
      <w:r>
        <w:rPr>
          <w:rFonts w:ascii="Nirmala UI" w:hAnsi="Nirmala UI" w:eastAsia="Nirmala UI" w:cs="Nirmala UI"/>
        </w:rPr>
        <w:t>ಏಳನೆಯ</w:t>
      </w:r>
      <w:r>
        <w:rPr>
          <w:rFonts w:ascii="Times New Roman" w:hAnsi="Times New Roman" w:eastAsia="Times New Roman" w:cs="Times New Roman"/>
        </w:rPr>
        <w:t xml:space="preserve"> </w:t>
      </w:r>
      <w:r>
        <w:rPr>
          <w:rFonts w:ascii="Nirmala UI" w:hAnsi="Nirmala UI" w:eastAsia="Nirmala UI" w:cs="Nirmala UI"/>
        </w:rPr>
        <w:t>ವಚನದಿಂದ</w:t>
      </w:r>
      <w:r>
        <w:rPr>
          <w:rFonts w:ascii="Times New Roman" w:hAnsi="Times New Roman" w:eastAsia="Times New Roman" w:cs="Times New Roman"/>
        </w:rPr>
        <w:t xml:space="preserve"> </w:t>
      </w:r>
      <w:r>
        <w:rPr>
          <w:rFonts w:ascii="Nirmala UI" w:hAnsi="Nirmala UI" w:eastAsia="Nirmala UI" w:cs="Nirmala UI"/>
        </w:rPr>
        <w:t>ಒಂಬತ್ತನೆಯ</w:t>
      </w:r>
      <w:r>
        <w:rPr>
          <w:rFonts w:ascii="Times New Roman" w:hAnsi="Times New Roman" w:eastAsia="Times New Roman" w:cs="Times New Roman"/>
        </w:rPr>
        <w:t xml:space="preserve"> </w:t>
      </w:r>
      <w:r>
        <w:rPr>
          <w:rFonts w:ascii="Nirmala UI" w:hAnsi="Nirmala UI" w:eastAsia="Nirmala UI" w:cs="Nirmala UI"/>
        </w:rPr>
        <w:t>ವಚನದವರೆಗೆ</w:t>
      </w:r>
      <w:r>
        <w:rPr>
          <w:rFonts w:ascii="Times New Roman" w:hAnsi="Times New Roman" w:eastAsia="Times New Roman" w:cs="Times New Roman"/>
        </w:rPr>
        <w:t xml:space="preserve"> </w:t>
      </w:r>
      <w:r>
        <w:rPr>
          <w:rFonts w:ascii="Nirmala UI" w:hAnsi="Nirmala UI" w:eastAsia="Nirmala UI" w:cs="Nirmala UI"/>
        </w:rPr>
        <w:t>ಸೂಚಿಸಲ್ಪಟ್ಟಿರುವ</w:t>
      </w:r>
      <w:r>
        <w:rPr>
          <w:rFonts w:ascii="Times New Roman" w:hAnsi="Times New Roman" w:eastAsia="Times New Roman" w:cs="Times New Roman"/>
        </w:rPr>
        <w:t xml:space="preserve"> 1798</w:t>
      </w:r>
      <w:r>
        <w:rPr>
          <w:rFonts w:ascii="Nirmala UI" w:hAnsi="Nirmala UI" w:eastAsia="Nirmala UI" w:cs="Nirmala UI"/>
        </w:rPr>
        <w:t>ನೇ</w:t>
      </w:r>
      <w:r>
        <w:rPr>
          <w:rFonts w:ascii="Times New Roman" w:hAnsi="Times New Roman" w:eastAsia="Times New Roman" w:cs="Times New Roman"/>
        </w:rPr>
        <w:t xml:space="preserve"> </w:t>
      </w:r>
      <w:r>
        <w:rPr>
          <w:rFonts w:ascii="Nirmala UI" w:hAnsi="Nirmala UI" w:eastAsia="Nirmala UI" w:cs="Nirmala UI"/>
        </w:rPr>
        <w:t>ವರ್ಷವನ್ನು</w:t>
      </w:r>
      <w:r>
        <w:rPr>
          <w:rFonts w:ascii="Times New Roman" w:hAnsi="Times New Roman" w:eastAsia="Times New Roman" w:cs="Times New Roman"/>
        </w:rPr>
        <w:t xml:space="preserve"> </w:t>
      </w:r>
      <w:r>
        <w:rPr>
          <w:rFonts w:ascii="Nirmala UI" w:hAnsi="Nirmala UI" w:eastAsia="Nirmala UI" w:cs="Nirmala UI"/>
        </w:rPr>
        <w:t>ಪ್ರತಿರೂಪಗೊಳಿಸುತ್ತಿತ್ತು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ಅಂತ್ಯದ</w:t>
      </w:r>
      <w:r>
        <w:rPr>
          <w:rFonts w:ascii="Times New Roman" w:hAnsi="Times New Roman" w:eastAsia="Times New Roman" w:cs="Times New Roman"/>
        </w:rPr>
        <w:t xml:space="preserve"> </w:t>
      </w:r>
      <w:r>
        <w:rPr>
          <w:rFonts w:ascii="Nirmala UI" w:hAnsi="Nirmala UI" w:eastAsia="Nirmala UI" w:cs="Nirmala UI"/>
        </w:rPr>
        <w:t>ಕಾಲ</w:t>
      </w:r>
      <w:r>
        <w:rPr>
          <w:rFonts w:ascii="Times New Roman" w:hAnsi="Times New Roman" w:eastAsia="Times New Roman" w:cs="Times New Roman"/>
        </w:rPr>
        <w:t>”</w:t>
      </w:r>
      <w:r>
        <w:rPr>
          <w:rFonts w:ascii="Nirmala UI" w:hAnsi="Nirmala UI" w:eastAsia="Nirmala UI" w:cs="Nirmala UI"/>
        </w:rPr>
        <w:t>ವಾಗಿತ್ತು</w:t>
      </w:r>
      <w:r>
        <w:rPr>
          <w:rFonts w:ascii="Times New Roman" w:hAnsi="Times New Roman" w:eastAsia="Times New Roman" w:cs="Times New Roman"/>
        </w:rPr>
        <w:t xml:space="preserve">. </w:t>
      </w:r>
      <w:r>
        <w:rPr>
          <w:rFonts w:ascii="Nirmala UI" w:hAnsi="Nirmala UI" w:eastAsia="Nirmala UI" w:cs="Nirmala UI"/>
        </w:rPr>
        <w:t>ಹತ್ತನೆಯ</w:t>
      </w:r>
      <w:r>
        <w:rPr>
          <w:rFonts w:ascii="Times New Roman" w:hAnsi="Times New Roman" w:eastAsia="Times New Roman" w:cs="Times New Roman"/>
        </w:rPr>
        <w:t xml:space="preserve"> </w:t>
      </w:r>
      <w:r>
        <w:rPr>
          <w:rFonts w:ascii="Nirmala UI" w:hAnsi="Nirmala UI" w:eastAsia="Nirmala UI" w:cs="Nirmala UI"/>
        </w:rPr>
        <w:t>ವಚನವು</w:t>
      </w:r>
      <w:r>
        <w:rPr>
          <w:rFonts w:ascii="Times New Roman" w:hAnsi="Times New Roman" w:eastAsia="Times New Roman" w:cs="Times New Roman"/>
        </w:rPr>
        <w:t xml:space="preserve"> 1989</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ಅಂತ್ಯದ</w:t>
      </w:r>
      <w:r>
        <w:rPr>
          <w:rFonts w:ascii="Times New Roman" w:hAnsi="Times New Roman" w:eastAsia="Times New Roman" w:cs="Times New Roman"/>
        </w:rPr>
        <w:t xml:space="preserve"> </w:t>
      </w:r>
      <w:r>
        <w:rPr>
          <w:rFonts w:ascii="Nirmala UI" w:hAnsi="Nirmala UI" w:eastAsia="Nirmala UI" w:cs="Nirmala UI"/>
        </w:rPr>
        <w:t>ಕಾಲ</w:t>
      </w:r>
      <w:r>
        <w:rPr>
          <w:rFonts w:ascii="Times New Roman" w:hAnsi="Times New Roman" w:eastAsia="Times New Roman" w:cs="Times New Roman"/>
        </w:rPr>
        <w:t>”</w:t>
      </w:r>
      <w:r>
        <w:rPr>
          <w:rFonts w:ascii="Nirmala UI" w:hAnsi="Nirmala UI" w:eastAsia="Nirmala UI" w:cs="Nirmala UI"/>
        </w:rPr>
        <w:t>ವಾಗಿದೆ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1798 est la fin des deux mille cinq cent vingt années de dispersion contre le royaume du nord d’Israël, lesquelles commencèrent en 723 av. J.-C. Mille deux cent soixante ans plus tard, en 538, la papauté régna pendant mille deux cent soixante ans, jusqu’en 1798. 1798 est un « temps de la fin », car c’est la fin des sept temps, ainsi que des mille deux cent soixante ans, de même que des mille deux cent quatre-vingt-dix ans de Daniel chapitre douze. 1798 est un « temps de la fin » et, par conséquent, 538 est aussi un « temps de la fin ». 538 est la fin des mille deux cent soixante ans durant lesquels le paganisme foula aux pieds le sanctuaire de Dieu et son armée, avant que la papauté n’accomplisse la même œuvre pendant la même durée.</w:t>
      </w:r>
    </w:p>
    <w:p>
      <w:pPr>
        <w:pStyle w:val="ArticleBody"/>
        <w:jc w:val="left"/>
      </w:pPr>
      <w:r>
        <w:rPr>
          <w:rFonts w:ascii="Times New Roman" w:hAnsi="Times New Roman" w:eastAsia="Times New Roman" w:cs="Times New Roman"/>
        </w:rPr>
        <w:t>538 predstavlja osnaženje papstva i time, ujedno, predstavlja ponovno osnaženje papstva u vrijeme nedjeljnog zakona. Nedjeljni zakon označava „vrijeme kraja“. Stoga šesnaesti redak, kao i prvi, sedmi do deveti i deseti redak, svi označavaju „vrijeme kraja“. Ovu istinu trebaju razumjeti oni koji znaju kada smjestiti poruke. Pompej je ispunio šesnaesti redak kada je zauzeo Jeruzalem. Nakon njega došli su Julije Cezar, August Cezar i Tiberije Cezar. Isusovo rođenje bilo je „vrijeme kraja“ i dogodilo se u vrijeme Augusta Cezara.</w:t>
      </w:r>
    </w:p>
    <w:p>
      <w:pPr>
        <w:pStyle w:val="ArticleScripture"/>
        <w:jc w:val="left"/>
      </w:pPr>
      <w:r>
        <w:rPr>
          <w:rFonts w:ascii="Times New Roman" w:hAnsi="Times New Roman" w:eastAsia="Times New Roman" w:cs="Times New Roman"/>
        </w:rPr>
        <w:t>Puis s’élèvera à sa place un exacteur d’impôts dans la gloire du royaume ; mais en peu de jours il sera brisé, ni par la colère, ni par la guerre. Daniel 11:20.</w:t>
      </w:r>
    </w:p>
    <w:p>
      <w:pPr>
        <w:pStyle w:val="ArticleBody"/>
        <w:jc w:val="left"/>
      </w:pPr>
      <w:r>
        <w:rPr>
          <w:rFonts w:ascii="Times New Roman" w:hAnsi="Times New Roman" w:eastAsia="Times New Roman" w:cs="Times New Roman"/>
        </w:rPr>
        <w:t>Le verset vingt s’ajoute à la liste des « temps de la fin » au chapitre onze, tout comme Tibère César, qui régnait lors de la crucifixion du Christ.</w:t>
      </w:r>
    </w:p>
    <w:p>
      <w:pPr>
        <w:pStyle w:val="ArticleScripture"/>
        <w:jc w:val="left"/>
      </w:pPr>
      <w:r>
        <w:rPr>
          <w:rFonts w:ascii="Times New Roman" w:hAnsi="Times New Roman" w:eastAsia="Times New Roman" w:cs="Times New Roman"/>
        </w:rPr>
        <w:t>Et à sa place s’élèvera un homme méprisable, à qui l’on ne donnera pas l’honneur de la royauté; mais il viendra en temps de paix, et s’emparera du royaume par des flatteries. Et les forces ennemies seront submergées devant lui comme par un torrent, et seront brisées; oui, même le prince de l’alliance. Daniel 11:21, 22.</w:t>
      </w:r>
    </w:p>
    <w:p>
      <w:pPr>
        <w:pStyle w:val="ArticleBody"/>
        <w:jc w:val="left"/>
      </w:pPr>
      <w:r>
        <w:rPr>
          <w:rFonts w:ascii="Times New Roman" w:hAnsi="Times New Roman" w:eastAsia="Times New Roman" w:cs="Times New Roman"/>
        </w:rPr>
        <w:t>La croix se tient au centre de la semaine prophétique que Christ est venu confirmer avec plusieurs.</w:t>
      </w:r>
    </w:p>
    <w:p>
      <w:pPr>
        <w:pStyle w:val="ArticleScripture"/>
        <w:jc w:val="left"/>
      </w:pPr>
      <w:r>
        <w:rPr>
          <w:rFonts w:ascii="Nirmala UI" w:hAnsi="Nirmala UI" w:eastAsia="Nirmala UI" w:cs="Nirmala UI"/>
        </w:rPr>
        <w:t>ಇವನು</w:t>
      </w:r>
      <w:r>
        <w:rPr>
          <w:rFonts w:ascii="Times New Roman" w:hAnsi="Times New Roman" w:eastAsia="Times New Roman" w:cs="Times New Roman"/>
        </w:rPr>
        <w:t xml:space="preserve"> </w:t>
      </w:r>
      <w:r>
        <w:rPr>
          <w:rFonts w:ascii="Nirmala UI" w:hAnsi="Nirmala UI" w:eastAsia="Nirmala UI" w:cs="Nirmala UI"/>
        </w:rPr>
        <w:t>ಅನೇಕರೊಡನೆ</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ವಾರದ</w:t>
      </w:r>
      <w:r>
        <w:rPr>
          <w:rFonts w:ascii="Times New Roman" w:hAnsi="Times New Roman" w:eastAsia="Times New Roman" w:cs="Times New Roman"/>
        </w:rPr>
        <w:t xml:space="preserve"> </w:t>
      </w:r>
      <w:r>
        <w:rPr>
          <w:rFonts w:ascii="Nirmala UI" w:hAnsi="Nirmala UI" w:eastAsia="Nirmala UI" w:cs="Nirmala UI"/>
        </w:rPr>
        <w:t>ಅವಧಿಗೆ</w:t>
      </w:r>
      <w:r>
        <w:rPr>
          <w:rFonts w:ascii="Times New Roman" w:hAnsi="Times New Roman" w:eastAsia="Times New Roman" w:cs="Times New Roman"/>
        </w:rPr>
        <w:t xml:space="preserve"> </w:t>
      </w:r>
      <w:r>
        <w:rPr>
          <w:rFonts w:ascii="Nirmala UI" w:hAnsi="Nirmala UI" w:eastAsia="Nirmala UI" w:cs="Nirmala UI"/>
        </w:rPr>
        <w:t>ಒಡಂಬಡಿಕೆಯನ್ನು</w:t>
      </w:r>
      <w:r>
        <w:rPr>
          <w:rFonts w:ascii="Times New Roman" w:hAnsi="Times New Roman" w:eastAsia="Times New Roman" w:cs="Times New Roman"/>
        </w:rPr>
        <w:t xml:space="preserve"> </w:t>
      </w:r>
      <w:r>
        <w:rPr>
          <w:rFonts w:ascii="Nirmala UI" w:hAnsi="Nirmala UI" w:eastAsia="Nirmala UI" w:cs="Nirmala UI"/>
        </w:rPr>
        <w:t>ದೃಢಪಡಿಸುವನು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ವಾರದ</w:t>
      </w:r>
      <w:r>
        <w:rPr>
          <w:rFonts w:ascii="Times New Roman" w:hAnsi="Times New Roman" w:eastAsia="Times New Roman" w:cs="Times New Roman"/>
        </w:rPr>
        <w:t xml:space="preserve"> </w:t>
      </w:r>
      <w:r>
        <w:rPr>
          <w:rFonts w:ascii="Nirmala UI" w:hAnsi="Nirmala UI" w:eastAsia="Nirmala UI" w:cs="Nirmala UI"/>
        </w:rPr>
        <w:t>ಮಧ್ಯದಲ್ಲಿ</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ಬಲಿಯನ್ನೂ</w:t>
      </w:r>
      <w:r>
        <w:rPr>
          <w:rFonts w:ascii="Times New Roman" w:hAnsi="Times New Roman" w:eastAsia="Times New Roman" w:cs="Times New Roman"/>
        </w:rPr>
        <w:t xml:space="preserve"> </w:t>
      </w:r>
      <w:r>
        <w:rPr>
          <w:rFonts w:ascii="Nirmala UI" w:hAnsi="Nirmala UI" w:eastAsia="Nirmala UI" w:cs="Nirmala UI"/>
        </w:rPr>
        <w:t>ನೈವೇದ್ಯವನ್ನೂ</w:t>
      </w:r>
      <w:r>
        <w:rPr>
          <w:rFonts w:ascii="Times New Roman" w:hAnsi="Times New Roman" w:eastAsia="Times New Roman" w:cs="Times New Roman"/>
        </w:rPr>
        <w:t xml:space="preserve"> </w:t>
      </w:r>
      <w:r>
        <w:rPr>
          <w:rFonts w:ascii="Nirmala UI" w:hAnsi="Nirmala UI" w:eastAsia="Nirmala UI" w:cs="Nirmala UI"/>
        </w:rPr>
        <w:t>ನಿಲ್ಲಿಸುವನು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ಅಸಹ್ಯಕರಗಳ</w:t>
      </w:r>
      <w:r>
        <w:rPr>
          <w:rFonts w:ascii="Times New Roman" w:hAnsi="Times New Roman" w:eastAsia="Times New Roman" w:cs="Times New Roman"/>
        </w:rPr>
        <w:t xml:space="preserve"> </w:t>
      </w:r>
      <w:r>
        <w:rPr>
          <w:rFonts w:ascii="Nirmala UI" w:hAnsi="Nirmala UI" w:eastAsia="Nirmala UI" w:cs="Nirmala UI"/>
        </w:rPr>
        <w:t>ವ್ಯಾಪಕತೆಯಿಂದ</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ಅದನ್ನು</w:t>
      </w:r>
      <w:r>
        <w:rPr>
          <w:rFonts w:ascii="Times New Roman" w:hAnsi="Times New Roman" w:eastAsia="Times New Roman" w:cs="Times New Roman"/>
        </w:rPr>
        <w:t xml:space="preserve"> </w:t>
      </w:r>
      <w:r>
        <w:rPr>
          <w:rFonts w:ascii="Nirmala UI" w:hAnsi="Nirmala UI" w:eastAsia="Nirmala UI" w:cs="Nirmala UI"/>
        </w:rPr>
        <w:t>ಹಾಳಾಗುವಂತೆ</w:t>
      </w:r>
      <w:r>
        <w:rPr>
          <w:rFonts w:ascii="Times New Roman" w:hAnsi="Times New Roman" w:eastAsia="Times New Roman" w:cs="Times New Roman"/>
        </w:rPr>
        <w:t xml:space="preserve"> </w:t>
      </w:r>
      <w:r>
        <w:rPr>
          <w:rFonts w:ascii="Nirmala UI" w:hAnsi="Nirmala UI" w:eastAsia="Nirmala UI" w:cs="Nirmala UI"/>
        </w:rPr>
        <w:t>ಮಾಡುವನು</w:t>
      </w:r>
      <w:r>
        <w:rPr>
          <w:rFonts w:ascii="Times New Roman" w:hAnsi="Times New Roman" w:eastAsia="Times New Roman" w:cs="Times New Roman"/>
        </w:rPr>
        <w:t xml:space="preserve">; </w:t>
      </w:r>
      <w:r>
        <w:rPr>
          <w:rFonts w:ascii="Nirmala UI" w:hAnsi="Nirmala UI" w:eastAsia="Nirmala UI" w:cs="Nirmala UI"/>
        </w:rPr>
        <w:t>ನಿರ್ಣೀತವಾದ</w:t>
      </w:r>
      <w:r>
        <w:rPr>
          <w:rFonts w:ascii="Times New Roman" w:hAnsi="Times New Roman" w:eastAsia="Times New Roman" w:cs="Times New Roman"/>
        </w:rPr>
        <w:t xml:space="preserve"> </w:t>
      </w:r>
      <w:r>
        <w:rPr>
          <w:rFonts w:ascii="Nirmala UI" w:hAnsi="Nirmala UI" w:eastAsia="Nirmala UI" w:cs="Nirmala UI"/>
        </w:rPr>
        <w:t>ಅಂತ್ಯಸಮಾಪ್ತಿವರೆಗೂ</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ಇರುವದು</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ನಿರ್ಧರಿಸಲ್ಪಟ್ಟದ್ದು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ಹಾಳಾದದ</w:t>
      </w:r>
      <w:r>
        <w:rPr>
          <w:rFonts w:ascii="Times New Roman" w:hAnsi="Times New Roman" w:eastAsia="Times New Roman" w:cs="Times New Roman"/>
        </w:rPr>
        <w:t xml:space="preserve"> </w:t>
      </w:r>
      <w:r>
        <w:rPr>
          <w:rFonts w:ascii="Nirmala UI" w:hAnsi="Nirmala UI" w:eastAsia="Nirmala UI" w:cs="Nirmala UI"/>
        </w:rPr>
        <w:t>ಮೇಲೆ</w:t>
      </w:r>
      <w:r>
        <w:rPr>
          <w:rFonts w:ascii="Times New Roman" w:hAnsi="Times New Roman" w:eastAsia="Times New Roman" w:cs="Times New Roman"/>
        </w:rPr>
        <w:t xml:space="preserve"> </w:t>
      </w:r>
      <w:r>
        <w:rPr>
          <w:rFonts w:ascii="Nirmala UI" w:hAnsi="Nirmala UI" w:eastAsia="Nirmala UI" w:cs="Nirmala UI"/>
        </w:rPr>
        <w:t>ಸುರಿಸಲ್ಪಡುವದು</w:t>
      </w:r>
      <w:r>
        <w:rPr>
          <w:rFonts w:ascii="Times New Roman" w:hAnsi="Times New Roman" w:eastAsia="Times New Roman" w:cs="Times New Roman"/>
        </w:rPr>
        <w:t xml:space="preserve">. </w:t>
      </w:r>
      <w:r>
        <w:rPr>
          <w:rFonts w:ascii="Nirmala UI" w:hAnsi="Nirmala UI" w:eastAsia="Nirmala UI" w:cs="Nirmala UI"/>
        </w:rPr>
        <w:t>ದಾನಿಯೇಲ</w:t>
      </w:r>
      <w:r>
        <w:rPr>
          <w:rFonts w:ascii="Times New Roman" w:hAnsi="Times New Roman" w:eastAsia="Times New Roman" w:cs="Times New Roman"/>
        </w:rPr>
        <w:t xml:space="preserve"> 9:27.</w:t>
      </w:r>
    </w:p>
    <w:p>
      <w:pPr>
        <w:pStyle w:val="ArticleBody"/>
        <w:jc w:val="left"/>
      </w:pPr>
      <w:r>
        <w:rPr>
          <w:rFonts w:ascii="Times New Roman" w:hAnsi="Times New Roman" w:eastAsia="Times New Roman" w:cs="Times New Roman"/>
        </w:rPr>
        <w:t>Katikati ya juma, tuna mwanzo na mwisho kwa zile siku elfu moja mia mbili sitini za kwanza, ambazo ziliishia hasa mahali pale ambapo zile siku elfu moja mia mbili sitini zilizofuata zilipoanzia. Juma hilo linalingana na zile nyakati saba za kutawanywa dhidi ya ufalme wa kaskazini, ambao uliwakilisha pamoja na upagani na upapa katika kukanyaga patakatifu na jeshi.</w:t>
      </w:r>
    </w:p>
    <w:p>
      <w:pPr>
        <w:pStyle w:val="ArticleScripture"/>
        <w:jc w:val="left"/>
      </w:pPr>
      <w:r>
        <w:rPr>
          <w:rFonts w:ascii="Times New Roman" w:hAnsi="Times New Roman" w:eastAsia="Times New Roman" w:cs="Times New Roman"/>
        </w:rPr>
        <w:t>Puis j’entendis un saint qui parlait; et un autre saint dit à ce saint-là qui parlait: Jusques à quand durera la vision concernant le sacrifice perpétuel et la transgression dévastatrice, pour livrer à la fois le sanctuaire et l’armée à être foulés aux pieds? Daniel 8:13.</w:t>
      </w:r>
    </w:p>
    <w:p>
      <w:pPr>
        <w:pStyle w:val="ArticleBody"/>
        <w:jc w:val="left"/>
      </w:pPr>
      <w:r>
        <w:rPr>
          <w:rFonts w:ascii="Times New Roman" w:hAnsi="Times New Roman" w:eastAsia="Times New Roman" w:cs="Times New Roman"/>
        </w:rPr>
        <w:t xml:space="preserve">538 </w:t>
      </w:r>
      <w:r>
        <w:rPr>
          <w:rFonts w:ascii="Microsoft Himalaya" w:hAnsi="Microsoft Himalaya" w:eastAsia="Microsoft Himalaya" w:cs="Microsoft Himalaya"/>
        </w:rPr>
        <w:t>ནི་</w:t>
      </w:r>
      <w:r>
        <w:rPr>
          <w:rFonts w:ascii="Times New Roman" w:hAnsi="Times New Roman" w:eastAsia="Times New Roman" w:cs="Times New Roman"/>
        </w:rPr>
        <w:t xml:space="preserve"> “</w:t>
      </w:r>
      <w:r>
        <w:rPr>
          <w:rFonts w:ascii="Microsoft Himalaya" w:hAnsi="Microsoft Himalaya" w:eastAsia="Microsoft Himalaya" w:cs="Microsoft Himalaya"/>
        </w:rPr>
        <w:t>མཐའ་མའི་དུས</w:t>
      </w:r>
      <w:r>
        <w:rPr>
          <w:rFonts w:ascii="Times New Roman" w:hAnsi="Times New Roman" w:eastAsia="Times New Roman" w:cs="Times New Roman"/>
        </w:rPr>
        <w:t xml:space="preserve">” </w:t>
      </w:r>
      <w:r>
        <w:rPr>
          <w:rFonts w:ascii="Microsoft Himalaya" w:hAnsi="Microsoft Himalaya" w:eastAsia="Microsoft Himalaya" w:cs="Microsoft Himalaya"/>
        </w:rPr>
        <w:t>ཤིག་ཡིན་པ་དང་།</w:t>
      </w:r>
      <w:r>
        <w:rPr>
          <w:rFonts w:ascii="Times New Roman" w:hAnsi="Times New Roman" w:eastAsia="Times New Roman" w:cs="Times New Roman"/>
        </w:rPr>
        <w:t xml:space="preserve"> </w:t>
      </w:r>
      <w:r>
        <w:rPr>
          <w:rFonts w:ascii="Microsoft Himalaya" w:hAnsi="Microsoft Himalaya" w:eastAsia="Microsoft Himalaya" w:cs="Microsoft Himalaya"/>
        </w:rPr>
        <w:t>དེ་ནི་ལུང་བསྟན་གྱི་དུས་ཡུན་ཞིག་གི་མཇུག་ཀྱང་ཡིན་པའི་ཤིང་རྟགས་དང་མཐུན་པར་འབྱོར་ཡོད།</w:t>
      </w:r>
      <w:r>
        <w:rPr>
          <w:rFonts w:ascii="Times New Roman" w:hAnsi="Times New Roman" w:eastAsia="Times New Roman" w:cs="Times New Roman"/>
        </w:rPr>
        <w:t xml:space="preserve"> 538 </w:t>
      </w:r>
      <w:r>
        <w:rPr>
          <w:rFonts w:ascii="Microsoft Himalaya" w:hAnsi="Microsoft Himalaya" w:eastAsia="Microsoft Himalaya" w:cs="Microsoft Himalaya"/>
        </w:rPr>
        <w:t>དང་ཤིང་རྟགས་གཉིས་ཀས།</w:t>
      </w:r>
      <w:r>
        <w:rPr>
          <w:rFonts w:ascii="Times New Roman" w:hAnsi="Times New Roman" w:eastAsia="Times New Roman" w:cs="Times New Roman"/>
        </w:rPr>
        <w:t xml:space="preserve"> </w:t>
      </w:r>
      <w:r>
        <w:rPr>
          <w:rFonts w:ascii="Microsoft Himalaya" w:hAnsi="Microsoft Himalaya" w:eastAsia="Microsoft Himalaya" w:cs="Microsoft Himalaya"/>
        </w:rPr>
        <w:t>ལུང་བསྟན་ཞིག་གི་འགོ་དང་མཇུག་གཉིས་ཀ་ཡང་།</w:t>
      </w:r>
      <w:r>
        <w:rPr>
          <w:rFonts w:ascii="Times New Roman" w:hAnsi="Times New Roman" w:eastAsia="Times New Roman" w:cs="Times New Roman"/>
        </w:rPr>
        <w:t xml:space="preserve"> </w:t>
      </w:r>
      <w:r>
        <w:rPr>
          <w:rFonts w:ascii="Microsoft Himalaya" w:hAnsi="Microsoft Himalaya" w:eastAsia="Microsoft Himalaya" w:cs="Microsoft Himalaya"/>
        </w:rPr>
        <w:t>ལུང་བསྟན་གྱི་ངོས་ནས་</w:t>
      </w:r>
      <w:r>
        <w:rPr>
          <w:rFonts w:ascii="Times New Roman" w:hAnsi="Times New Roman" w:eastAsia="Times New Roman" w:cs="Times New Roman"/>
        </w:rPr>
        <w:t xml:space="preserve"> “</w:t>
      </w:r>
      <w:r>
        <w:rPr>
          <w:rFonts w:ascii="Microsoft Himalaya" w:hAnsi="Microsoft Himalaya" w:eastAsia="Microsoft Himalaya" w:cs="Microsoft Himalaya"/>
        </w:rPr>
        <w:t>མཐའ་མའི་དུས</w:t>
      </w:r>
      <w:r>
        <w:rPr>
          <w:rFonts w:ascii="Times New Roman" w:hAnsi="Times New Roman" w:eastAsia="Times New Roman" w:cs="Times New Roman"/>
        </w:rPr>
        <w:t xml:space="preserve">” </w:t>
      </w:r>
      <w:r>
        <w:rPr>
          <w:rFonts w:ascii="Microsoft Himalaya" w:hAnsi="Microsoft Himalaya" w:eastAsia="Microsoft Himalaya" w:cs="Microsoft Himalaya"/>
        </w:rPr>
        <w:t>ཞེས་རྟགས་བཀོད་བྱས་ཡོད་པའི་དཔང་པོ་གཉིས་སུ་གྱུར།</w:t>
      </w:r>
    </w:p>
    <w:p>
      <w:pPr>
        <w:pStyle w:val="ArticleBody"/>
        <w:jc w:val="left"/>
      </w:pPr>
      <w:r>
        <w:rPr>
          <w:rFonts w:ascii="Times New Roman" w:hAnsi="Times New Roman" w:eastAsia="Times New Roman" w:cs="Times New Roman"/>
        </w:rPr>
        <w:t>Les versets vingt et un et vingt-deux, le verset vingt, le verset seize, le verset dix, les versets sept à neuf, ainsi que le verset un, marquent tous le « temps de la fin ». Le verset vingt-trois identifie l’alliance que les Juifs maccabéens conclurent avec la Rome païenne de 161 à 158 av. J.-C. L’histoire de la dynastie hasmonéenne, depuis leur combat initial jusqu’à son terme dans la destruction de Jérusalem en 70 apr. J.-C., représente le protestantisme apostat aux États-Unis, à partir de 1844, la fin d’une prophétie de temps, et par conséquent un « temps de la fin », et s’achevant à la loi dominicale telle qu’elle est représentée par l’an 70 apr. J.-C.</w:t>
      </w:r>
    </w:p>
    <w:p>
      <w:pPr>
        <w:pStyle w:val="ArticleBody"/>
        <w:jc w:val="left"/>
      </w:pPr>
      <w:r>
        <w:rPr>
          <w:rFonts w:ascii="Times New Roman" w:hAnsi="Times New Roman" w:eastAsia="Times New Roman" w:cs="Times New Roman"/>
        </w:rPr>
        <w:t>Leloamane la masome a mabedi a mararo le supa “nako ya bofelo” ka 167 BC ntweng ya Modein, hape le ka 70 AD, tseo ka bobedi di emelang ka sesupo 1844 le molao wa Sontaha ka ho latellana. Leloamane la masome a mabedi a mararo, ditemana tsa masome a mabedi a motso o mong le a mabedi a motso o mmedi, leloamane la mashome a mabedi, leloamane la leshome le metso e tsheletseng, leloamane la leshome, ditemana tsa supa ho isa ho robong, le leloamane la pele kaofela di supa “nako ya bofelo.”</w:t>
      </w:r>
    </w:p>
    <w:p>
      <w:pPr>
        <w:pStyle w:val="ArticleBody"/>
        <w:jc w:val="left"/>
      </w:pPr>
      <w:r>
        <w:rPr>
          <w:rFonts w:ascii="Times New Roman" w:hAnsi="Times New Roman" w:eastAsia="Times New Roman" w:cs="Times New Roman"/>
        </w:rPr>
        <w:t>El versículo veinticuatro identifica la supremacía de trescientos sesenta años de la Roma pagana, señalando así tanto el comienzo en 31 a. C. como el final en 330 como “tiempo del fin”. El versículo veintisiete y el versículo veintinueve identifican tanto el comienzo como el final de ese período; por lo tanto, el versículo veinticuatro, el versículo veintisiete, el versículo veintinueve, el versículo veintitrés, los versículos veintiuno y veintidós, el versículo veinte, el versículo dieciséis, el versículo diez, los versículos siete al nueve y el versículo uno señalan todos el “tiempo del fin”.</w:t>
      </w:r>
    </w:p>
    <w:p>
      <w:pPr>
        <w:pStyle w:val="ArticleBody"/>
        <w:jc w:val="left"/>
      </w:pPr>
      <w:r>
        <w:rPr>
          <w:rFonts w:ascii="Leelawadee UI" w:hAnsi="Leelawadee UI" w:eastAsia="Leelawadee UI" w:cs="Leelawadee UI"/>
        </w:rPr>
        <w:t>អត្ថបទមិនទាន់មានភាសាគោលដៅច្បាស់លាស់សម្រាប់</w:t>
      </w:r>
      <w:r>
        <w:rPr>
          <w:rFonts w:ascii="Times New Roman" w:hAnsi="Times New Roman" w:eastAsia="Times New Roman" w:cs="Times New Roman"/>
        </w:rPr>
        <w:t xml:space="preserve"> “ff” </w:t>
      </w:r>
      <w:r>
        <w:rPr>
          <w:rFonts w:ascii="Leelawadee UI" w:hAnsi="Leelawadee UI" w:eastAsia="Leelawadee UI" w:cs="Leelawadee UI"/>
        </w:rPr>
        <w:t>ទេ។</w:t>
      </w:r>
      <w:r>
        <w:rPr>
          <w:rFonts w:ascii="Times New Roman" w:hAnsi="Times New Roman" w:eastAsia="Times New Roman" w:cs="Times New Roman"/>
        </w:rPr>
        <w:t xml:space="preserve"> </w:t>
      </w:r>
      <w:r>
        <w:rPr>
          <w:rFonts w:ascii="Leelawadee UI" w:hAnsi="Leelawadee UI" w:eastAsia="Leelawadee UI" w:cs="Leelawadee UI"/>
        </w:rPr>
        <w:t>សូមបញ្ជាក់ថា</w:t>
      </w:r>
      <w:r>
        <w:rPr>
          <w:rFonts w:ascii="Times New Roman" w:hAnsi="Times New Roman" w:eastAsia="Times New Roman" w:cs="Times New Roman"/>
        </w:rPr>
        <w:t xml:space="preserve"> “ff” </w:t>
      </w:r>
      <w:r>
        <w:rPr>
          <w:rFonts w:ascii="Leelawadee UI" w:hAnsi="Leelawadee UI" w:eastAsia="Leelawadee UI" w:cs="Leelawadee UI"/>
        </w:rPr>
        <w:t>ជាភាសាអ្វី</w:t>
      </w:r>
      <w:r>
        <w:rPr>
          <w:rFonts w:ascii="Times New Roman" w:hAnsi="Times New Roman" w:eastAsia="Times New Roman" w:cs="Times New Roman"/>
        </w:rPr>
        <w:t xml:space="preserve"> </w:t>
      </w:r>
      <w:r>
        <w:rPr>
          <w:rFonts w:ascii="Leelawadee UI" w:hAnsi="Leelawadee UI" w:eastAsia="Leelawadee UI" w:cs="Leelawadee UI"/>
        </w:rPr>
        <w:t>ដើម្បីខ្ញុំអាចបកប្រែបានត្រឹមត្រូវ។</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វេលាចុងបញ្ចប់</w:t>
      </w:r>
      <w:r>
        <w:rPr>
          <w:rFonts w:ascii="Times New Roman" w:hAnsi="Times New Roman" w:eastAsia="Times New Roman" w:cs="Times New Roman"/>
        </w:rPr>
        <w:t xml:space="preserve">» </w:t>
      </w:r>
      <w:r>
        <w:rPr>
          <w:rFonts w:ascii="Leelawadee UI" w:hAnsi="Leelawadee UI" w:eastAsia="Leelawadee UI" w:cs="Leelawadee UI"/>
        </w:rPr>
        <w:t>ត្រូវបានសម្គាល់ចំនួនដប់បីដង</w:t>
      </w:r>
      <w:r>
        <w:rPr>
          <w:rFonts w:ascii="Times New Roman" w:hAnsi="Times New Roman" w:eastAsia="Times New Roman" w:cs="Times New Roman"/>
        </w:rPr>
        <w:t xml:space="preserve"> </w:t>
      </w:r>
      <w:r>
        <w:rPr>
          <w:rFonts w:ascii="Leelawadee UI" w:hAnsi="Leelawadee UI" w:eastAsia="Leelawadee UI" w:cs="Leelawadee UI"/>
        </w:rPr>
        <w:t>មុនខណ្ឌសែសិបមួយ</w:t>
      </w:r>
      <w:r>
        <w:rPr>
          <w:rFonts w:ascii="Times New Roman" w:hAnsi="Times New Roman" w:eastAsia="Times New Roman" w:cs="Times New Roman"/>
        </w:rPr>
        <w:t xml:space="preserve"> </w:t>
      </w:r>
      <w:r>
        <w:rPr>
          <w:rFonts w:ascii="Leelawadee UI" w:hAnsi="Leelawadee UI" w:eastAsia="Leelawadee UI" w:cs="Leelawadee UI"/>
        </w:rPr>
        <w:t>ដែលជាច្បាប់ថ្ងៃអាទិត្យ</w:t>
      </w:r>
      <w:r>
        <w:rPr>
          <w:rFonts w:ascii="Times New Roman" w:hAnsi="Times New Roman" w:eastAsia="Times New Roman" w:cs="Times New Roman"/>
        </w:rPr>
        <w:t xml:space="preserve"> </w:t>
      </w:r>
      <w:r>
        <w:rPr>
          <w:rFonts w:ascii="Leelawadee UI" w:hAnsi="Leelawadee UI" w:eastAsia="Leelawadee UI" w:cs="Leelawadee UI"/>
        </w:rPr>
        <w:t>ហើយក៏ជា</w:t>
      </w:r>
      <w:r>
        <w:rPr>
          <w:rFonts w:ascii="Times New Roman" w:hAnsi="Times New Roman" w:eastAsia="Times New Roman" w:cs="Times New Roman"/>
        </w:rPr>
        <w:t xml:space="preserve"> «</w:t>
      </w:r>
      <w:r>
        <w:rPr>
          <w:rFonts w:ascii="Leelawadee UI" w:hAnsi="Leelawadee UI" w:eastAsia="Leelawadee UI" w:cs="Leelawadee UI"/>
        </w:rPr>
        <w:t>វេលាចុងបញ្ចប់</w:t>
      </w:r>
      <w:r>
        <w:rPr>
          <w:rFonts w:ascii="Times New Roman" w:hAnsi="Times New Roman" w:eastAsia="Times New Roman" w:cs="Times New Roman"/>
        </w:rPr>
        <w:t xml:space="preserve">» </w:t>
      </w:r>
      <w:r>
        <w:rPr>
          <w:rFonts w:ascii="Leelawadee UI" w:hAnsi="Leelawadee UI" w:eastAsia="Leelawadee UI" w:cs="Leelawadee UI"/>
        </w:rPr>
        <w:t>មួយទៀតផងដែរ</w:t>
      </w:r>
      <w:r>
        <w:rPr>
          <w:rFonts w:ascii="Times New Roman" w:hAnsi="Times New Roman" w:eastAsia="Times New Roman" w:cs="Times New Roman"/>
        </w:rPr>
        <w:t xml:space="preserve"> </w:t>
      </w:r>
      <w:r>
        <w:rPr>
          <w:rFonts w:ascii="Leelawadee UI" w:hAnsi="Leelawadee UI" w:eastAsia="Leelawadee UI" w:cs="Leelawadee UI"/>
        </w:rPr>
        <w:t>ដូចជាខណ្ឌសែសិបប្រាំ</w:t>
      </w:r>
      <w:r>
        <w:rPr>
          <w:rFonts w:ascii="Times New Roman" w:hAnsi="Times New Roman" w:eastAsia="Times New Roman" w:cs="Times New Roman"/>
        </w:rPr>
        <w:t xml:space="preserve"> </w:t>
      </w:r>
      <w:r>
        <w:rPr>
          <w:rFonts w:ascii="Leelawadee UI" w:hAnsi="Leelawadee UI" w:eastAsia="Leelawadee UI" w:cs="Leelawadee UI"/>
        </w:rPr>
        <w:t>នៅពេលសម្តេចប៉ាបមកដល់ទីបញ្ចប់របស់ខ្លួន</w:t>
      </w:r>
      <w:r>
        <w:rPr>
          <w:rFonts w:ascii="Times New Roman" w:hAnsi="Times New Roman" w:eastAsia="Times New Roman" w:cs="Times New Roman"/>
        </w:rPr>
        <w:t xml:space="preserve"> </w:t>
      </w:r>
      <w:r>
        <w:rPr>
          <w:rFonts w:ascii="Leelawadee UI" w:hAnsi="Leelawadee UI" w:eastAsia="Leelawadee UI" w:cs="Leelawadee UI"/>
        </w:rPr>
        <w:t>ដោយគ្មានអ្នកណាមកជួយ។</w:t>
      </w:r>
      <w:r>
        <w:rPr>
          <w:rFonts w:ascii="Times New Roman" w:hAnsi="Times New Roman" w:eastAsia="Times New Roman" w:cs="Times New Roman"/>
        </w:rPr>
        <w:t xml:space="preserve"> «</w:t>
      </w:r>
      <w:r>
        <w:rPr>
          <w:rFonts w:ascii="Leelawadee UI" w:hAnsi="Leelawadee UI" w:eastAsia="Leelawadee UI" w:cs="Leelawadee UI"/>
        </w:rPr>
        <w:t>វេលាចុងបញ្ចប់</w:t>
      </w:r>
      <w:r>
        <w:rPr>
          <w:rFonts w:ascii="Times New Roman" w:hAnsi="Times New Roman" w:eastAsia="Times New Roman" w:cs="Times New Roman"/>
        </w:rPr>
        <w:t xml:space="preserve">» </w:t>
      </w:r>
      <w:r>
        <w:rPr>
          <w:rFonts w:ascii="Leelawadee UI" w:hAnsi="Leelawadee UI" w:eastAsia="Leelawadee UI" w:cs="Leelawadee UI"/>
        </w:rPr>
        <w:t>ត្រូវបានកំណត់ទីតាំងចំនួនដប់ប្រាំដង</w:t>
      </w:r>
      <w:r>
        <w:rPr>
          <w:rFonts w:ascii="Times New Roman" w:hAnsi="Times New Roman" w:eastAsia="Times New Roman" w:cs="Times New Roman"/>
        </w:rPr>
        <w:t xml:space="preserve"> </w:t>
      </w:r>
      <w:r>
        <w:rPr>
          <w:rFonts w:ascii="Leelawadee UI" w:hAnsi="Leelawadee UI" w:eastAsia="Leelawadee UI" w:cs="Leelawadee UI"/>
        </w:rPr>
        <w:t>នៅក្នុងជំពូកដប់មួយ។</w:t>
      </w:r>
      <w:r>
        <w:rPr>
          <w:rFonts w:ascii="Times New Roman" w:hAnsi="Times New Roman" w:eastAsia="Times New Roman" w:cs="Times New Roman"/>
        </w:rPr>
        <w:t xml:space="preserve"> </w:t>
      </w:r>
      <w:r>
        <w:rPr>
          <w:rFonts w:ascii="Leelawadee UI" w:hAnsi="Leelawadee UI" w:eastAsia="Leelawadee UI" w:cs="Leelawadee UI"/>
        </w:rPr>
        <w:t>ប្រធានបទនៃខណ្ឌដប់</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វេលាចុងបញ្ចប់</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វាតំណាងឱ្យសេចក្តីពិតទាំងឡាយ</w:t>
      </w:r>
      <w:r>
        <w:rPr>
          <w:rFonts w:ascii="Times New Roman" w:hAnsi="Times New Roman" w:eastAsia="Times New Roman" w:cs="Times New Roman"/>
        </w:rPr>
        <w:t xml:space="preserve"> </w:t>
      </w:r>
      <w:r>
        <w:rPr>
          <w:rFonts w:ascii="Leelawadee UI" w:hAnsi="Leelawadee UI" w:eastAsia="Leelawadee UI" w:cs="Leelawadee UI"/>
        </w:rPr>
        <w:t>ដែលត្រូវបានបើកត្រា</w:t>
      </w:r>
      <w:r>
        <w:rPr>
          <w:rFonts w:ascii="Times New Roman" w:hAnsi="Times New Roman" w:eastAsia="Times New Roman" w:cs="Times New Roman"/>
        </w:rPr>
        <w:t xml:space="preserve"> </w:t>
      </w:r>
      <w:r>
        <w:rPr>
          <w:rFonts w:ascii="Leelawadee UI" w:hAnsi="Leelawadee UI" w:eastAsia="Leelawadee UI" w:cs="Leelawadee UI"/>
        </w:rPr>
        <w:t>នៅក្នុងពេលបិទត្រារបស់មនុស្សមួយសែនសែសិបបួនពាន់នាក់។</w:t>
      </w:r>
    </w:p>
    <w:p>
      <w:pPr>
        <w:pStyle w:val="ArticleBody"/>
        <w:jc w:val="left"/>
      </w:pPr>
      <w:r>
        <w:rPr>
          <w:rFonts w:ascii="Times New Roman" w:hAnsi="Times New Roman" w:eastAsia="Times New Roman" w:cs="Times New Roman"/>
        </w:rPr>
        <w:t>Nous poursuivrons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Le Chiffre Huit</dc:title>
  <dc:subject>Aperçu de la troisième ligne</dc:subject>
  <dc:creator>Jeff Pippenger</dc:creator>
  <cp:keywords/>
  <dc:description>Generated by ArticleDigger from panium\08_panium.json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