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Mbere ya Cyenda</w:t>
      </w:r>
    </w:p>
    <w:p>
      <w:pPr>
        <w:pStyle w:val="ArticleSubtitle"/>
        <w:jc w:val="left"/>
      </w:pPr>
      <w:r>
        <w:rPr>
          <w:rFonts w:ascii="Arial" w:hAnsi="Arial" w:eastAsia="Arial" w:cs="Arial"/>
        </w:rPr>
        <w:t>Ligne quatrième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 xml:space="preserve">ff </w:t>
      </w:r>
      <w:r>
        <w:rPr>
          <w:rFonts w:ascii="Nirmala UI" w:hAnsi="Nirmala UI" w:eastAsia="Nirmala UI" w:cs="Nirmala UI"/>
        </w:rPr>
        <w:t>ൻ്റെ</w:t>
      </w:r>
      <w:r>
        <w:rPr>
          <w:rFonts w:ascii="Times New Roman" w:hAnsi="Times New Roman" w:eastAsia="Times New Roman" w:cs="Times New Roman"/>
        </w:rPr>
        <w:t xml:space="preserve"> </w:t>
      </w:r>
      <w:r>
        <w:rPr>
          <w:rFonts w:ascii="Nirmala UI" w:hAnsi="Nirmala UI" w:eastAsia="Nirmala UI" w:cs="Nirmala UI"/>
        </w:rPr>
        <w:t>രാജാവു</w:t>
      </w:r>
      <w:r>
        <w:rPr>
          <w:rFonts w:ascii="Times New Roman" w:hAnsi="Times New Roman" w:eastAsia="Times New Roman" w:cs="Times New Roman"/>
        </w:rPr>
        <w:t xml:space="preserve"> </w:t>
      </w:r>
      <w:r>
        <w:rPr>
          <w:rFonts w:ascii="Nirmala UI" w:hAnsi="Nirmala UI" w:eastAsia="Nirmala UI" w:cs="Nirmala UI"/>
        </w:rPr>
        <w:t>കോപാകുലനായി</w:t>
      </w:r>
      <w:r>
        <w:rPr>
          <w:rFonts w:ascii="Times New Roman" w:hAnsi="Times New Roman" w:eastAsia="Times New Roman" w:cs="Times New Roman"/>
        </w:rPr>
        <w:t xml:space="preserve"> </w:t>
      </w:r>
      <w:r>
        <w:rPr>
          <w:rFonts w:ascii="Nirmala UI" w:hAnsi="Nirmala UI" w:eastAsia="Nirmala UI" w:cs="Nirmala UI"/>
        </w:rPr>
        <w:t>പുറപ്പെട്ടു</w:t>
      </w:r>
      <w:r>
        <w:rPr>
          <w:rFonts w:ascii="Times New Roman" w:hAnsi="Times New Roman" w:eastAsia="Times New Roman" w:cs="Times New Roman"/>
        </w:rPr>
        <w:t xml:space="preserve"> </w:t>
      </w:r>
      <w:r>
        <w:rPr>
          <w:rFonts w:ascii="Nirmala UI" w:hAnsi="Nirmala UI" w:eastAsia="Nirmala UI" w:cs="Nirmala UI"/>
        </w:rPr>
        <w:t>അവനോടു</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അതായത്</w:t>
      </w:r>
      <w:r>
        <w:rPr>
          <w:rFonts w:ascii="Times New Roman" w:hAnsi="Times New Roman" w:eastAsia="Times New Roman" w:cs="Times New Roman"/>
        </w:rPr>
        <w:t xml:space="preserve"> </w:t>
      </w:r>
      <w:r>
        <w:rPr>
          <w:rFonts w:ascii="Nirmala UI" w:hAnsi="Nirmala UI" w:eastAsia="Nirmala UI" w:cs="Nirmala UI"/>
        </w:rPr>
        <w:t>വടക്കേ</w:t>
      </w:r>
      <w:r>
        <w:rPr>
          <w:rFonts w:ascii="Times New Roman" w:hAnsi="Times New Roman" w:eastAsia="Times New Roman" w:cs="Times New Roman"/>
        </w:rPr>
        <w:t xml:space="preserve"> </w:t>
      </w:r>
      <w:r>
        <w:rPr>
          <w:rFonts w:ascii="Nirmala UI" w:hAnsi="Nirmala UI" w:eastAsia="Nirmala UI" w:cs="Nirmala UI"/>
        </w:rPr>
        <w:t>രാജാവിനോടു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മഹാസൈന്യത്തെ</w:t>
      </w:r>
      <w:r>
        <w:rPr>
          <w:rFonts w:ascii="Times New Roman" w:hAnsi="Times New Roman" w:eastAsia="Times New Roman" w:cs="Times New Roman"/>
        </w:rPr>
        <w:t xml:space="preserve"> </w:t>
      </w:r>
      <w:r>
        <w:rPr>
          <w:rFonts w:ascii="Nirmala UI" w:hAnsi="Nirmala UI" w:eastAsia="Nirmala UI" w:cs="Nirmala UI"/>
        </w:rPr>
        <w:t>എഴുന്നേല്പിക്കും</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സൈന്യം</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കയ്യിൽ</w:t>
      </w:r>
      <w:r>
        <w:rPr>
          <w:rFonts w:ascii="Times New Roman" w:hAnsi="Times New Roman" w:eastAsia="Times New Roman" w:cs="Times New Roman"/>
        </w:rPr>
        <w:t xml:space="preserve"> </w:t>
      </w:r>
      <w:r>
        <w:rPr>
          <w:rFonts w:ascii="Nirmala UI" w:hAnsi="Nirmala UI" w:eastAsia="Nirmala UI" w:cs="Nirmala UI"/>
        </w:rPr>
        <w:t>ഏല്പിക്കപ്പെടും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സൈന്യത്തെ</w:t>
      </w:r>
      <w:r>
        <w:rPr>
          <w:rFonts w:ascii="Times New Roman" w:hAnsi="Times New Roman" w:eastAsia="Times New Roman" w:cs="Times New Roman"/>
        </w:rPr>
        <w:t xml:space="preserve"> </w:t>
      </w:r>
      <w:r>
        <w:rPr>
          <w:rFonts w:ascii="Nirmala UI" w:hAnsi="Nirmala UI" w:eastAsia="Nirmala UI" w:cs="Nirmala UI"/>
        </w:rPr>
        <w:t>നീക്കിക്കളഞ്ഞ</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ഹൃദയം</w:t>
      </w:r>
      <w:r>
        <w:rPr>
          <w:rFonts w:ascii="Times New Roman" w:hAnsi="Times New Roman" w:eastAsia="Times New Roman" w:cs="Times New Roman"/>
        </w:rPr>
        <w:t xml:space="preserve"> </w:t>
      </w:r>
      <w:r>
        <w:rPr>
          <w:rFonts w:ascii="Nirmala UI" w:hAnsi="Nirmala UI" w:eastAsia="Nirmala UI" w:cs="Nirmala UI"/>
        </w:rPr>
        <w:t>ഉന്നതിയോടെ</w:t>
      </w:r>
      <w:r>
        <w:rPr>
          <w:rFonts w:ascii="Times New Roman" w:hAnsi="Times New Roman" w:eastAsia="Times New Roman" w:cs="Times New Roman"/>
        </w:rPr>
        <w:t xml:space="preserve"> </w:t>
      </w:r>
      <w:r>
        <w:rPr>
          <w:rFonts w:ascii="Nirmala UI" w:hAnsi="Nirmala UI" w:eastAsia="Nirmala UI" w:cs="Nirmala UI"/>
        </w:rPr>
        <w:t>നിറയും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പതിനായിരങ്ങളെ</w:t>
      </w:r>
      <w:r>
        <w:rPr>
          <w:rFonts w:ascii="Times New Roman" w:hAnsi="Times New Roman" w:eastAsia="Times New Roman" w:cs="Times New Roman"/>
        </w:rPr>
        <w:t xml:space="preserve"> </w:t>
      </w:r>
      <w:r>
        <w:rPr>
          <w:rFonts w:ascii="Nirmala UI" w:hAnsi="Nirmala UI" w:eastAsia="Nirmala UI" w:cs="Nirmala UI"/>
        </w:rPr>
        <w:t>വീഴ്ത്തിക്കളയും</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ശക്തനാകയില്ല</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11:11, 12.</w:t>
      </w:r>
    </w:p>
    <w:p>
      <w:pPr>
        <w:pStyle w:val="ArticleBody"/>
        <w:jc w:val="left"/>
      </w:pPr>
      <w:r>
        <w:rPr>
          <w:rFonts w:ascii="Myanmar Text" w:hAnsi="Myanmar Text" w:eastAsia="Myanmar Text" w:cs="Myanmar Text"/>
        </w:rPr>
        <w:t>လဂါဒ်တစ်ဆယ့်တစ်နှင့်</w:t>
      </w:r>
      <w:r>
        <w:rPr>
          <w:rFonts w:ascii="Times New Roman" w:hAnsi="Times New Roman" w:eastAsia="Times New Roman" w:cs="Times New Roman"/>
        </w:rPr>
        <w:t xml:space="preserve"> </w:t>
      </w:r>
      <w:r>
        <w:rPr>
          <w:rFonts w:ascii="Myanmar Text" w:hAnsi="Myanmar Text" w:eastAsia="Myanmar Text" w:cs="Myanmar Text"/>
        </w:rPr>
        <w:t>တစ်ဆယ့်နှစ်တို့သည်</w:t>
      </w:r>
      <w:r>
        <w:rPr>
          <w:rFonts w:ascii="Times New Roman" w:hAnsi="Times New Roman" w:eastAsia="Times New Roman" w:cs="Times New Roman"/>
        </w:rPr>
        <w:t xml:space="preserve"> </w:t>
      </w:r>
      <w:r>
        <w:rPr>
          <w:rFonts w:ascii="Myanmar Text" w:hAnsi="Myanmar Text" w:eastAsia="Myanmar Text" w:cs="Myanmar Text"/>
        </w:rPr>
        <w:t>၂၁၇</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ရာဖီယာ၌</w:t>
      </w:r>
      <w:r>
        <w:rPr>
          <w:rFonts w:ascii="Times New Roman" w:hAnsi="Times New Roman" w:eastAsia="Times New Roman" w:cs="Times New Roman"/>
        </w:rPr>
        <w:t xml:space="preserve"> </w:t>
      </w:r>
      <w:r>
        <w:rPr>
          <w:rFonts w:ascii="Myanmar Text" w:hAnsi="Myanmar Text" w:eastAsia="Myanmar Text" w:cs="Myanmar Text"/>
        </w:rPr>
        <w:t>အောင်မြင်ခဲ့သော</w:t>
      </w:r>
      <w:r>
        <w:rPr>
          <w:rFonts w:ascii="Times New Roman" w:hAnsi="Times New Roman" w:eastAsia="Times New Roman" w:cs="Times New Roman"/>
        </w:rPr>
        <w:t xml:space="preserve"> </w:t>
      </w:r>
      <w:r>
        <w:rPr>
          <w:rFonts w:ascii="Myanmar Text" w:hAnsi="Myanmar Text" w:eastAsia="Myanmar Text" w:cs="Myanmar Text"/>
        </w:rPr>
        <w:t>ပတိုလမေ၏</w:t>
      </w:r>
      <w:r>
        <w:rPr>
          <w:rFonts w:ascii="Times New Roman" w:hAnsi="Times New Roman" w:eastAsia="Times New Roman" w:cs="Times New Roman"/>
        </w:rPr>
        <w:t xml:space="preserve"> </w:t>
      </w:r>
      <w:r>
        <w:rPr>
          <w:rFonts w:ascii="Myanmar Text" w:hAnsi="Myanmar Text" w:eastAsia="Myanmar Text" w:cs="Myanmar Text"/>
        </w:rPr>
        <w:t>အောင်ပွဲနှင့်</w:t>
      </w:r>
      <w:r>
        <w:rPr>
          <w:rFonts w:ascii="Times New Roman" w:hAnsi="Times New Roman" w:eastAsia="Times New Roman" w:cs="Times New Roman"/>
        </w:rPr>
        <w:t xml:space="preserve"> </w:t>
      </w:r>
      <w:r>
        <w:rPr>
          <w:rFonts w:ascii="Myanmar Text" w:hAnsi="Myanmar Text" w:eastAsia="Myanmar Text" w:cs="Myanmar Text"/>
        </w:rPr>
        <w:t>လဂါဒ်တစ်ဆယ့်နှစ်၌</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ပျက်စီးဆုံးရှုံးမှုတို့ဖြင့်</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ယူကရိန်းစစ်ပွဲ၌</w:t>
      </w:r>
      <w:r>
        <w:rPr>
          <w:rFonts w:ascii="Times New Roman" w:hAnsi="Times New Roman" w:eastAsia="Times New Roman" w:cs="Times New Roman"/>
        </w:rPr>
        <w:t xml:space="preserve"> </w:t>
      </w:r>
      <w:r>
        <w:rPr>
          <w:rFonts w:ascii="Myanmar Text" w:hAnsi="Myanmar Text" w:eastAsia="Myanmar Text" w:cs="Myanmar Text"/>
        </w:rPr>
        <w:t>ပူတင်က</w:t>
      </w:r>
      <w:r>
        <w:rPr>
          <w:rFonts w:ascii="Times New Roman" w:hAnsi="Times New Roman" w:eastAsia="Times New Roman" w:cs="Times New Roman"/>
        </w:rPr>
        <w:t xml:space="preserve"> </w:t>
      </w:r>
      <w:r>
        <w:rPr>
          <w:rFonts w:ascii="Myanmar Text" w:hAnsi="Myanmar Text" w:eastAsia="Myanmar Text" w:cs="Myanmar Text"/>
        </w:rPr>
        <w:t>ယူကရိန်းနှင့်</w:t>
      </w:r>
      <w:r>
        <w:rPr>
          <w:rFonts w:ascii="Times New Roman" w:hAnsi="Times New Roman" w:eastAsia="Times New Roman" w:cs="Times New Roman"/>
        </w:rPr>
        <w:t xml:space="preserve"> </w:t>
      </w:r>
      <w:r>
        <w:rPr>
          <w:rFonts w:ascii="Myanmar Text" w:hAnsi="Myanmar Text" w:eastAsia="Myanmar Text" w:cs="Myanmar Text"/>
        </w:rPr>
        <w:t>ဥရောပသမဂ္ဂအပေါ်</w:t>
      </w:r>
      <w:r>
        <w:rPr>
          <w:rFonts w:ascii="Times New Roman" w:hAnsi="Times New Roman" w:eastAsia="Times New Roman" w:cs="Times New Roman"/>
        </w:rPr>
        <w:t xml:space="preserve"> </w:t>
      </w:r>
      <w:r>
        <w:rPr>
          <w:rFonts w:ascii="Myanmar Text" w:hAnsi="Myanmar Text" w:eastAsia="Myanmar Text" w:cs="Myanmar Text"/>
        </w:rPr>
        <w:t>အောင်မြင်ခြင်းနှင့်</w:t>
      </w:r>
      <w:r>
        <w:rPr>
          <w:rFonts w:ascii="Times New Roman" w:hAnsi="Times New Roman" w:eastAsia="Times New Roman" w:cs="Times New Roman"/>
        </w:rPr>
        <w:t xml:space="preserve"> </w:t>
      </w:r>
      <w:r>
        <w:rPr>
          <w:rFonts w:ascii="Myanmar Text" w:hAnsi="Myanmar Text" w:eastAsia="Myanmar Text" w:cs="Myanmar Text"/>
        </w:rPr>
        <w:t>ထိုအောင်ပွဲနောက်ဆက်တွဲအဖြစ်</w:t>
      </w:r>
      <w:r>
        <w:rPr>
          <w:rFonts w:ascii="Times New Roman" w:hAnsi="Times New Roman" w:eastAsia="Times New Roman" w:cs="Times New Roman"/>
        </w:rPr>
        <w:t xml:space="preserve"> </w:t>
      </w:r>
      <w:r>
        <w:rPr>
          <w:rFonts w:ascii="Myanmar Text" w:hAnsi="Myanmar Text" w:eastAsia="Myanmar Text" w:cs="Myanmar Text"/>
        </w:rPr>
        <w:t>ပူတင်အပေါ်</w:t>
      </w:r>
      <w:r>
        <w:rPr>
          <w:rFonts w:ascii="Times New Roman" w:hAnsi="Times New Roman" w:eastAsia="Times New Roman" w:cs="Times New Roman"/>
        </w:rPr>
        <w:t xml:space="preserve"> </w:t>
      </w:r>
      <w:r>
        <w:rPr>
          <w:rFonts w:ascii="Myanmar Text" w:hAnsi="Myanmar Text" w:eastAsia="Myanmar Text" w:cs="Myanmar Text"/>
        </w:rPr>
        <w:t>ကျရောက်မည့်</w:t>
      </w:r>
      <w:r>
        <w:rPr>
          <w:rFonts w:ascii="Times New Roman" w:hAnsi="Times New Roman" w:eastAsia="Times New Roman" w:cs="Times New Roman"/>
        </w:rPr>
        <w:t xml:space="preserve"> </w:t>
      </w:r>
      <w:r>
        <w:rPr>
          <w:rFonts w:ascii="Myanmar Text" w:hAnsi="Myanmar Text" w:eastAsia="Myanmar Text" w:cs="Myanmar Text"/>
        </w:rPr>
        <w:t>အကျိုးဆက်များနှင့်</w:t>
      </w:r>
      <w:r>
        <w:rPr>
          <w:rFonts w:ascii="Times New Roman" w:hAnsi="Times New Roman" w:eastAsia="Times New Roman" w:cs="Times New Roman"/>
        </w:rPr>
        <w:t xml:space="preserve"> </w:t>
      </w:r>
      <w:r>
        <w:rPr>
          <w:rFonts w:ascii="Myanmar Text" w:hAnsi="Myanmar Text" w:eastAsia="Myanmar Text" w:cs="Myanmar Text"/>
        </w:rPr>
        <w:t>နောက်ဆက်တွဲပြိုကွဲမှုတို့ကို</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ဤလဂါဒ်များ၏</w:t>
      </w:r>
      <w:r>
        <w:rPr>
          <w:rFonts w:ascii="Times New Roman" w:hAnsi="Times New Roman" w:eastAsia="Times New Roman" w:cs="Times New Roman"/>
        </w:rPr>
        <w:t xml:space="preserve"> </w:t>
      </w:r>
      <w:r>
        <w:rPr>
          <w:rFonts w:ascii="Myanmar Text" w:hAnsi="Myanmar Text" w:eastAsia="Myanmar Text" w:cs="Myanmar Text"/>
        </w:rPr>
        <w:t>အဓိကအကြောင်းအရာမှာ</w:t>
      </w:r>
      <w:r>
        <w:rPr>
          <w:rFonts w:ascii="Times New Roman" w:hAnsi="Times New Roman" w:eastAsia="Times New Roman" w:cs="Times New Roman"/>
        </w:rPr>
        <w:t xml:space="preserve"> </w:t>
      </w:r>
      <w:r>
        <w:rPr>
          <w:rFonts w:ascii="Myanmar Text" w:hAnsi="Myanmar Text" w:eastAsia="Myanmar Text" w:cs="Myanmar Text"/>
        </w:rPr>
        <w:t>တောင်ဘက်ဘုရင်၏</w:t>
      </w:r>
      <w:r>
        <w:rPr>
          <w:rFonts w:ascii="Times New Roman" w:hAnsi="Times New Roman" w:eastAsia="Times New Roman" w:cs="Times New Roman"/>
        </w:rPr>
        <w:t xml:space="preserve"> </w:t>
      </w:r>
      <w:r>
        <w:rPr>
          <w:rFonts w:ascii="Myanmar Text" w:hAnsi="Myanmar Text" w:eastAsia="Myanmar Text" w:cs="Myanmar Text"/>
        </w:rPr>
        <w:t>ထွန်းကားခြင်းနှင့်</w:t>
      </w:r>
      <w:r>
        <w:rPr>
          <w:rFonts w:ascii="Times New Roman" w:hAnsi="Times New Roman" w:eastAsia="Times New Roman" w:cs="Times New Roman"/>
        </w:rPr>
        <w:t xml:space="preserve"> </w:t>
      </w:r>
      <w:r>
        <w:rPr>
          <w:rFonts w:ascii="Myanmar Text" w:hAnsi="Myanmar Text" w:eastAsia="Myanmar Text" w:cs="Myanmar Text"/>
        </w:rPr>
        <w:t>ကျဆင်းပျက်စီးခြင်း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Jusqu’à présent, les articles ont mis en évidence les thèmes fondamentaux des lignes prophétiques du chapitre onze. Le verset onze requiert encore un peu de temps avant que nous poursuivions dans le chapitre. Daniel 11, verset 11, correspond à Apocalypse 11, verset 11.</w:t>
      </w:r>
    </w:p>
    <w:p>
      <w:pPr>
        <w:pStyle w:val="ArticleScripture"/>
        <w:jc w:val="left"/>
      </w:pP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प्रविष्ट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11:11</w:t>
      </w:r>
      <w:r>
        <w:rPr>
          <w:rFonts w:ascii="Nirmala UI" w:hAnsi="Nirmala UI" w:eastAsia="Nirmala UI" w:cs="Nirmala UI"/>
        </w:rPr>
        <w:t>।</w:t>
      </w:r>
    </w:p>
    <w:p>
      <w:pPr>
        <w:pStyle w:val="ArticleBody"/>
        <w:jc w:val="left"/>
      </w:pPr>
      <w:r>
        <w:rPr>
          <w:rFonts w:ascii="Times New Roman" w:hAnsi="Times New Roman" w:eastAsia="Times New Roman" w:cs="Times New Roman"/>
        </w:rPr>
        <w:t>Në vitin 2023, dy dëshmitarët që ishin vrarë nga bisha që dilte nga humnera qëndruan më këmbë. Dëshmia e bririt Republikan kishte filluar në vitin 2015 me shpalljen e Donald Trump-it për të kandiduar për presidencën, dhe në vitin 2020 dragoi, i përfaqësuar nga globalistët në botë, si edhe globalistët që përbëjnë partinë Demokratike në bashkërendim me globalistët e partisë Republikane (RINO-t), vodhën zgjedhjet dhe vendosën Joe Biden-in, duke vrarë kështu Donald Trump-in në rrugë. Briri Protestant, i përfaqësuar nga shërbesa Future for America, u vra përmes përhapjes së një parashikimi të gabuar që përshkruante një sulm të Islamit kundër Nashville-it. Në vitin 2023, si briri Republikan ashtu edhe ai Protestant u ringjallën. Vargu njëmbëdhjetë përcakton fillimin e Luftës së Ukrainës në vitin 2014 e në vazhdim deri te fitorja përfundimtare e Putinit dhe e Rusisë.</w:t>
      </w:r>
    </w:p>
    <w:p>
      <w:pPr>
        <w:pStyle w:val="ArticleBody"/>
        <w:jc w:val="left"/>
      </w:pPr>
      <w:r>
        <w:rPr>
          <w:rFonts w:ascii="Times New Roman" w:hAnsi="Times New Roman" w:eastAsia="Times New Roman" w:cs="Times New Roman"/>
        </w:rPr>
        <w:t>Le verset onze est l’épreuve visuelle qui atteint son point culminant lors du jugement pour l’Adventisme en général, mais aussi pour ceux qui ont accepté la lumière du 11 septembre et l’arrivée du troisième malheur; toutefois, il concerne principalement ceux qui seront tenus responsables de la lumière de la prophétie qui a été descellée progressivement depuis juillet 2023.</w:t>
      </w:r>
    </w:p>
    <w:p>
      <w:pPr>
        <w:pStyle w:val="ArticleBody"/>
        <w:jc w:val="left"/>
      </w:pPr>
      <w:r>
        <w:rPr>
          <w:rFonts w:ascii="Times New Roman" w:hAnsi="Times New Roman" w:eastAsia="Times New Roman" w:cs="Times New Roman"/>
        </w:rPr>
        <w:t>Viongozi wa Uadventista walipitiliwa mbali mwaka 1989, kama ilivyofanishwa na kuzaliwa kwa Kristo katika kipindi hicho cha kinabii. Katika ubatizo wa Kristo alianza kuwaita wanafunzi waliokuwa “msingi” wa Kanisa la Kikristo, akifananisha hivyo 9/11, wakati ambapo, kwa kuwasili kwa Uislamu wa ole ya tatu, Bwana aliwaongoza watu Wake kurudi kwenye njia za kale za Yeremia, ambazo zinawakilisha misingi ya Uadventista. Katika 9/11 hukumu ya walio hai ilianza kwa nyumba ya Mungu, na Uadventista waliikataa nuru ya malaika wa Ufunuo kumi na nane kwa hakika ileile ambayo Wayahudi walimkataa Yesu kuwa Masihi. Wale waliokubali nuru ya malaika wa Ufunuo kumi na nane ndipo walijaribiwa kwa kukatishwa tamaa kwa Julai 18, 2020.</w:t>
      </w:r>
    </w:p>
    <w:p>
      <w:pPr>
        <w:pStyle w:val="ArticleBody"/>
        <w:jc w:val="left"/>
      </w:pPr>
      <w:r>
        <w:rPr>
          <w:rFonts w:ascii="Times New Roman" w:hAnsi="Times New Roman" w:eastAsia="Times New Roman" w:cs="Times New Roman"/>
        </w:rPr>
        <w:t>Emuledde bwe wa 2023, omusana ogw’omu Danyeri kkumi n’emu, olunyiriri olw’ekkumi n’olumu gulaga olunyiriri olw’ebweru olw’amazima agaliwo kaakano. Omusana ogwo ogw’okutuukirira kw’obunnabbi okw’ebweru ogusangibwa mu lunyiriri olw’ekkumi n’olumu olw’omu Danyeri kkumi n’emu gwabikkulirwa abawala abagezigezi abazukiziddwa mu lunyiriri olw’ekkumi n’olumu olw’omu Okubikkulirwa essuula ey’ekkumi n’emu. Okubikkulirwa kulaga ebyafaayo eby’omunda Danyeri by’abikkula ng’ebyafaayo eby’ebweru.</w:t>
      </w:r>
    </w:p>
    <w:p>
      <w:pPr>
        <w:pStyle w:val="ArticleBody"/>
        <w:jc w:val="left"/>
      </w:pPr>
      <w:r>
        <w:rPr>
          <w:rFonts w:ascii="Times New Roman" w:hAnsi="Times New Roman" w:eastAsia="Times New Roman" w:cs="Times New Roman"/>
        </w:rPr>
        <w:t>Dergene, som har taget det lys i betragtning, der blev åbnet fra og med juli 2023, repræsenterer to særskilte klasser, for der har allerede været nogle, som engang vandrede sammen efter juli 2023, men som ikke længere vandrer sammen. Dommen er fremadskridende, og fra og med 9/11 blev Syvendedags Adventistkirken givet “tid til at omvende sig” fra sin forkastelse af de “regler for profetisk fortolkning, som blev antaget af Miller og hans medarbejdere,” hvilke den gradvist har forkastet siden 1863. Fra 9/11 og indtil 18. juli 2020 blev Syvendedags Adventistkirken givet sin sidste anledning til at omvende sig, og på det tidspunkt blev de, som havde deltaget i 2020 Nashville-proklamationen, prøvet. I juli er den sidste fase af renselsen fremstillet ved vers elleve i kapitel elleve i Daniels Bog og i Johannes’ Åbenbaring.</w:t>
      </w:r>
    </w:p>
    <w:p>
      <w:pPr>
        <w:pStyle w:val="ArticleBody"/>
        <w:jc w:val="left"/>
      </w:pPr>
      <w:r>
        <w:rPr>
          <w:rFonts w:ascii="Times New Roman" w:hAnsi="Times New Roman" w:eastAsia="Times New Roman" w:cs="Times New Roman"/>
        </w:rPr>
        <w:t>Ity amin’ity dingam-pitsapana ity no tanteraka ny faharoa amin’ireo fitsapana telo. Ny fitsapana faharoa dia fitsapana ara-pahitana, izay ialohavan’ny fitsapana ny filan-komana ary faranan’ny fitsapana fahatelo, izay, tsy tahaka ireo fitsapana roa teo aloha, dia fitsapana manavaka mazava. Rehefa mifoha amin’ny Misasakalina ny virijina noho ny antso hoe: “Indro avy ny Mpampakatra,” dia manana ny diloilo ilaina ny sokajy iray, ary very kosa ny iray hafa. Ny Millerita dia nanatanteraka marina tokoa izany traikefa izany, ary tamin’ny fanaovany izany dia naneho fahatakarana ny tsipika faminaniana ivelany sy anatiny izy ireo.</w:t>
      </w:r>
    </w:p>
    <w:p>
      <w:pPr>
        <w:pStyle w:val="ArticleBody"/>
        <w:jc w:val="left"/>
      </w:pP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රොතෙස්තන්ට්</w:t>
      </w:r>
      <w:r>
        <w:rPr>
          <w:rFonts w:ascii="Times New Roman" w:hAnsi="Times New Roman" w:eastAsia="Times New Roman" w:cs="Times New Roman"/>
        </w:rPr>
        <w:t xml:space="preserve"> </w:t>
      </w:r>
      <w:r>
        <w:rPr>
          <w:rFonts w:ascii="Nirmala UI" w:hAnsi="Nirmala UI" w:eastAsia="Nirmala UI" w:cs="Nirmala UI"/>
        </w:rPr>
        <w:t>වැටීගිය</w:t>
      </w:r>
      <w:r>
        <w:rPr>
          <w:rFonts w:ascii="Times New Roman" w:hAnsi="Times New Roman" w:eastAsia="Times New Roman" w:cs="Times New Roman"/>
        </w:rPr>
        <w:t xml:space="preserve"> </w:t>
      </w:r>
      <w:r>
        <w:rPr>
          <w:rFonts w:ascii="Nirmala UI" w:hAnsi="Nirmala UI" w:eastAsia="Nirmala UI" w:cs="Nirmala UI"/>
        </w:rPr>
        <w:t>සභාවන්</w:t>
      </w:r>
      <w:r>
        <w:rPr>
          <w:rFonts w:ascii="Times New Roman" w:hAnsi="Times New Roman" w:eastAsia="Times New Roman" w:cs="Times New Roman"/>
        </w:rPr>
        <w:t xml:space="preserve"> </w:t>
      </w:r>
      <w:r>
        <w:rPr>
          <w:rFonts w:ascii="Nirmala UI" w:hAnsi="Nirmala UI" w:eastAsia="Nirmala UI" w:cs="Nirmala UI"/>
        </w:rPr>
        <w:t>බාබිලෝනගේ</w:t>
      </w:r>
      <w:r>
        <w:rPr>
          <w:rFonts w:ascii="Times New Roman" w:hAnsi="Times New Roman" w:eastAsia="Times New Roman" w:cs="Times New Roman"/>
        </w:rPr>
        <w:t xml:space="preserve"> </w:t>
      </w:r>
      <w:r>
        <w:rPr>
          <w:rFonts w:ascii="Nirmala UI" w:hAnsi="Nirmala UI" w:eastAsia="Nirmala UI" w:cs="Nirmala UI"/>
        </w:rPr>
        <w:t>දූහිතයන්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හඳුනාගනිමින්</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අත්දැකීමෙන්</w:t>
      </w:r>
      <w:r>
        <w:rPr>
          <w:rFonts w:ascii="Times New Roman" w:hAnsi="Times New Roman" w:eastAsia="Times New Roman" w:cs="Times New Roman"/>
        </w:rPr>
        <w:t xml:space="preserve"> </w:t>
      </w:r>
      <w:r>
        <w:rPr>
          <w:rFonts w:ascii="Nirmala UI" w:hAnsi="Nirmala UI" w:eastAsia="Nirmala UI" w:cs="Nirmala UI"/>
        </w:rPr>
        <w:t>බාහිර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යරාත්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පළමුව</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කාලයක</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තමන්ම</w:t>
      </w:r>
      <w:r>
        <w:rPr>
          <w:rFonts w:ascii="Times New Roman" w:hAnsi="Times New Roman" w:eastAsia="Times New Roman" w:cs="Times New Roman"/>
        </w:rPr>
        <w:t xml:space="preserve"> </w:t>
      </w:r>
      <w:r>
        <w:rPr>
          <w:rFonts w:ascii="Nirmala UI" w:hAnsi="Nirmala UI" w:eastAsia="Nirmala UI" w:cs="Nirmala UI"/>
        </w:rPr>
        <w:t>දැකගැනීම</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එළිදරව්ව</w:t>
      </w:r>
      <w:r>
        <w:rPr>
          <w:rFonts w:ascii="Times New Roman" w:hAnsi="Times New Roman" w:eastAsia="Times New Roman" w:cs="Times New Roman"/>
        </w:rPr>
        <w:t>—</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දෙකෙහිම</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වාක්</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අභ්</w:t>
      </w:r>
      <w:r>
        <w:rPr>
          <w:rFonts w:ascii="Times New Roman" w:hAnsi="Times New Roman" w:eastAsia="Times New Roman" w:cs="Times New Roman"/>
        </w:rPr>
        <w:t>‍</w:t>
      </w:r>
      <w:r>
        <w:rPr>
          <w:rFonts w:ascii="Nirmala UI" w:hAnsi="Nirmala UI" w:eastAsia="Nirmala UI" w:cs="Nirmala UI"/>
        </w:rPr>
        <w:t>යන්තර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බාහිර</w:t>
      </w:r>
      <w:r>
        <w:rPr>
          <w:rFonts w:ascii="Times New Roman" w:hAnsi="Times New Roman" w:eastAsia="Times New Roman" w:cs="Times New Roman"/>
        </w:rPr>
        <w:t xml:space="preserve"> </w:t>
      </w:r>
      <w:r>
        <w:rPr>
          <w:rFonts w:ascii="Nirmala UI" w:hAnsi="Nirmala UI" w:eastAsia="Nirmala UI" w:cs="Nirmala UI"/>
        </w:rPr>
        <w:t>පණිවිඩ</w:t>
      </w:r>
      <w:r>
        <w:rPr>
          <w:rFonts w:ascii="Times New Roman" w:hAnsi="Times New Roman" w:eastAsia="Times New Roman" w:cs="Times New Roman"/>
        </w:rPr>
        <w:t xml:space="preserve"> 2023 </w:t>
      </w:r>
      <w:r>
        <w:rPr>
          <w:rFonts w:ascii="Nirmala UI" w:hAnsi="Nirmala UI" w:eastAsia="Nirmala UI" w:cs="Nirmala UI"/>
        </w:rPr>
        <w:t>ජූලයි</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වර්තමාන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w:t>
      </w:r>
    </w:p>
    <w:p>
      <w:pPr>
        <w:pStyle w:val="ArticleBody"/>
        <w:jc w:val="left"/>
      </w:pPr>
      <w:r>
        <w:rPr>
          <w:rFonts w:ascii="Myanmar Text" w:hAnsi="Myanmar Text" w:eastAsia="Myanmar Text" w:cs="Myanmar Text"/>
        </w:rPr>
        <w:t>တရားဟောဒံယေလအခန်း</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ဒုတိယနှင့်</w:t>
      </w:r>
      <w:r>
        <w:rPr>
          <w:rFonts w:ascii="Times New Roman" w:hAnsi="Times New Roman" w:eastAsia="Times New Roman" w:cs="Times New Roman"/>
        </w:rPr>
        <w:t xml:space="preserve"> </w:t>
      </w:r>
      <w:r>
        <w:rPr>
          <w:rFonts w:ascii="Myanmar Text" w:hAnsi="Myanmar Text" w:eastAsia="Myanmar Text" w:cs="Myanmar Text"/>
        </w:rPr>
        <w:t>မျက်မြင်ဆိုင်ရာ</w:t>
      </w:r>
      <w:r>
        <w:rPr>
          <w:rFonts w:ascii="Times New Roman" w:hAnsi="Times New Roman" w:eastAsia="Times New Roman" w:cs="Times New Roman"/>
        </w:rPr>
        <w:t xml:space="preserve"> </w:t>
      </w:r>
      <w:r>
        <w:rPr>
          <w:rFonts w:ascii="Myanmar Text" w:hAnsi="Myanmar Text" w:eastAsia="Myanmar Text" w:cs="Myanmar Text"/>
        </w:rPr>
        <w:t>စမ်းသပ်ချက်မှာ၊</w:t>
      </w:r>
      <w:r>
        <w:rPr>
          <w:rFonts w:ascii="Times New Roman" w:hAnsi="Times New Roman" w:eastAsia="Times New Roman" w:cs="Times New Roman"/>
        </w:rPr>
        <w:t xml:space="preserve"> </w:t>
      </w:r>
      <w:r>
        <w:rPr>
          <w:rFonts w:ascii="Myanmar Text" w:hAnsi="Myanmar Text" w:eastAsia="Myanmar Text" w:cs="Myanmar Text"/>
        </w:rPr>
        <w:t>ဗာဗုလုန်အစားအစာကို</w:t>
      </w:r>
      <w:r>
        <w:rPr>
          <w:rFonts w:ascii="Times New Roman" w:hAnsi="Times New Roman" w:eastAsia="Times New Roman" w:cs="Times New Roman"/>
        </w:rPr>
        <w:t xml:space="preserve"> </w:t>
      </w:r>
      <w:r>
        <w:rPr>
          <w:rFonts w:ascii="Myanmar Text" w:hAnsi="Myanmar Text" w:eastAsia="Myanmar Text" w:cs="Myanmar Text"/>
        </w:rPr>
        <w:t>စားသောက်ခဲ့သူတို့ထက်</w:t>
      </w:r>
      <w:r>
        <w:rPr>
          <w:rFonts w:ascii="Times New Roman" w:hAnsi="Times New Roman" w:eastAsia="Times New Roman" w:cs="Times New Roman"/>
        </w:rPr>
        <w:t xml:space="preserve"> </w:t>
      </w:r>
      <w:r>
        <w:rPr>
          <w:rFonts w:ascii="Myanmar Text" w:hAnsi="Myanmar Text" w:eastAsia="Myanmar Text" w:cs="Myanmar Text"/>
        </w:rPr>
        <w:t>ဒံယေလနှင့်</w:t>
      </w:r>
      <w:r>
        <w:rPr>
          <w:rFonts w:ascii="Times New Roman" w:hAnsi="Times New Roman" w:eastAsia="Times New Roman" w:cs="Times New Roman"/>
        </w:rPr>
        <w:t xml:space="preserve"> </w:t>
      </w:r>
      <w:r>
        <w:rPr>
          <w:rFonts w:ascii="Myanmar Text" w:hAnsi="Myanmar Text" w:eastAsia="Myanmar Text" w:cs="Myanmar Text"/>
        </w:rPr>
        <w:t>သုံးပါးသော</w:t>
      </w:r>
      <w:r>
        <w:rPr>
          <w:rFonts w:ascii="Times New Roman" w:hAnsi="Times New Roman" w:eastAsia="Times New Roman" w:cs="Times New Roman"/>
        </w:rPr>
        <w:t xml:space="preserve"> </w:t>
      </w:r>
      <w:r>
        <w:rPr>
          <w:rFonts w:ascii="Myanmar Text" w:hAnsi="Myanmar Text" w:eastAsia="Myanmar Text" w:cs="Myanmar Text"/>
        </w:rPr>
        <w:t>ထူးချွန်သူတို့၏</w:t>
      </w:r>
      <w:r>
        <w:rPr>
          <w:rFonts w:ascii="Times New Roman" w:hAnsi="Times New Roman" w:eastAsia="Times New Roman" w:cs="Times New Roman"/>
        </w:rPr>
        <w:t xml:space="preserve"> </w:t>
      </w:r>
      <w:r>
        <w:rPr>
          <w:rFonts w:ascii="Myanmar Text" w:hAnsi="Myanmar Text" w:eastAsia="Myanmar Text" w:cs="Myanmar Text"/>
        </w:rPr>
        <w:t>မျက်နှာသွင်ပြင်သည်</w:t>
      </w:r>
      <w:r>
        <w:rPr>
          <w:rFonts w:ascii="Times New Roman" w:hAnsi="Times New Roman" w:eastAsia="Times New Roman" w:cs="Times New Roman"/>
        </w:rPr>
        <w:t xml:space="preserve"> “</w:t>
      </w:r>
      <w:r>
        <w:rPr>
          <w:rFonts w:ascii="Myanmar Text" w:hAnsi="Myanmar Text" w:eastAsia="Myanmar Text" w:cs="Myanmar Text"/>
        </w:rPr>
        <w:t>အသွင်အပြင်</w:t>
      </w:r>
      <w:r>
        <w:rPr>
          <w:rFonts w:ascii="Times New Roman" w:hAnsi="Times New Roman" w:eastAsia="Times New Roman" w:cs="Times New Roman"/>
        </w:rPr>
        <w:t xml:space="preserve">” </w:t>
      </w:r>
      <w:r>
        <w:rPr>
          <w:rFonts w:ascii="Myanmar Text" w:hAnsi="Myanmar Text" w:eastAsia="Myanmar Text" w:cs="Myanmar Text"/>
        </w:rPr>
        <w:t>အရ</w:t>
      </w:r>
      <w:r>
        <w:rPr>
          <w:rFonts w:ascii="Times New Roman" w:hAnsi="Times New Roman" w:eastAsia="Times New Roman" w:cs="Times New Roman"/>
        </w:rPr>
        <w:t xml:space="preserve"> </w:t>
      </w:r>
      <w:r>
        <w:rPr>
          <w:rFonts w:ascii="Myanmar Text" w:hAnsi="Myanmar Text" w:eastAsia="Myanmar Text" w:cs="Myanmar Text"/>
        </w:rPr>
        <w:t>ပိုမိုလှပ၍</w:t>
      </w:r>
      <w:r>
        <w:rPr>
          <w:rFonts w:ascii="Times New Roman" w:hAnsi="Times New Roman" w:eastAsia="Times New Roman" w:cs="Times New Roman"/>
        </w:rPr>
        <w:t xml:space="preserve"> </w:t>
      </w:r>
      <w:r>
        <w:rPr>
          <w:rFonts w:ascii="Myanmar Text" w:hAnsi="Myanmar Text" w:eastAsia="Myanmar Text" w:cs="Myanmar Text"/>
        </w:rPr>
        <w:t>ပိုမိုပြည့်စုံကြောင်း</w:t>
      </w:r>
      <w:r>
        <w:rPr>
          <w:rFonts w:ascii="Times New Roman" w:hAnsi="Times New Roman" w:eastAsia="Times New Roman" w:cs="Times New Roman"/>
        </w:rPr>
        <w:t xml:space="preserve"> </w:t>
      </w:r>
      <w:r>
        <w:rPr>
          <w:rFonts w:ascii="Myanmar Text" w:hAnsi="Myanmar Text" w:eastAsia="Myanmar Text" w:cs="Myanmar Text"/>
        </w:rPr>
        <w:t>တွေ့ရှိခဲ့ကြသည့်</w:t>
      </w:r>
      <w:r>
        <w:rPr>
          <w:rFonts w:ascii="Times New Roman" w:hAnsi="Times New Roman" w:eastAsia="Times New Roman" w:cs="Times New Roman"/>
        </w:rPr>
        <w:t xml:space="preserve"> </w:t>
      </w:r>
      <w:r>
        <w:rPr>
          <w:rFonts w:ascii="Myanmar Text" w:hAnsi="Myanmar Text" w:eastAsia="Myanmar Text" w:cs="Myanmar Text"/>
        </w:rPr>
        <w:t>အခါဖြစ်သည်။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တွင်မူ</w:t>
      </w:r>
      <w:r>
        <w:rPr>
          <w:rFonts w:ascii="Times New Roman" w:hAnsi="Times New Roman" w:eastAsia="Times New Roman" w:cs="Times New Roman"/>
        </w:rPr>
        <w:t xml:space="preserve"> </w:t>
      </w:r>
      <w:r>
        <w:rPr>
          <w:rFonts w:ascii="Myanmar Text" w:hAnsi="Myanmar Text" w:eastAsia="Myanmar Text" w:cs="Myanmar Text"/>
        </w:rPr>
        <w:t>ထိုမျက်မြင်ဆိုင်ရာ</w:t>
      </w:r>
      <w:r>
        <w:rPr>
          <w:rFonts w:ascii="Times New Roman" w:hAnsi="Times New Roman" w:eastAsia="Times New Roman" w:cs="Times New Roman"/>
        </w:rPr>
        <w:t xml:space="preserve"> </w:t>
      </w:r>
      <w:r>
        <w:rPr>
          <w:rFonts w:ascii="Myanmar Text" w:hAnsi="Myanmar Text" w:eastAsia="Myanmar Text" w:cs="Myanmar Text"/>
        </w:rPr>
        <w:t>စမ်းသပ်ချက်သည်</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နိုင်ငံများ၏</w:t>
      </w:r>
      <w:r>
        <w:rPr>
          <w:rFonts w:ascii="Times New Roman" w:hAnsi="Times New Roman" w:eastAsia="Times New Roman" w:cs="Times New Roman"/>
        </w:rPr>
        <w:t xml:space="preserve"> </w:t>
      </w:r>
      <w:r>
        <w:rPr>
          <w:rFonts w:ascii="Myanmar Text" w:hAnsi="Myanmar Text" w:eastAsia="Myanmar Text" w:cs="Myanmar Text"/>
        </w:rPr>
        <w:t>ရုပ်တုဖြစ်ကြောင်း</w:t>
      </w:r>
      <w:r>
        <w:rPr>
          <w:rFonts w:ascii="Times New Roman" w:hAnsi="Times New Roman" w:eastAsia="Times New Roman" w:cs="Times New Roman"/>
        </w:rPr>
        <w:t xml:space="preserve"> </w:t>
      </w:r>
      <w:r>
        <w:rPr>
          <w:rFonts w:ascii="Myanmar Text" w:hAnsi="Myanmar Text" w:eastAsia="Myanmar Text" w:cs="Myanmar Text"/>
        </w:rPr>
        <w:t>ဖော်ပြခံရမည့်</w:t>
      </w:r>
      <w:r>
        <w:rPr>
          <w:rFonts w:ascii="Times New Roman" w:hAnsi="Times New Roman" w:eastAsia="Times New Roman" w:cs="Times New Roman"/>
        </w:rPr>
        <w:t xml:space="preserve"> </w:t>
      </w:r>
      <w:r>
        <w:rPr>
          <w:rFonts w:ascii="Myanmar Text" w:hAnsi="Myanmar Text" w:eastAsia="Myanmar Text" w:cs="Myanmar Text"/>
        </w:rPr>
        <w:t>လျှို့ဝှက်သတင်းစကားတစ်ရပ်ကို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အနက်ဖော်ပြရန်</w:t>
      </w:r>
      <w:r>
        <w:rPr>
          <w:rFonts w:ascii="Times New Roman" w:hAnsi="Times New Roman" w:eastAsia="Times New Roman" w:cs="Times New Roman"/>
        </w:rPr>
        <w:t xml:space="preserve"> </w:t>
      </w:r>
      <w:r>
        <w:rPr>
          <w:rFonts w:ascii="Myanmar Text" w:hAnsi="Myanmar Text" w:eastAsia="Myanmar Text" w:cs="Myanmar Text"/>
        </w:rPr>
        <w:t>တောင်းဆိုသော</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စမ်းသပ်ချက်အဖြစ်</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ဒုတိယနှင့်</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ကောင်းကင်တမန်တို့ကို</w:t>
      </w:r>
      <w:r>
        <w:rPr>
          <w:rFonts w:ascii="Times New Roman" w:hAnsi="Times New Roman" w:eastAsia="Times New Roman" w:cs="Times New Roman"/>
        </w:rPr>
        <w:t xml:space="preserve"> </w:t>
      </w:r>
      <w:r>
        <w:rPr>
          <w:rFonts w:ascii="Myanmar Text" w:hAnsi="Myanmar Text" w:eastAsia="Myanmar Text" w:cs="Myanmar Text"/>
        </w:rPr>
        <w:t>ကိုယ်စားပြုကြသည်။</w:t>
      </w:r>
    </w:p>
    <w:p>
      <w:pPr>
        <w:pStyle w:val="ArticleBody"/>
        <w:jc w:val="left"/>
      </w:pPr>
      <w:r>
        <w:rPr>
          <w:rFonts w:ascii="Times New Roman" w:hAnsi="Times New Roman" w:eastAsia="Times New Roman" w:cs="Times New Roman"/>
        </w:rPr>
        <w:t>L’ange du deuxième message d’Apocalypse quatorze s’adresse au message externe de l’histoire millérite, et le chapitre deux de Daniel traite lui aussi de la ligne externe au moyen de l’image des bêtes de l’histoire prophétique. L’épreuve visuelle du chapitre un était fondée sur Daniel et les trois dignitaires, et constitue donc la ligne interne. Les lignes externe et interne de la prophétie, représentées par le parallèle entre les chapitres un à trois de Daniel et les trois anges d’Apocalypse quatorze, produisent un autre témoignage en faveur du message du deuxième ange tel qu’accompli par les millérites.</w:t>
      </w:r>
    </w:p>
    <w:p>
      <w:pPr>
        <w:pStyle w:val="ArticleBody"/>
        <w:jc w:val="left"/>
      </w:pPr>
      <w:r>
        <w:rPr>
          <w:rFonts w:ascii="Nirmala UI" w:hAnsi="Nirmala UI" w:eastAsia="Nirmala UI" w:cs="Nirmala UI"/>
        </w:rPr>
        <w:t>मिलरवादीहरूले</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चौधको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मिलरवादीहरूको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दुईको</w:t>
      </w:r>
      <w:r>
        <w:rPr>
          <w:rFonts w:ascii="Times New Roman" w:hAnsi="Times New Roman" w:eastAsia="Times New Roman" w:cs="Times New Roman"/>
        </w:rPr>
        <w:t xml:space="preserve"> </w:t>
      </w:r>
      <w:r>
        <w:rPr>
          <w:rFonts w:ascii="Nirmala UI" w:hAnsi="Nirmala UI" w:eastAsia="Nirmala UI" w:cs="Nirmala UI"/>
        </w:rPr>
        <w:t>प्रतिमासँग</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बाँध्दै।</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प्रतिमाले</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राज्यहरूलाई</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बाबेलदेखि</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बाबेलसम्म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पुग्छ।</w:t>
      </w:r>
      <w:r>
        <w:rPr>
          <w:rFonts w:ascii="Times New Roman" w:hAnsi="Times New Roman" w:eastAsia="Times New Roman" w:cs="Times New Roman"/>
        </w:rPr>
        <w:t xml:space="preserve"> </w:t>
      </w:r>
      <w:r>
        <w:rPr>
          <w:rFonts w:ascii="Nirmala UI" w:hAnsi="Nirmala UI" w:eastAsia="Nirmala UI" w:cs="Nirmala UI"/>
        </w:rPr>
        <w:t>मिलरवादीहरू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सन्देशसँग</w:t>
      </w:r>
      <w:r>
        <w:rPr>
          <w:rFonts w:ascii="Times New Roman" w:hAnsi="Times New Roman" w:eastAsia="Times New Roman" w:cs="Times New Roman"/>
        </w:rPr>
        <w:t xml:space="preserve"> </w:t>
      </w:r>
      <w:r>
        <w:rPr>
          <w:rFonts w:ascii="Nirmala UI" w:hAnsi="Nirmala UI" w:eastAsia="Nirmala UI" w:cs="Nirmala UI"/>
        </w:rPr>
        <w:t>जोडिन्छन्।</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खानको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आहारमा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ओर्लेर</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खुट्टा</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समुद्रमा</w:t>
      </w:r>
      <w:r>
        <w:rPr>
          <w:rFonts w:ascii="Times New Roman" w:hAnsi="Times New Roman" w:eastAsia="Times New Roman" w:cs="Times New Roman"/>
        </w:rPr>
        <w:t xml:space="preserve"> </w:t>
      </w:r>
      <w:r>
        <w:rPr>
          <w:rFonts w:ascii="Nirmala UI" w:hAnsi="Nirmala UI" w:eastAsia="Nirmala UI" w:cs="Nirmala UI"/>
        </w:rPr>
        <w:t>राख्यो</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यूहन्नालाई</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भोकद्वारा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परीक्षाले</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समेट्दछ।</w:t>
      </w:r>
    </w:p>
    <w:p>
      <w:pPr>
        <w:pStyle w:val="ArticleBody"/>
        <w:jc w:val="left"/>
      </w:pPr>
      <w:r>
        <w:rPr>
          <w:rFonts w:ascii="Times New Roman" w:hAnsi="Times New Roman" w:eastAsia="Times New Roman" w:cs="Times New Roman"/>
        </w:rPr>
        <w:t>Verse eleven of Daniel eleven, in parallel with verse eleven of Revelation eleven, represents the twofold visual test. The test concludes at the litmus test, when the virgins manifest whether they have the oil or not. That manifestation occurs just before the close of probation at the Sunday law in the United States. The close of probation at the Sunday law was typified by October 22, 1844. Just before October 22, 1844, on August 17, 1844, the Millerites carried the message like a tidal wave across the eastern seaboard of the United States.</w:t>
      </w:r>
    </w:p>
    <w:p>
      <w:pPr>
        <w:pStyle w:val="ArticleBody"/>
        <w:jc w:val="left"/>
      </w:pPr>
      <w:r>
        <w:rPr>
          <w:rFonts w:ascii="Times New Roman" w:hAnsi="Times New Roman" w:eastAsia="Times New Roman" w:cs="Times New Roman"/>
        </w:rPr>
        <w:t>1989 waa wakhtiga dhammaadka, markii kitaabka Daanyeel la furay; oo marka kitaabka Daanyeel la furo, mar walba waxaa kordha aqoonta, taas oo dhalisa laba nooc oo cibaadaystayaal ah. 1989 waa kii ugu horreeyey saddexdaas tiir-calaamadood ee imtixaanka, sida lagu matalay imaanshihii malaa’igtii kowaad sannadkii 1798. Markii malaa’igtii kowaad soo degtay 11kii Agoosto, 1840, waxay astaan u ahayd malaa’igta Muujintii siddeed iyo tobnaad oo soo degaysa 9/11. Niyad-jabkii ugu horreeyey ee taariikhda Millerite-ka ayaa calaamadeeyey imaanshihii malaa’igtii labaad, wuxuuna astaan u ahaa Luulyo 18, 2020, iyo bilowgii wakhtiga dib-u-dhaca. Millerites-ku si tartiib-tartiib ah ayay ugu baraarugeen farriinta malaa’igta labaad iyo in iyagu ahaayeen bikradihii ku jiray masaalka tobanka bikradood. Waxay si buuxda u baraarugeen shirkii xerada Exeter bishii Agoosto ee 1844. Boqol iyo afar iyo afartan kun waxaa la baraarujiyey Luulyo 2023 markii farriinta Qaylada Habeenbadhku bilowday in si tartiib-tartiib ah loo furo.</w:t>
      </w:r>
    </w:p>
    <w:p>
      <w:pPr>
        <w:pStyle w:val="ArticleBody"/>
        <w:jc w:val="left"/>
      </w:pPr>
      <w:r>
        <w:rPr>
          <w:rFonts w:ascii="Times New Roman" w:hAnsi="Times New Roman" w:eastAsia="Times New Roman" w:cs="Times New Roman"/>
        </w:rPr>
        <w:t>دورهٔ تأخیر برای میلری‌ها در اکستر به پایان رسید، همان‌گونه که برای خاندانِ ایلعازر پایان یافت، آنگاه که عیسی ایلعازر را برخیزانید تا این عمل، تاج‌بخشِ خدمتِ مسیح گردد، هنگامی که ایلعازر «مُهر» خدمتِ او شد. رستاخیزِ ایلعازر نشانگرِ پایانِ زمانِ تأخیر و مُهرگذاریِ قومِ خداست. ورودِ ظفرمندانه‌ای که پس از آن آمد، نمونهٔ اعلامِ پیامِ فریادِ نیمه‌شب در تاریخِ میلریتی بود. مضمونِ آیهٔ یازدهم از بابِ یازدهمِ دانیال، عروج و سقوطِ پادشاهِ جنوب است و این به نبردِ پانیوم در آیاتِ سیزده تا پانزده می‌انجامد. آن آیات محکِ آزمون‌اند، جایی که مُهر بر پیشانیِ مردان و زنانی نهاده می‌شود که باید در آیهٔ شانزدهم همچون عَلَمی برافراشته شوند.</w:t>
      </w:r>
    </w:p>
    <w:p>
      <w:pPr>
        <w:pStyle w:val="ArticleBody"/>
        <w:jc w:val="left"/>
      </w:pP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पन्ध्रौँ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पानियमको</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फिलिप्पीको</w:t>
      </w:r>
      <w:r>
        <w:rPr>
          <w:rFonts w:ascii="Times New Roman" w:hAnsi="Times New Roman" w:eastAsia="Times New Roman" w:cs="Times New Roman"/>
        </w:rPr>
        <w:t xml:space="preserve"> </w:t>
      </w:r>
      <w:r>
        <w:rPr>
          <w:rFonts w:ascii="Nirmala UI" w:hAnsi="Nirmala UI" w:eastAsia="Nirmala UI" w:cs="Nirmala UI"/>
        </w:rPr>
        <w:t>भ्रमणसँग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फिलिप्पीमै</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बारयोनाको</w:t>
      </w:r>
      <w:r>
        <w:rPr>
          <w:rFonts w:ascii="Times New Roman" w:hAnsi="Times New Roman" w:eastAsia="Times New Roman" w:cs="Times New Roman"/>
        </w:rPr>
        <w:t xml:space="preserve"> </w:t>
      </w:r>
      <w:r>
        <w:rPr>
          <w:rFonts w:ascii="Nirmala UI" w:hAnsi="Nirmala UI" w:eastAsia="Nirmala UI" w:cs="Nirmala UI"/>
        </w:rPr>
        <w:t>नाउँ</w:t>
      </w:r>
      <w:r>
        <w:rPr>
          <w:rFonts w:ascii="Times New Roman" w:hAnsi="Times New Roman" w:eastAsia="Times New Roman" w:cs="Times New Roman"/>
        </w:rPr>
        <w:t xml:space="preserve"> </w:t>
      </w:r>
      <w:r>
        <w:rPr>
          <w:rFonts w:ascii="Nirmala UI" w:hAnsi="Nirmala UI" w:eastAsia="Nirmala UI" w:cs="Nirmala UI"/>
        </w:rPr>
        <w:t>पतरसमा</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क्रूसको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चेलाहरूका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क्रूसभन्दा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सिमोनको</w:t>
      </w:r>
      <w:r>
        <w:rPr>
          <w:rFonts w:ascii="Times New Roman" w:hAnsi="Times New Roman" w:eastAsia="Times New Roman" w:cs="Times New Roman"/>
        </w:rPr>
        <w:t xml:space="preserve"> </w:t>
      </w:r>
      <w:r>
        <w:rPr>
          <w:rFonts w:ascii="Nirmala UI" w:hAnsi="Nirmala UI" w:eastAsia="Nirmala UI" w:cs="Nirmala UI"/>
        </w:rPr>
        <w:t>नाउँ</w:t>
      </w:r>
      <w:r>
        <w:rPr>
          <w:rFonts w:ascii="Times New Roman" w:hAnsi="Times New Roman" w:eastAsia="Times New Roman" w:cs="Times New Roman"/>
        </w:rPr>
        <w:t xml:space="preserve"> </w:t>
      </w:r>
      <w:r>
        <w:rPr>
          <w:rFonts w:ascii="Nirmala UI" w:hAnsi="Nirmala UI" w:eastAsia="Nirmala UI" w:cs="Nirmala UI"/>
        </w:rPr>
        <w:t>पतरसमा</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गर्नुहुँदा</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एक्सेटर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लाजरसको</w:t>
      </w:r>
      <w:r>
        <w:rPr>
          <w:rFonts w:ascii="Times New Roman" w:hAnsi="Times New Roman" w:eastAsia="Times New Roman" w:cs="Times New Roman"/>
        </w:rPr>
        <w:t xml:space="preserve"> </w:t>
      </w:r>
      <w:r>
        <w:rPr>
          <w:rFonts w:ascii="Nirmala UI" w:hAnsi="Nirmala UI" w:eastAsia="Nirmala UI" w:cs="Nirmala UI"/>
        </w:rPr>
        <w:t>लिट्मस</w:t>
      </w:r>
      <w:r>
        <w:rPr>
          <w:rFonts w:ascii="Times New Roman" w:hAnsi="Times New Roman" w:eastAsia="Times New Roman" w:cs="Times New Roman"/>
        </w:rPr>
        <w:t xml:space="preserve"> </w:t>
      </w:r>
      <w:r>
        <w:rPr>
          <w:rFonts w:ascii="Nirmala UI" w:hAnsi="Nirmala UI" w:eastAsia="Nirmala UI" w:cs="Nirmala UI"/>
        </w:rPr>
        <w:t>परीक्षणसँग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यरूशलेममा</w:t>
      </w:r>
      <w:r>
        <w:rPr>
          <w:rFonts w:ascii="Times New Roman" w:hAnsi="Times New Roman" w:eastAsia="Times New Roman" w:cs="Times New Roman"/>
        </w:rPr>
        <w:t xml:space="preserve"> </w:t>
      </w:r>
      <w:r>
        <w:rPr>
          <w:rFonts w:ascii="Nirmala UI" w:hAnsi="Nirmala UI" w:eastAsia="Nirmala UI" w:cs="Nirmala UI"/>
        </w:rPr>
        <w:t>विजयोत्सवपूर्ण</w:t>
      </w:r>
      <w:r>
        <w:rPr>
          <w:rFonts w:ascii="Times New Roman" w:hAnsi="Times New Roman" w:eastAsia="Times New Roman" w:cs="Times New Roman"/>
        </w:rPr>
        <w:t xml:space="preserve"> </w:t>
      </w:r>
      <w:r>
        <w:rPr>
          <w:rFonts w:ascii="Nirmala UI" w:hAnsi="Nirmala UI" w:eastAsia="Nirmala UI" w:cs="Nirmala UI"/>
        </w:rPr>
        <w:t>प्रवेशतर्फ</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अगस्ट</w:t>
      </w:r>
      <w:r>
        <w:rPr>
          <w:rFonts w:ascii="Times New Roman" w:hAnsi="Times New Roman" w:eastAsia="Times New Roman" w:cs="Times New Roman"/>
        </w:rPr>
        <w:t xml:space="preserve"> </w:t>
      </w:r>
      <w:r>
        <w:rPr>
          <w:rFonts w:ascii="Nirmala UI" w:hAnsi="Nirmala UI" w:eastAsia="Nirmala UI" w:cs="Nirmala UI"/>
        </w:rPr>
        <w:t>१२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१७</w:t>
      </w:r>
      <w:r>
        <w:rPr>
          <w:rFonts w:ascii="Times New Roman" w:hAnsi="Times New Roman" w:eastAsia="Times New Roman" w:cs="Times New Roman"/>
        </w:rPr>
        <w:t xml:space="preserve">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एक्सेटर</w:t>
      </w:r>
      <w:r>
        <w:rPr>
          <w:rFonts w:ascii="Times New Roman" w:hAnsi="Times New Roman" w:eastAsia="Times New Roman" w:cs="Times New Roman"/>
        </w:rPr>
        <w:t xml:space="preserve"> </w:t>
      </w:r>
      <w:r>
        <w:rPr>
          <w:rFonts w:ascii="Nirmala UI" w:hAnsi="Nirmala UI" w:eastAsia="Nirmala UI" w:cs="Nirmala UI"/>
        </w:rPr>
        <w:t>शिविर</w:t>
      </w:r>
      <w:r>
        <w:rPr>
          <w:rFonts w:ascii="Times New Roman" w:hAnsi="Times New Roman" w:eastAsia="Times New Roman" w:cs="Times New Roman"/>
        </w:rPr>
        <w:t>-</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सत्यमा</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बसाइको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कम्पनभन्दा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व्यवस्थासम्बन्धी</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«Լայնագործությունը Բեթլ-Քրիկում նույն կարգի է։ Սանատորիումի ղեկավարները խառնվել են անհավատների հետ՝ նրանց այս կամ այն չափով ընդունելով իրենց խորհուրդների մեջ, սակայն դա նման է գործի անցնելուն՝ աչքերը փակ։ Նրանց պակասում է զանազանելու կարողությունը՝ տեսնելու, թե ինչ կարող է ցանկացած պահին պայթել մեր վրա։ Կա հուսահատության, պատերազմի և արյունահեղության ոգի, և այդ ոգին պիտի աճի մինչև իսկ ժամանակի լրումը։ Հենց որ Աստծո ժողովուրդը կնքվի իր ճակատներին—դա տեսանելի որևէ կնիք կամ նշան չէ, այլ ճշմարտության մեջ հաստատվելը թե՛ մտավորապես, թե՛ հոգևորապես, այնպես որ նրանք այլևս չկարողանան սասանվել—հենց որ Աստծո ժողովուրդը կնքվի և պատրաստվի ցնցման համար, դա պիտի գա։ Իրապես, այն արդեն իսկ սկսվել է։ Աստծո դատաստաններն այժմ երկրի վրա են՝ մեզ նախազգուշացում տալու համար, որպեսզի իմանանք, թե ինչ է գալու»։ Manuscript Releases, հ. 10, 252.</w:t>
      </w:r>
    </w:p>
    <w:p>
      <w:pPr>
        <w:pStyle w:val="ArticleBody"/>
        <w:jc w:val="left"/>
      </w:pPr>
      <w:r>
        <w:rPr>
          <w:rFonts w:ascii="Times New Roman" w:hAnsi="Times New Roman" w:eastAsia="Times New Roman" w:cs="Times New Roman"/>
        </w:rPr>
        <w:t>Die Versiegelung der einhundertvierundvierzigtausend wurde durch die Lager-Versammlung in Exeter, durch Christi Umbenennung Simons in Petrus und durch die Auferweckung des Lazarus dargestellt. Jene Auferweckung ist ein Sinnbild der Auferstehung der zwei Zeugen in Offenbarung Kapitel elf. Die Verse zehn bis sechzehn stellen die verborgene Geschichte von Vers vierzig dar. Die Entsiegelung der verborgenen Geschichte von Vers vierzig begann innerhalb der geschichtlichen Erfüllung von Vers elf und des ukrainischen Krieges. Seit Juli 2023 befindet sich jene verborgene Geschichte in dem Vorgang, durch den Löwen aus dem Stamme Juda entsiegelt zu werden.</w:t>
      </w:r>
    </w:p>
    <w:p>
      <w:pPr>
        <w:pStyle w:val="ArticleBody"/>
        <w:jc w:val="left"/>
      </w:pPr>
      <w:r>
        <w:rPr>
          <w:rFonts w:ascii="Times New Roman" w:hAnsi="Times New Roman" w:eastAsia="Times New Roman" w:cs="Times New Roman"/>
        </w:rPr>
        <w:t>Quando os candidatos a estar entre os cento e quarenta e quatro mil foram ressuscitados no versículo onze de Apocalipse capítulo onze, começou a prova profética visual que deve ser aprovada antes que a graça se encerre na lei dominical, a qual a Irmã White identifica como a prova da imagem da besta.</w:t>
      </w:r>
    </w:p>
    <w:p>
      <w:pPr>
        <w:pStyle w:val="ArticleScripture"/>
        <w:jc w:val="left"/>
      </w:pPr>
      <w:r>
        <w:rPr>
          <w:rFonts w:ascii="Times New Roman" w:hAnsi="Times New Roman" w:eastAsia="Times New Roman" w:cs="Times New Roman"/>
        </w:rPr>
        <w:t>“Seigneur m’a clairement montré que l’image de la bête sera formée avant la fin du temps de grâce; car elle doit être la grande épreuve pour le peuple de Dieu, par laquelle sa destinée éternelle sera décidée. Votre position est un tel amas d’incohérences que bien peu seront séduits. ”</w:t>
      </w:r>
    </w:p>
    <w:p>
      <w:pPr>
        <w:pStyle w:val="ArticleScripture"/>
        <w:jc w:val="left"/>
      </w:pPr>
      <w:r>
        <w:rPr>
          <w:rFonts w:ascii="Times New Roman" w:hAnsi="Times New Roman" w:eastAsia="Times New Roman" w:cs="Times New Roman"/>
        </w:rPr>
        <w:t>« Dans Apocalypse 13, ce sujet est clairement présenté ; [Apocalypse 13:11–17, cité]. »</w:t>
      </w:r>
    </w:p>
    <w:p>
      <w:pPr>
        <w:pStyle w:val="ArticleScripture"/>
        <w:jc w:val="left"/>
      </w:pPr>
      <w:r>
        <w:rPr>
          <w:rFonts w:ascii="Times New Roman" w:hAnsi="Times New Roman" w:eastAsia="Times New Roman" w:cs="Times New Roman"/>
        </w:rPr>
        <w:t>«Ceci est l’épreuve que le peuple de Dieu doit subir avant d’être scellé. Tous ceux qui auront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Manuscript Releases, volume 15, p. 15.</w:t>
      </w:r>
    </w:p>
    <w:p>
      <w:pPr>
        <w:pStyle w:val="ArticleBody"/>
        <w:jc w:val="left"/>
      </w:pPr>
      <w:r>
        <w:rPr>
          <w:rFonts w:ascii="Times New Roman" w:hAnsi="Times New Roman" w:eastAsia="Times New Roman" w:cs="Times New Roman"/>
        </w:rPr>
        <w:t>Ligne prophétique externe est descellée dans l’histoire du verset onze de Daniel onze, et la ligne interne est descellée dans Apocalypse, chapitre onze, verset onze. La ligne externe identifie comment l’image de la bête, qui représente la combinaison de l’Église et de l’État, l’Église dominant cette relation, se forme durant la période du jugement des vivants. La ligne interne identifie comment l’image du Christ, qui représente une combinaison de la divinité et de l’humanité, se forme durant le jugement des vivants.</w:t>
      </w:r>
    </w:p>
    <w:p>
      <w:pPr>
        <w:pStyle w:val="ArticleBody"/>
        <w:jc w:val="left"/>
      </w:pPr>
      <w:r>
        <w:rPr>
          <w:rFonts w:ascii="Times New Roman" w:hAnsi="Times New Roman" w:eastAsia="Times New Roman" w:cs="Times New Roman"/>
        </w:rPr>
        <w:t>Ifyo guhindura kwa marayika wa gatatu n’abihumbi ijana na mirongo ine na bane kwatangiye mu gihe cy’imperuka mu mwaka wa 1989 nk’uko bigaragazwa mu murongo wa cumi wa Daniyeli cumi na rimwe. Maze isohora ritunganye rya Daniyeli igice cya cumi na kabiri riratangira.</w:t>
      </w:r>
    </w:p>
    <w:p>
      <w:pPr>
        <w:pStyle w:val="ArticleScripture"/>
        <w:jc w:val="left"/>
      </w:pPr>
      <w:r>
        <w:rPr>
          <w:rFonts w:ascii="Times New Roman" w:hAnsi="Times New Roman" w:eastAsia="Times New Roman" w:cs="Times New Roman"/>
        </w:rPr>
        <w:t>Et il dit : Va, Daniel ; car ces paroles seront tenues secrètes et scellées jusqu’au temps de la fin. Plusieurs seront purifiés, blanchis et éprouvés ; mais les méchants agiront méchamment, et aucun des méchants ne comprendra ; mais les sages comprendront. Daniel 12:9, 10.</w:t>
      </w:r>
    </w:p>
    <w:p>
      <w:pPr>
        <w:pStyle w:val="ArticleBody"/>
        <w:jc w:val="left"/>
      </w:pPr>
      <w:r>
        <w:rPr>
          <w:rFonts w:ascii="Myanmar Text" w:hAnsi="Myanmar Text" w:eastAsia="Myanmar Text" w:cs="Myanmar Text"/>
        </w:rPr>
        <w:t>ဧကာဒသအခန်း၏</w:t>
      </w:r>
      <w:r>
        <w:rPr>
          <w:rFonts w:ascii="Times New Roman" w:hAnsi="Times New Roman" w:eastAsia="Times New Roman" w:cs="Times New Roman"/>
        </w:rPr>
        <w:t xml:space="preserve"> </w:t>
      </w:r>
      <w:r>
        <w:rPr>
          <w:rFonts w:ascii="Myanmar Text" w:hAnsi="Myanmar Text" w:eastAsia="Myanmar Text" w:cs="Myanmar Text"/>
        </w:rPr>
        <w:t>ဒသမပိုဒ်သည်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ကြောက်ရွံ့ခြင်း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ဖော်ပြချက်ဖြင့်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သန့်စင်ခြင်းလုပ်ငန်းစဉ်</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အစပြုခြင်းကို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ဧကာဒသပိုဒ်နှင့်</w:t>
      </w:r>
      <w:r>
        <w:rPr>
          <w:rFonts w:ascii="Times New Roman" w:hAnsi="Times New Roman" w:eastAsia="Times New Roman" w:cs="Times New Roman"/>
        </w:rPr>
        <w:t xml:space="preserve"> </w:t>
      </w:r>
      <w:r>
        <w:rPr>
          <w:rFonts w:ascii="Myanmar Text" w:hAnsi="Myanmar Text" w:eastAsia="Myanmar Text" w:cs="Myanmar Text"/>
        </w:rPr>
        <w:t>ဒွာဒသပိုဒ်တို့သည်</w:t>
      </w:r>
      <w:r>
        <w:rPr>
          <w:rFonts w:ascii="Times New Roman" w:hAnsi="Times New Roman" w:eastAsia="Times New Roman" w:cs="Times New Roman"/>
        </w:rPr>
        <w:t xml:space="preserve"> </w:t>
      </w:r>
      <w:r>
        <w:rPr>
          <w:rFonts w:ascii="Myanmar Text" w:hAnsi="Myanmar Text" w:eastAsia="Myanmar Text" w:cs="Myanmar Text"/>
        </w:rPr>
        <w:t>တစ်သိန်းလေးသောင်းလေးထောင်တို့ကို</w:t>
      </w:r>
      <w:r>
        <w:rPr>
          <w:rFonts w:ascii="Times New Roman" w:hAnsi="Times New Roman" w:eastAsia="Times New Roman" w:cs="Times New Roman"/>
        </w:rPr>
        <w:t xml:space="preserve"> </w:t>
      </w:r>
      <w:r>
        <w:rPr>
          <w:rFonts w:ascii="Myanmar Text" w:hAnsi="Myanmar Text" w:eastAsia="Myanmar Text" w:cs="Myanmar Text"/>
        </w:rPr>
        <w:t>ဖြူစင်စေရာအခြေအနေကို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ဇက္ခရိကျမ်းသည်</w:t>
      </w:r>
      <w:r>
        <w:rPr>
          <w:rFonts w:ascii="Times New Roman" w:hAnsi="Times New Roman" w:eastAsia="Times New Roman" w:cs="Times New Roman"/>
        </w:rPr>
        <w:t xml:space="preserve"> </w:t>
      </w:r>
      <w:r>
        <w:rPr>
          <w:rFonts w:ascii="Myanmar Text" w:hAnsi="Myanmar Text" w:eastAsia="Myanmar Text" w:cs="Myanmar Text"/>
        </w:rPr>
        <w:t>ထိုအတွေ့အကြုံကို</w:t>
      </w:r>
      <w:r>
        <w:rPr>
          <w:rFonts w:ascii="Times New Roman" w:hAnsi="Times New Roman" w:eastAsia="Times New Roman" w:cs="Times New Roman"/>
        </w:rPr>
        <w:t xml:space="preserve"> </w:t>
      </w:r>
      <w:r>
        <w:rPr>
          <w:rFonts w:ascii="Myanmar Text" w:hAnsi="Myanmar Text" w:eastAsia="Myanmar Text" w:cs="Myanmar Text"/>
        </w:rPr>
        <w:t>သတ်မှတ်ဖော်ပြထားသည်။</w:t>
      </w:r>
    </w:p>
    <w:p>
      <w:pPr>
        <w:pStyle w:val="ArticleScripture"/>
        <w:jc w:val="left"/>
      </w:pPr>
      <w:r>
        <w:rPr>
          <w:rFonts w:ascii="Times New Roman" w:hAnsi="Times New Roman" w:eastAsia="Times New Roman" w:cs="Times New Roman"/>
        </w:rPr>
        <w:t>At saka ipinakita niya sa akin si Josue na dakilang saserdote, na nakatayo sa harap ng anghel ng Panginoon, at si Satanas na nakatayo sa kaniyang kanan upang salansangin siya. At sinabi ng Panginoon kay Satanas, Sawayin ka nawa ng Panginoon, Oh Satanas; samakatuwid baga’y ng Panginoon na pumili sa Jerusalem ay sumaway sa iyo: hindi ba ito’y isang dupong na naagaw sa apoy? Si Josue nga ay nararamtan ng maruruming kasuutan, at nakatayo sa harap ng anghel. At siya’y sumagot at nagsalita sa mga nakatayo sa harap niya, na sinasabi, Hubarin ninyo sa kaniya ang maruruming kasuutan. At sa kaniya’y sinabi niya, Narito, aking pinaraan sa iyo ang iyong kasamaan, at dadamtan kita ng maringal na kasuutan. At aking sinabi, Papagsuutin nila siya ng isang malinis na turbante sa kaniyang ulo. Sa gayo’y pinagsuutan nila siya ng isang malinis na turbante sa kaniyang ulo, at dinamtan siya ng mga kasuutan. At ang anghel ng Panginoon ay nakatayo sa siping yaon. Zacarias 3:1–5.</w:t>
      </w:r>
    </w:p>
    <w:p>
      <w:pPr>
        <w:pStyle w:val="ArticleBody"/>
        <w:jc w:val="left"/>
      </w:pPr>
      <w:r>
        <w:rPr>
          <w:rFonts w:ascii="Times New Roman" w:hAnsi="Times New Roman" w:eastAsia="Times New Roman" w:cs="Times New Roman"/>
        </w:rPr>
        <w:t>Ce passage s’accomplit dans l’œuvre finale du Christ en tant que Souverain Sacrificateur et représente le scellement des cent quarante-quatre mille.</w:t>
      </w:r>
    </w:p>
    <w:p>
      <w:pPr>
        <w:pStyle w:val="ArticleScripture"/>
        <w:jc w:val="left"/>
      </w:pPr>
      <w:r>
        <w:rPr>
          <w:rFonts w:ascii="Times New Roman" w:hAnsi="Times New Roman" w:eastAsia="Times New Roman" w:cs="Times New Roman"/>
        </w:rPr>
        <w:t>“Zaxariyoning Yoshua va Farishta haqidagi vahiyi buyuk kafforat kunining yakuniy manzaralarida Xudoning xalqi boshidan kechiradigan tajribaga alohida kuch bilan tatbiq etiladi. O‘shanda qoldiq jamoat buyuk sinov va iztirobga duchor qilinadi. Xudoning amrlarini va Isoning imonini saqlaydiganlar ajdarho hamda uning lashkarlarining g‘azabini his etadilar. Shayton dunyoni o‘z fuqarolari deb biladi; u hatto o‘zini masihiy deb da’vo qiluvchi ko‘plab kishilar ustidan ham nazoratni qo‘lga kiritgan. Ammo mana, uning hukmronligiga qarshilik ko‘rsatayotgan kichik bir jamoa bor. Agar ularni yer yuzidan yo‘q qila olsa, uning g‘alabasi to‘la bo‘lar edi. U butparast xalqlarni Isroilni yo‘q qilishga qanday undagan bo‘lsa, yaqin kelajakda ham yer yuzining yovuz kuchlarini Xudoning xalqini yo‘q qilishga qo‘zg‘atadi. Odamlardan ilohiy qonunni buzgan holda insoniy farmonlarga itoat ko‘rsatish talab etiladi.” Prophets and Kings, 587.</w:t>
      </w:r>
    </w:p>
    <w:p>
      <w:pPr>
        <w:pStyle w:val="ArticleBody"/>
        <w:jc w:val="left"/>
      </w:pPr>
      <w:r>
        <w:rPr>
          <w:rFonts w:ascii="Times New Roman" w:hAnsi="Times New Roman" w:eastAsia="Times New Roman" w:cs="Times New Roman"/>
        </w:rPr>
        <w:t>“</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प्रायश्चित्त</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जानेवाली</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विनय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उत्साहवर्धक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पहिनाऊँगा।</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3:4</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निष्कलंक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शेषजन</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विभूषित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भ्रष्टताओं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बहकानेवाले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निष्ठा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विमुख</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प्रवर्तक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स्थानांतरित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पगड़ी</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 bege Satan e ʻōlelo hoʻopiʻi ana, ua hele hūnā aku nā ʻānela hemolele i ʻō a i ʻaneʻi, me ka kau ʻana i ka hōʻailona o ke Akua ola ma luna o ka poʻe kūpaʻa. ʻO kēia nō ka poʻe e kū ana ma luna o ka Mauna ʻo Ziona me ke Keiki hipa, me ka inoa o ka Makua i kākau ʻia ma ko lākou lae. Hīmeni lākou i ke mele hou i mua o ka noho aliʻi, ʻo ia ke mele hiki ʻole i kekahi kanaka ke aʻo, koe wale nō ka haneli me kanahā kūmāhā tausani i hoʻōla ʻia mai ka honua mai. ‘ʻO kēia ka poʻe e hahai ana i ke Keiki hipa i nā wahi a pau āna e hele ai. Ua kūʻai pānaʻi ʻia lākou mai waena mai o nā kānaka, ʻo lākou ka hua mua no ke Akua a no ke Keiki hipa. ʻAʻole i loaʻa kekahi hoʻopunipuni ma ko lākou waha: no ka mea, ʻaʻohe o lākou hala i mua o ka noho aliʻi o ke Akua.’ Hōʻike 14:4, 5.</w:t>
      </w:r>
    </w:p>
    <w:p>
      <w:pPr>
        <w:pStyle w:val="ArticleScripture"/>
        <w:jc w:val="left"/>
      </w:pPr>
      <w:r>
        <w:rPr>
          <w:rFonts w:ascii="Times New Roman" w:hAnsi="Times New Roman" w:eastAsia="Times New Roman" w:cs="Times New Roman"/>
        </w:rPr>
        <w:t>«اقنون فرشتے دے ایں گلّاں دی پُوری تکمیل ہو گئی اے: “ہُݨ سُن، اے یشوع سردار کاہن، تُو تے تیرے او ساتھی جیہڑے تیرے اگے بیٹھدے نیں: کیوں جو او تعجب دا نشان نیں؛ کیوں جو دیکھ، مَیں اپنے خادم، شاخ نوں لے آواں گا۔” زکریاہ 3:8۔ مسیح اپنے لوکاں دے فدیہ دینے والے تے چھٹکارا دینے والے دے طور اُتے ظاہر ہوندا اے۔ ہُݨ واقعی او باقی رہن والے “تعجب دا نشان” نیں، کیوں جو انہاں دی مسافری دے ہنجو تے ذلت خُدا تے برّہ دے حضور خوشی تے عزت دی جگہ لے لیندی اے۔ “اُس دن خداوند دی شاخ حسین تے جلالی ہووے گی، تے زمین دا پھل اسرائیل دے بچ نکلن والیاں لئی نفیس تے خوشنما ہووے گا۔ تے ایویں ہووے گا جو صیون وچ بچ رہ گیا، تے یروشلیم وچ باقی رہ گیا، مقدس اکھایا جاوے گا، یعنی ہر اوہڑا جیہڑا یروشلیم وچ زندہاں وچ لکھیا گیا اے۔” یسعیاہ 4:2، 3۔» انبیا اور سلاطین، 591، 592۔</w:t>
      </w:r>
    </w:p>
    <w:p>
      <w:pPr>
        <w:pStyle w:val="ArticleBody"/>
        <w:jc w:val="left"/>
      </w:pPr>
      <w:r>
        <w:rPr>
          <w:rFonts w:ascii="Times New Roman" w:hAnsi="Times New Roman" w:eastAsia="Times New Roman" w:cs="Times New Roman"/>
        </w:rPr>
        <w:t>Le scellement est la deuxième étape de l’expression de Daniel : « purifiés, blanchis et éprouvés ». Les versets onze et douze identifient l’ascension et la chute finales de la Russie, le roi prophétique du midi, lesquelles précèdent la bataille de Panium aux versets treize à quinze. Lorsque les cent quarante-quatre mille ont leurs vêtements souillés ôtés par Christ dans les scènes finales du grand jour des expiations, ils reçoivent une « tiare pure », ce qui correspond, pour Daniel, à son élévation au rang de troisième dominateur, avec la robe d’écarlate et la chaîne d’or. C’est aussi, pour Joseph, le don de la chaîne d’or, son élévation au rang de second dominateur et le don de l’anneau du roi. L’« anneau » représente le sceau royal dont un souverain se servait pour marquer ses lois de l’empreinte du sceau royal.</w:t>
      </w:r>
    </w:p>
    <w:p>
      <w:pPr>
        <w:pStyle w:val="ArticleBody"/>
        <w:jc w:val="left"/>
      </w:pPr>
      <w:r>
        <w:rPr>
          <w:rFonts w:ascii="Times New Roman" w:hAnsi="Times New Roman" w:eastAsia="Times New Roman" w:cs="Times New Roman"/>
        </w:rPr>
        <w:t>Darius usa il suo anello con sigillo per sigillare la fossa nella quale Daniele fu posto fra i leoni.</w:t>
      </w:r>
    </w:p>
    <w:p>
      <w:pPr>
        <w:pStyle w:val="ArticleScripture"/>
        <w:jc w:val="left"/>
      </w:pPr>
      <w:r>
        <w:rPr>
          <w:rFonts w:ascii="Times New Roman" w:hAnsi="Times New Roman" w:eastAsia="Times New Roman" w:cs="Times New Roman"/>
        </w:rPr>
        <w:t>Ndipo mfalme akaamuru, wakamleta Danieli, wakamtupa ndani ya tundu la simba. Basi mfalme akanena, akamwambia Danieli, Mungu wako umwabuduye daima, yeye atakuokoa. Likaletwa jiwe, likawekwa juu ya mdomo wa tundu; naye mfalme akalitia muhuri kwa pete yake mwenyewe, na kwa pete za wakuu wake; kusudi shauri lile lisibadilike katika habari za Danieli. Danieli 6:16, 17.</w:t>
      </w:r>
    </w:p>
    <w:p>
      <w:pPr>
        <w:pStyle w:val="ArticleBody"/>
        <w:jc w:val="left"/>
      </w:pPr>
      <w:r>
        <w:rPr>
          <w:rFonts w:ascii="Times New Roman" w:hAnsi="Times New Roman" w:eastAsia="Times New Roman" w:cs="Times New Roman"/>
        </w:rPr>
        <w:t>Hebreeuse sõna, mis on tõlgitud kui „pitserisõrmus”, on Strongi järgi H5824 ning see on tuletatud tüvesõnast, mis vastab H5823-le; tähendades pitserisõrmust (otse kui graveeritut). Joosua ingli ees, Taaniel lõvide augus, Joosep vaarao ees kujutavad saja neljakümne nelja tuhande pitseriga kinnitamist, mis on Taanieli kaheteistkümnendas peatükis teine katsumus, kus need, kes on puhastatud, siis „tehakse valgeks”, enne kui neid „läbi katsutakse”. Neid jooni kujutatakse samuti „Serubbaabeli”, „Sealtieli poja” kaudu.</w:t>
      </w:r>
    </w:p>
    <w:p>
      <w:pPr>
        <w:pStyle w:val="ArticleScripture"/>
        <w:jc w:val="left"/>
      </w:pPr>
      <w:r>
        <w:rPr>
          <w:rFonts w:ascii="Times New Roman" w:hAnsi="Times New Roman" w:eastAsia="Times New Roman" w:cs="Times New Roman"/>
        </w:rPr>
        <w:t>به‌درستی در آن روز، خداوند لشکرها می‌فرماید، تو را خواهم گرفت، ای زَروبابل، بندهٔ من، پسر شَألتیئیل، خداوند می‌فرماید، و تو را چون نگین مُهر خواهم ساخت؛ زیرا تو را برگزیده‌ام، خداوند لشکرها می‌فرماید. حَجّی 2:23.</w:t>
      </w:r>
    </w:p>
    <w:p>
      <w:pPr>
        <w:pStyle w:val="ArticleBody"/>
        <w:jc w:val="left"/>
      </w:pPr>
      <w:r>
        <w:rPr>
          <w:rFonts w:ascii="Times New Roman" w:hAnsi="Times New Roman" w:eastAsia="Times New Roman" w:cs="Times New Roman"/>
        </w:rPr>
        <w:t>Zerubbabel signifie « postérité de Babylone », et son père était Shealtiel, ce qui signifie « demandé à Dieu ». Zerubbabel représente le message du deuxième ange, qui appelle la postérité de Babylone à entrer dans le troupeau de Dieu aux derniers jours. L’élément de la « prière » est associé aux cent quarante-quatre mille qui appellent à sortir la postérité finale de Babylone, car ce réveil ne se produit que par la prière.</w:t>
      </w:r>
    </w:p>
    <w:p>
      <w:pPr>
        <w:pStyle w:val="ArticleScripture"/>
        <w:jc w:val="left"/>
      </w:pPr>
      <w:r>
        <w:rPr>
          <w:rFonts w:ascii="Times New Roman" w:hAnsi="Times New Roman" w:eastAsia="Times New Roman" w:cs="Times New Roman"/>
        </w:rPr>
        <w:t>«Omubeera kw’okutya Katonda okw’amazima mu ffe kwe kwetaaga kwaffe okusingira ddala obukulu era okw’amangu okusinga byonna. Okunoonya kino kulina okuba omulimu gwaffe ogusooka. Wateekwa okubaawo okufuba okw’amaanyi okufuna omukisa gwa Mukama, si kubanga Katonda tayagala kutuwa mukisa Gwe, wabula kubanga tetwetegekedde kugufuna. Kitaffe ow’omu ggulu ayagala nnyo okusinga abazadde ab’oku nsi okuwa abaamusaba Omwoyo Omutukuvu, okusinga bwe baagala okuwa abaana baabwe ebirungi. Naye omulimu gwaffe gwe guno, okuyita mu kwatula ebibi, okweetoowaza, okwenenya, n’okusaba okw’amaanyi, okutuukiriza ebyetaagisa Katonda kwe yasuubiza okutuweera omukisa Gwe. Okuddamu obuggya kulina okusubirwa mu kuddamu kwokka eri okusaba. Abantu bwe baba nga bwebatyo nga tebalina nnyo Mwoyo Mutukuvu wa Katonda, tebayinza kusiima kubuulira kw’Ekigambo; naye amaanyi g’Omwoyo bwe gakoma ku mitima gyabwe, kale enjigiriza eziweebwa teziba nga tezirina kye zikola. Nga bakulemberwa okuyigiriza kw’Ekigambo kya Katonda, wamu n’okweyoleka kw’Omwoyo We, mu kukozesa okusalawo okulungi, abo abagenda mu nkuŋŋaana zaffe banaafuna obumanyirivu obw’omuwendo omungi, era nga bakomawo eka, banaabeera beetegefu okukola amaanyi amalungi agaleeta obulamu obulungi.»</w:t>
      </w:r>
    </w:p>
    <w:p>
      <w:pPr>
        <w:pStyle w:val="ArticleScripture"/>
        <w:jc w:val="left"/>
      </w:pPr>
      <w:r>
        <w:rPr>
          <w:rFonts w:ascii="Times New Roman" w:hAnsi="Times New Roman" w:eastAsia="Times New Roman" w:cs="Times New Roman"/>
        </w:rPr>
        <w:t>“Ol dagpela standard-bia save long mining bilong pait wantaim God long prea, na bilong amamas long kapsait bilong Spirit bilong Em. Tasol ol dispela i wok long lusim pinis ples bilong wok; na husat i kam antap bilong kisim ples bilong ol? Em i olsem wanem long nupela lain i wok long kamap? Tru tumas ol i tanim bel i go long God? Yumi kirap long wok i wok long go het insait long hevenli holi ples, o yumi stap wet long sampela strong bilong pulim yumi i kam long sios bipo yumi bai kirap? Yumi wet long lukim olgeta sios i kisim laip gen? Dispela taim bai i no inap kam neva.</w:t>
      </w:r>
    </w:p>
    <w:p>
      <w:pPr>
        <w:pStyle w:val="ArticleScripture"/>
        <w:jc w:val="left"/>
      </w:pPr>
      <w:r>
        <w:rPr>
          <w:rFonts w:ascii="Times New Roman" w:hAnsi="Times New Roman" w:eastAsia="Times New Roman" w:cs="Times New Roman"/>
        </w:rPr>
        <w:t>«په کلیسا کې داسې کسان شته چې نه دي بدلېدلي، او نه به په جدي، غالب دعا کې یو موټی شي. موږ باید هر یو په انفرادي توګه کار ته داخل شو. موږ باید ډېر دعا وکړو، او لږې خبرې وکړو. بدکړنه ډېره شوې ده، او خلکو ته باید وښودل شي چې د دیندارۍ په یوې ظاهري بڼې، بې له روحه او قوته، راضي نه شي. که موږ د خپلو زړونو په پلټنه، د خپلو ګناهونو په لرې کولو، او د خپلو بدو میلانونو په سمولو بوخت واوسو، زموږ نفسونه به باطل ته پورته نه شي؛ موږ به پر ځان بې‌باوره اوسو، او دا تلپاتې احساس به ولرو چې زموږ بسیاينه له خدایه ده.» Selected Messages, book 1, 121, 122.</w:t>
      </w:r>
    </w:p>
    <w:p>
      <w:pPr>
        <w:pStyle w:val="ArticleBody"/>
        <w:jc w:val="left"/>
      </w:pPr>
      <w:r>
        <w:rPr>
          <w:rFonts w:ascii="Times New Roman" w:hAnsi="Times New Roman" w:eastAsia="Times New Roman" w:cs="Times New Roman"/>
        </w:rPr>
        <w:t>La jalon de la oración se presenta en Daniel, donde se describe una oración para comprender el mensaje externo en el capítulo dos, y también una oración para cumplir el mensaje interno representado en el capítulo nueve. Zorobabel y su padre Salatiel representan el sellamiento de los ciento cuarenta y cuatro mil en la segunda prueba, que es la prueba visual de la imagen de la bestia, la cual es también la prueba interna representada en Apocalipsis capítulo once, versículo once, y asimismo la prueba externa representada en Daniel capítulo once, versículo once.</w:t>
      </w:r>
    </w:p>
    <w:p>
      <w:pPr>
        <w:pStyle w:val="ArticleBody"/>
        <w:jc w:val="left"/>
      </w:pPr>
      <w:r>
        <w:rPr>
          <w:rFonts w:ascii="Times New Roman" w:hAnsi="Times New Roman" w:eastAsia="Times New Roman" w:cs="Times New Roman"/>
        </w:rPr>
        <w:t>Tutazidi kuishughulikia aya ya kumi na moja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Mbere ya Cyenda</dc:title>
  <dc:subject>Ligne quatrième</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