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Πάνιον - Αριθμός Ένδεκα Ένδεκα</w:t>
      </w:r>
    </w:p>
    <w:p>
      <w:pPr>
        <w:pStyle w:val="ArticleSubtitle"/>
        <w:jc w:val="left"/>
      </w:pPr>
      <w:r>
        <w:rPr>
          <w:rFonts w:ascii="Arial" w:hAnsi="Arial" w:eastAsia="Arial" w:cs="Arial"/>
        </w:rPr>
        <w:t>Onze, Onze : le témoignage prophétique de Daniel et de l’Apocalypse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Je suis parvenu à ce point dans l’étude de Panium au terme d’un long processus, et le titre « Onze, Onze » vise à souligner que le Lion de la tribu de Juda a coordonné à la fois le livre de Daniel et le livre de l’Apocalypse afin d’exposer les lignes internes et externes de l’histoire du scellement du peuple de Dieu dans le onzième chapitre et le onzième verset. Juste avant la clôture du temps de grâce, un ordre est donné de desceller la prophétie dans l’Apocalypse, laquelle avait été scellée jusqu’au moment où les histoires prophétiques internes et externes représentées par les deux lignes de onze — onze, que l’on trouve dans les livres de Daniel et de l’Apocalypse, devinrent la vérité présente.</w:t>
      </w:r>
    </w:p>
    <w:p>
      <w:pPr>
        <w:pStyle w:val="ArticleScripture"/>
        <w:jc w:val="left"/>
      </w:pPr>
      <w:r>
        <w:rPr>
          <w:rFonts w:ascii="Times New Roman" w:hAnsi="Times New Roman" w:eastAsia="Times New Roman" w:cs="Times New Roman"/>
        </w:rPr>
        <w:t>En hy sê vir my: Moenie die woorde van die profesie van hierdie boek verseël nie, want die tyd is naby. Wie onreg doen, laat hom nog meer onreg doen; en wie vuil is, laat hom nog vuiler word; en wie regverdig is, laat hom nog regverdig wees; en wie heilig is, laat hom nog heiliger wees. Openbaring 22:10, 11.</w:t>
      </w:r>
    </w:p>
    <w:p>
      <w:pPr>
        <w:pStyle w:val="ArticleBody"/>
        <w:jc w:val="left"/>
      </w:pPr>
      <w:r>
        <w:rPr>
          <w:rFonts w:ascii="Times New Roman" w:hAnsi="Times New Roman" w:eastAsia="Times New Roman" w:cs="Times New Roman"/>
        </w:rPr>
        <w:t>“Évangile en français facile” est tout proche, juste avant la fin du temps de grâce, et “Évangile en français facile” est tout proche quand “la Révélation de Jésus-Christ” est descellée.</w:t>
      </w:r>
    </w:p>
    <w:p>
      <w:pPr>
        <w:pStyle w:val="ArticleScripture"/>
        <w:jc w:val="left"/>
      </w:pPr>
      <w:r>
        <w:rPr>
          <w:rFonts w:ascii="Times New Roman" w:hAnsi="Times New Roman" w:eastAsia="Times New Roman" w:cs="Times New Roman"/>
        </w:rPr>
        <w:t>La Révélation de Jésus-Christ, que Dieu lui a donnée pour montrer à ses serviteurs les choses qui doivent arriver bientôt; et il l’a fait connaître, en l’envoyant par son ange à son serviteur Jean, lequel a rendu témoignage à la parole de Dieu et au témoignage de Jésus-Christ, et à tout ce qu’il a vu. Heureux celui qui lit, et ceux qui entendent les paroles de cette prophétie, et qui gardent les choses qui y sont écrites; car le temps est proche. Apocalypse 1:1–3.</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 xml:space="preserve"> </w:t>
      </w:r>
      <w:r>
        <w:rPr>
          <w:rFonts w:ascii="Nirmala UI" w:hAnsi="Nirmala UI" w:eastAsia="Nirmala UI" w:cs="Nirmala UI"/>
        </w:rPr>
        <w:t>উন্মোচন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২০২৩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আহ্বানের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আগমনের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হতেই</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আসছেন</w:t>
      </w:r>
      <w:r>
        <w:rPr>
          <w:rFonts w:ascii="Times New Roman" w:hAnsi="Times New Roman" w:eastAsia="Times New Roman" w:cs="Times New Roman"/>
        </w:rPr>
        <w:t>—</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উন্মোচনের</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প্রকাশও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পালমোনি</w:t>
      </w:r>
      <w:r>
        <w:rPr>
          <w:rFonts w:ascii="Times New Roman" w:hAnsi="Times New Roman" w:eastAsia="Times New Roman" w:cs="Times New Roman"/>
        </w:rPr>
        <w:t xml:space="preserve">,” </w:t>
      </w:r>
      <w:r>
        <w:rPr>
          <w:rFonts w:ascii="Nirmala UI" w:hAnsi="Nirmala UI" w:eastAsia="Nirmala UI" w:cs="Nirmala UI"/>
        </w:rPr>
        <w:t>আশ্চর্য</w:t>
      </w:r>
      <w:r>
        <w:rPr>
          <w:rFonts w:ascii="Times New Roman" w:hAnsi="Times New Roman" w:eastAsia="Times New Roman" w:cs="Times New Roman"/>
        </w:rPr>
        <w:t xml:space="preserve"> </w:t>
      </w:r>
      <w:r>
        <w:rPr>
          <w:rFonts w:ascii="Nirmala UI" w:hAnsi="Nirmala UI" w:eastAsia="Nirmala UI" w:cs="Nirmala UI"/>
        </w:rPr>
        <w:t>সংখ্যাগণনাকারী</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গূঢ়</w:t>
      </w:r>
      <w:r>
        <w:rPr>
          <w:rFonts w:ascii="Times New Roman" w:hAnsi="Times New Roman" w:eastAsia="Times New Roman" w:cs="Times New Roman"/>
        </w:rPr>
        <w:t xml:space="preserve"> </w:t>
      </w:r>
      <w:r>
        <w:rPr>
          <w:rFonts w:ascii="Nirmala UI" w:hAnsi="Nirmala UI" w:eastAsia="Nirmala UI" w:cs="Nirmala UI"/>
        </w:rPr>
        <w:t>বিষয়সমূহের</w:t>
      </w:r>
      <w:r>
        <w:rPr>
          <w:rFonts w:ascii="Times New Roman" w:hAnsi="Times New Roman" w:eastAsia="Times New Roman" w:cs="Times New Roman"/>
        </w:rPr>
        <w:t xml:space="preserve"> </w:t>
      </w:r>
      <w:r>
        <w:rPr>
          <w:rFonts w:ascii="Nirmala UI" w:hAnsi="Nirmala UI" w:eastAsia="Nirmala UI" w:cs="Nirmala UI"/>
        </w:rPr>
        <w:t>গণনাকারী।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পরীক্ষণপ্রক্রিয়ায়</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হাজারকে</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Certes, moi, je vous baptise d’eau pour la repentance; mais celui qui vient après moi est plus puissant que moi, et je ne suis pas digne de porter ses souliers: lui, il vous baptisera du Saint-Esprit et de feu; il a son van à la main, et il nettoiera entièrement son aire, et il amassera son blé dans le grenier; mais il brûlera la balle au feu qui ne s’éteint point. Matthieu 3:11, 12.</w:t>
      </w:r>
    </w:p>
    <w:p>
      <w:pPr>
        <w:pStyle w:val="ArticleScripture"/>
        <w:jc w:val="left"/>
      </w:pPr>
      <w:r>
        <w:rPr>
          <w:rFonts w:ascii="Times New Roman" w:hAnsi="Times New Roman" w:eastAsia="Times New Roman" w:cs="Times New Roman"/>
        </w:rPr>
        <w:t>«Кайчан бу чистарту эше башланырын мин әйтә алмыйм, ләкин ул озакка кичектерелмәс. Кулында иләге булган Зат Үзенең гыйбадәтханәсен аның әхлакый нәҗеслегеннән пакьләячәк. Ул Үзенең ындыр табагын тулысынча чистартыр». Testimonies to Ministers, 372, 373.</w:t>
      </w:r>
    </w:p>
    <w:p>
      <w:pPr>
        <w:pStyle w:val="ArticleBody"/>
        <w:jc w:val="left"/>
      </w:pPr>
      <w:r>
        <w:rPr>
          <w:rFonts w:ascii="Times New Roman" w:hAnsi="Times New Roman" w:eastAsia="Times New Roman" w:cs="Times New Roman"/>
        </w:rPr>
        <w:t>The lines of prophecy which identify the time of the sealing as a prophetic testing process are more than abundant. It is clear that the testing process is based upon the students aptitude and ability to apply the correct or incorrect methodology for studying God’s prophetic Word. This truth is also abundantly set forth within the inspired record.</w:t>
      </w:r>
    </w:p>
    <w:p>
      <w:pPr>
        <w:pStyle w:val="ArticleScripture"/>
        <w:jc w:val="left"/>
      </w:pPr>
      <w:r>
        <w:rPr>
          <w:rFonts w:ascii="Times New Roman" w:hAnsi="Times New Roman" w:eastAsia="Times New Roman" w:cs="Times New Roman"/>
        </w:rPr>
        <w:t>Sedangkan mengenai keempat anak ini, Allah mengaruniakan kepada mereka pengetahuan dan kecakapan dalam segala ilmu dan hikmat; dan kepada Daniel Ia memberi pengertian tentang segala penglihatan dan mimpi. Maka pada akhir masa yang telah ditetapkan raja untuk membawa mereka masuk, kepala sida-sida membawa mereka menghadap Nebukadnezar. Lalu raja bercakap-cakap dengan mereka; dan di antara mereka semua tidak didapati seorang pun seperti Daniel, Hananya, Misael, dan Azarya; sebab itu mereka berdiri di hadapan raja. Dan dalam segala perkara hikmat dan pengertian yang ditanyakan raja kepada mereka, didapatinya mereka sepuluh kali lebih unggul daripada semua ahli sihir dan ahli nujum yang ada di seluruh kerajaannya. Daniel 1:17–20.</w:t>
      </w:r>
    </w:p>
    <w:p>
      <w:pPr>
        <w:pStyle w:val="ArticleBody"/>
        <w:jc w:val="left"/>
      </w:pPr>
      <w:r>
        <w:rPr>
          <w:rFonts w:ascii="Times New Roman" w:hAnsi="Times New Roman" w:eastAsia="Times New Roman" w:cs="Times New Roman"/>
        </w:rPr>
        <w:t>A premier rule of prophetic interpretation is that truth is established upon the testimony of two, and those who fail to have confidence in the principle are setting themselves up for failure. An element of the testing process during the sealing time, involves the recognition of the connection of the internal and external histories represented in chapter eleven and verse eleven by Daniel and John.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ជំពូកវិវរណៈជាសៀវភៅដែលបានបិទត្រា</w:t>
      </w:r>
      <w:r>
        <w:rPr>
          <w:rFonts w:ascii="Times New Roman" w:hAnsi="Times New Roman" w:eastAsia="Times New Roman" w:cs="Times New Roman"/>
        </w:rPr>
        <w:t xml:space="preserve"> </w:t>
      </w:r>
      <w:r>
        <w:rPr>
          <w:rFonts w:ascii="Leelawadee UI" w:hAnsi="Leelawadee UI" w:eastAsia="Leelawadee UI" w:cs="Leelawadee UI"/>
        </w:rPr>
        <w:t>ប៉ុន្តែក៏ជាសៀវភៅដែលបានបើកផងដែរ។</w:t>
      </w:r>
      <w:r>
        <w:rPr>
          <w:rFonts w:ascii="Times New Roman" w:hAnsi="Times New Roman" w:eastAsia="Times New Roman" w:cs="Times New Roman"/>
        </w:rPr>
        <w:t xml:space="preserve"> </w:t>
      </w:r>
      <w:r>
        <w:rPr>
          <w:rFonts w:ascii="Leelawadee UI" w:hAnsi="Leelawadee UI" w:eastAsia="Leelawadee UI" w:cs="Leelawadee UI"/>
        </w:rPr>
        <w:t>វាកត់ត្រាព្រឹត្តិការណ៍ដ៏អស្ចារ្យដែលនឹងកើតឡើងនៅថ្ងៃចុងក្រោយនៃប្រវត្តិសាស្ត្រផែនដីនេះ។</w:t>
      </w:r>
      <w:r>
        <w:rPr>
          <w:rFonts w:ascii="Times New Roman" w:hAnsi="Times New Roman" w:eastAsia="Times New Roman" w:cs="Times New Roman"/>
        </w:rPr>
        <w:t xml:space="preserve"> </w:t>
      </w:r>
      <w:r>
        <w:rPr>
          <w:rFonts w:ascii="Leelawadee UI" w:hAnsi="Leelawadee UI" w:eastAsia="Leelawadee UI" w:cs="Leelawadee UI"/>
        </w:rPr>
        <w:t>សេចក្ដីបង្រៀននៅក្នុងសៀវភៅនេះមានលក្ខណៈច្បាស់លាស់</w:t>
      </w:r>
      <w:r>
        <w:rPr>
          <w:rFonts w:ascii="Times New Roman" w:hAnsi="Times New Roman" w:eastAsia="Times New Roman" w:cs="Times New Roman"/>
        </w:rPr>
        <w:t xml:space="preserve"> </w:t>
      </w:r>
      <w:r>
        <w:rPr>
          <w:rFonts w:ascii="Leelawadee UI" w:hAnsi="Leelawadee UI" w:eastAsia="Leelawadee UI" w:cs="Leelawadee UI"/>
        </w:rPr>
        <w:t>មិនមែនអាថ៌កំបាំង</w:t>
      </w:r>
      <w:r>
        <w:rPr>
          <w:rFonts w:ascii="Times New Roman" w:hAnsi="Times New Roman" w:eastAsia="Times New Roman" w:cs="Times New Roman"/>
        </w:rPr>
        <w:t xml:space="preserve"> </w:t>
      </w:r>
      <w:r>
        <w:rPr>
          <w:rFonts w:ascii="Leelawadee UI" w:hAnsi="Leelawadee UI" w:eastAsia="Leelawadee UI" w:cs="Leelawadee UI"/>
        </w:rPr>
        <w:t>និងមិនអាចយល់បានឡើយ។</w:t>
      </w:r>
      <w:r>
        <w:rPr>
          <w:rFonts w:ascii="Times New Roman" w:hAnsi="Times New Roman" w:eastAsia="Times New Roman" w:cs="Times New Roman"/>
        </w:rPr>
        <w:t xml:space="preserve"> </w:t>
      </w:r>
      <w:r>
        <w:rPr>
          <w:rFonts w:ascii="Leelawadee UI" w:hAnsi="Leelawadee UI" w:eastAsia="Leelawadee UI" w:cs="Leelawadee UI"/>
        </w:rPr>
        <w:t>នៅក្នុងវា</w:t>
      </w:r>
      <w:r>
        <w:rPr>
          <w:rFonts w:ascii="Times New Roman" w:hAnsi="Times New Roman" w:eastAsia="Times New Roman" w:cs="Times New Roman"/>
        </w:rPr>
        <w:t xml:space="preserve"> </w:t>
      </w:r>
      <w:r>
        <w:rPr>
          <w:rFonts w:ascii="Leelawadee UI" w:hAnsi="Leelawadee UI" w:eastAsia="Leelawadee UI" w:cs="Leelawadee UI"/>
        </w:rPr>
        <w:t>ខ្សែបន្ទាត់នៃទំនាយដដែលត្រូវបានលើកឡើងដូចនៅក្នុងដានីយ៉ែល។</w:t>
      </w:r>
      <w:r>
        <w:rPr>
          <w:rFonts w:ascii="Times New Roman" w:hAnsi="Times New Roman" w:eastAsia="Times New Roman" w:cs="Times New Roman"/>
        </w:rPr>
        <w:t xml:space="preserve"> </w:t>
      </w:r>
      <w:r>
        <w:rPr>
          <w:rFonts w:ascii="Leelawadee UI" w:hAnsi="Leelawadee UI" w:eastAsia="Leelawadee UI" w:cs="Leelawadee UI"/>
        </w:rPr>
        <w:t>ទំនាយខ្លះៗ</w:t>
      </w:r>
      <w:r>
        <w:rPr>
          <w:rFonts w:ascii="Times New Roman" w:hAnsi="Times New Roman" w:eastAsia="Times New Roman" w:cs="Times New Roman"/>
        </w:rPr>
        <w:t xml:space="preserve"> </w:t>
      </w:r>
      <w:r>
        <w:rPr>
          <w:rFonts w:ascii="Leelawadee UI" w:hAnsi="Leelawadee UI" w:eastAsia="Leelawadee UI" w:cs="Leelawadee UI"/>
        </w:rPr>
        <w:t>ព្រះបានមានបន្ទូលម្ដងទៀត</w:t>
      </w:r>
      <w:r>
        <w:rPr>
          <w:rFonts w:ascii="Times New Roman" w:hAnsi="Times New Roman" w:eastAsia="Times New Roman" w:cs="Times New Roman"/>
        </w:rPr>
        <w:t xml:space="preserve"> </w:t>
      </w:r>
      <w:r>
        <w:rPr>
          <w:rFonts w:ascii="Leelawadee UI" w:hAnsi="Leelawadee UI" w:eastAsia="Leelawadee UI" w:cs="Leelawadee UI"/>
        </w:rPr>
        <w:t>ដោយបង្ហាញថា</w:t>
      </w:r>
      <w:r>
        <w:rPr>
          <w:rFonts w:ascii="Times New Roman" w:hAnsi="Times New Roman" w:eastAsia="Times New Roman" w:cs="Times New Roman"/>
        </w:rPr>
        <w:t xml:space="preserve"> </w:t>
      </w:r>
      <w:r>
        <w:rPr>
          <w:rFonts w:ascii="Leelawadee UI" w:hAnsi="Leelawadee UI" w:eastAsia="Leelawadee UI" w:cs="Leelawadee UI"/>
        </w:rPr>
        <w:t>ត្រូវយកចិត្តទុកដាក់ចំពោះទំនាយទាំងនោះ។</w:t>
      </w:r>
      <w:r>
        <w:rPr>
          <w:rFonts w:ascii="Times New Roman" w:hAnsi="Times New Roman" w:eastAsia="Times New Roman" w:cs="Times New Roman"/>
        </w:rPr>
        <w:t xml:space="preserve"> </w:t>
      </w:r>
      <w:r>
        <w:rPr>
          <w:rFonts w:ascii="Leelawadee UI" w:hAnsi="Leelawadee UI" w:eastAsia="Leelawadee UI" w:cs="Leelawadee UI"/>
        </w:rPr>
        <w:t>ព្រះអម្ចាស់មិនមានបន្ទូលស្ទួនអំពីអ្វីៗដែលគ្មានសារៈសំខាន់ធំដុំឡើយ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Manuscript Releases, volume 9, 8.</w:t>
      </w:r>
    </w:p>
    <w:p>
      <w:pPr>
        <w:pStyle w:val="ArticleBody"/>
        <w:jc w:val="left"/>
      </w:pPr>
      <w:r>
        <w:rPr>
          <w:rFonts w:ascii="Times New Roman" w:hAnsi="Times New Roman" w:eastAsia="Times New Roman" w:cs="Times New Roman"/>
        </w:rPr>
        <w:t>Az Dániel és a Jelenések könyve két tanút jelképez, és a száznegyvennégyezer a Jelenések tizenegyedik fejezetében szintén két tanúként van bemutatva. A fejezet tizenegyedik versében a két tanú, akiket Illés és Mózes jelképez, feltámad, amint azt előképezi János a forró olajban és Dániel az oroszlánok vermében. A száznegyvennégyezer Dániel és János által is, valamint Illés és Mózes által is van jelképezve. Ahhoz, hogy valaki sikeresen helytálljon abban a megpróbáltatási folyamatban, amely létrehozza a száznegyvennégyezret, a tanulónak meg kell értenie, hogy az igazság két tanú által állapíttatik meg, hogy Dániel és a Jelenések könyve két tanút jelképez, és hogy a száznegyvennégyezer előképként Illés és Mózes, valamint Dániel és János által is meg lett jelenítve.</w:t>
      </w:r>
    </w:p>
    <w:p>
      <w:pPr>
        <w:pStyle w:val="ArticleBody"/>
        <w:jc w:val="left"/>
      </w:pPr>
      <w:r>
        <w:rPr>
          <w:rFonts w:ascii="Times New Roman" w:hAnsi="Times New Roman" w:eastAsia="Times New Roman" w:cs="Times New Roman"/>
        </w:rPr>
        <w:t>Ces vérités ne constituent qu’un bref aperçu des vérités prophétiques liées à l’histoire intérieure et extérieure représentée par « onze, onze » tant dans Daniel que dans l’Apocalypse. En tant que Palmoni, Christ a guidé l’alignement des deux passages, ainsi que le fait que onze, plus onze, égale vingt-deux, ce qui, à son tour, est une dîme, ou un dixième, de deux cent vingt, lequel est un symbole de la combinaison de la divinité avec l’humanité. Palmoni a établi sur plus de deux témoins que « deux cent vingt » représente la combinaison de la divinité et de l’humanité, ce qui constitue à son tour une description de l’incarnation de Christ lorsqu’Il prit sur Lui une chair déchue. Ce faisant, Il a présenté à l’humanité l’exemple selon lequel, si les hommes sont disposés à satisfaire aux exigences de l’Évangile, Christ est disposé à unir Sa divinité à notre humanité. La divinité et l’humanité sont donc deux témoins.</w:t>
      </w:r>
    </w:p>
    <w:p>
      <w:pPr>
        <w:pStyle w:val="ArticleBody"/>
        <w:jc w:val="left"/>
      </w:pPr>
      <w:r>
        <w:rPr>
          <w:rFonts w:ascii="Times New Roman" w:hAnsi="Times New Roman" w:eastAsia="Times New Roman" w:cs="Times New Roman"/>
        </w:rPr>
        <w:t>Az „Jézus Krisztus kijelentése”, amely közvetlenül a kegyelmi idő lezárulása előtt tárult fel, magában foglalja azt is, hogy Jézus Isten „Igéje”.</w:t>
      </w:r>
    </w:p>
    <w:p>
      <w:pPr>
        <w:pStyle w:val="ArticleScripture"/>
        <w:jc w:val="left"/>
      </w:pPr>
      <w:r>
        <w:rPr>
          <w:rFonts w:ascii="Times New Roman" w:hAnsi="Times New Roman" w:eastAsia="Times New Roman" w:cs="Times New Roman"/>
        </w:rPr>
        <w:t>Au commencement était la Parole, et la Parole était avec Dieu, et la Parole était Dieu. Elle était au commencement avec Dieu. Toutes choses ont été faites par elle; et rien de ce qui a été fait n’a été fait sans elle. En elle était la vie; et la vie était la lumière des hommes. Et la lumière luit dans les ténèbres; et les ténèbres ne l’ont point reçue. Jean 1:1–5.</w:t>
      </w:r>
    </w:p>
    <w:p>
      <w:pPr>
        <w:pStyle w:val="ArticleBody"/>
        <w:jc w:val="left"/>
      </w:pPr>
      <w:r>
        <w:rPr>
          <w:rFonts w:ascii="Times New Roman" w:hAnsi="Times New Roman" w:eastAsia="Times New Roman" w:cs="Times New Roman"/>
        </w:rPr>
        <w:t>Bib la se “Pawòl” Bondye a ki, menm jan Kris la reprezante konbinezon divinite ak limanite. Bib la reprezante de temwen Ansyen ak Nouvo Testaman yo, ki se tou Moyiz ak Eli nan Revelasyon chapit onz la.</w:t>
      </w:r>
    </w:p>
    <w:p>
      <w:pPr>
        <w:pStyle w:val="ArticleScripture"/>
        <w:jc w:val="left"/>
      </w:pPr>
      <w:r>
        <w:rPr>
          <w:rFonts w:ascii="Times New Roman" w:hAnsi="Times New Roman" w:eastAsia="Times New Roman" w:cs="Times New Roman"/>
        </w:rPr>
        <w:t>“Ko saabsan labada markhaati nebigu wuxuu sii caddeeyaa: ‘Kuwanu waa labada geed oo saytuun ah iyo labada laambadood oo hor taagan Ilaaha dhulka.’ ‘Eraygaagu,’ ayuu yidhi qoraagii Sabuurka, ‘waa laambad cagahayga u ah, waana iftiin jidkayga u ah.’ Muujintii 11:4; Sabuurradii 119:105. Labada markhaatina waxay matalaan Qorniinnada Axdigii Hore iyo Axdiga Cusub.” The Great Controversy, 267.</w:t>
      </w:r>
    </w:p>
    <w:p>
      <w:pPr>
        <w:pStyle w:val="ArticleBody"/>
        <w:jc w:val="left"/>
      </w:pP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दीपवृक्ष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अनमुद्रित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अभ्यर्थी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दीपवृक्ष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बाएँ</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डालियाँ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नलियों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उँडेलती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4:11–14</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कटोरों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उँडेलते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चेतावनियों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विनतियों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अविश्वासियों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आवश्यकताएँ</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लालसाओं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अभिलाषाओं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The Seventh-day Adventist Bible Commentary, volume 4, 1180.</w:t>
      </w:r>
    </w:p>
    <w:p>
      <w:pPr>
        <w:pStyle w:val="ArticleBody"/>
        <w:jc w:val="left"/>
      </w:pPr>
      <w:r>
        <w:rPr>
          <w:rFonts w:ascii="Times New Roman" w:hAnsi="Times New Roman" w:eastAsia="Times New Roman" w:cs="Times New Roman"/>
        </w:rPr>
        <w:t>E Mbi i Perëndisë është njëherazi Bibla dhe Krishti, dhe Bibla dhe Krishti përfaqësojnë dy dëshmitarë, ashtu si edhe njëqind e dyzet e katër mijët. Dy dëshmitarët, nga ana e tyre, përfaqësojnë një ndërthurje të hyjnores me njerëzoren. Ata përfaqësojnë gjithashtu histori profetike të brendshme dhe të jashtme. Si dëshmitarë, ata dhanë provë se hyjnorja e bashkuar me njerëzoren nuk mëkaton. Ata përfaqësojnë gjithashtu lidhjen midis hyjnores dhe njerëzores. Qoftë një shkallë, një kanal, gypa, engjëj apo cilido nga simbolet e tjera të hallkës së komunikimit midis Perëndisë dhe njeriut, mesazhi që i përcillet njeriut është gjithmonë jetë ose vdekje.</w:t>
      </w:r>
    </w:p>
    <w:p>
      <w:pPr>
        <w:pStyle w:val="ArticleScripture"/>
        <w:jc w:val="left"/>
      </w:pPr>
      <w:r>
        <w:rPr>
          <w:rFonts w:ascii="Times New Roman" w:hAnsi="Times New Roman" w:eastAsia="Times New Roman" w:cs="Times New Roman"/>
        </w:rPr>
        <w:t>«Жердің бүкіл Иесінің жанында тұрған майланғандар, бір кезде Шайтанға көлегейлеуші керуб ретінде берілген орынды иеленеді. Өзінің тағысын қоршап тұрған киелі болмыстар арқылы Жаратқан Ие жер тұрғындарымен үздіксіз байланыс сақтайды. Алтын май — Құдай сенушілердің шамдарын жыпылықтап сөніп қалмасын деп қамтамасыз етіп тұратын рақымын білдіреді. Егер осы киелі май көктен Құдай Рухының хабарлары арқылы төгілмесе, зұлымдық күштері адамдарды толық билеп-төстер еді.»</w:t>
      </w:r>
    </w:p>
    <w:p>
      <w:pPr>
        <w:pStyle w:val="ArticleScripture"/>
        <w:jc w:val="left"/>
      </w:pPr>
      <w:r>
        <w:rPr>
          <w:rFonts w:ascii="Times New Roman" w:hAnsi="Times New Roman" w:eastAsia="Times New Roman" w:cs="Times New Roman"/>
        </w:rPr>
        <w:t>“Бог се обезчестява, когато не приемаме вестите, които Той ни изпраща. Така ние отказваме златното масло, което Той би излял в душите ни, за да бъде предавано на онези, които са в тъмнина. Когато прозвучи повикът: „Ето, младоженецът иде; излезте да го посрещнете“, онези, които не са приели святото масло, които не са пазили Христовата благодат в сърцата си, ще открият, както неразумните девици, че не са готови да посрещнат своя Господ. Те нямат в себе си сила да се снабдят с маслото и животът им претърпява крушение. Но ако Божият Свети Дух бъде поискан, ако умоляваме, както Мойсей: „Покажи ми славата Си“, Божията любов ще се излее в сърцата ни. Чрез златните тръби златното масло ще ни бъде предадено. „Не чрез сила, нито чрез мощ, но чрез Духа Ми, казва Господ на Силите.“ Като приемат светлите лъчи на Слънцето на правдата, Божиите чеда светят като светила в света.” Review and Herald, July 20, 1897.</w:t>
      </w:r>
    </w:p>
    <w:p>
      <w:pPr>
        <w:pStyle w:val="ArticleBody"/>
        <w:jc w:val="left"/>
      </w:pPr>
      <w:r>
        <w:rPr>
          <w:rFonts w:ascii="Times New Roman" w:hAnsi="Times New Roman" w:eastAsia="Times New Roman" w:cs="Times New Roman"/>
        </w:rPr>
        <w:t>Ukuthululwa kukaMoya oNgcwele kwenzeka ngesikhathi semilando yangaphakathi nengaphandle ephawulwe nguDaniyeli kanye neSambulo 11:11. Kukhona “okungenani” abalingiswa abane besiprofetho abamelwe emavesini eleshumi nanye nelelishumi nambili esahluko seshumi nanye sikaDaniyeli okufanele bahlonzwe. Kukhona futhi abane okufanele bahlonzwe emavesini eleshumi nantathu kuya kweleshumi nanhlanu, nabane evesini leshumi nesithupha. Manje siphila kulowo mlando uqobo, ngakho kuyasifanele, njengabafundi besiprofetho, ukuba sihlukanise ukuthi bangobani abalingiswa abafanekiselayo bamavesi eleshumi nanye kuya kweleshumi nesithupha, ngokuba bamele umugqa wesiprofetho ohlanganisa umlando ofihlekile wevesi lamashumi amane leso sahluko esifanayo.</w:t>
      </w:r>
    </w:p>
    <w:p>
      <w:pPr>
        <w:pStyle w:val="ArticleBody"/>
        <w:jc w:val="left"/>
      </w:pPr>
      <w:r>
        <w:rPr>
          <w:rFonts w:ascii="Times New Roman" w:hAnsi="Times New Roman" w:eastAsia="Times New Roman" w:cs="Times New Roman"/>
        </w:rPr>
        <w:t>Il paraît également pertinent d’identifier les personnages représentés dans l’histoire du verset quarante, laquelle se descelle depuis 1989.</w:t>
      </w:r>
    </w:p>
    <w:p>
      <w:pPr>
        <w:pStyle w:val="ArticleScripture"/>
        <w:jc w:val="left"/>
      </w:pPr>
      <w:r>
        <w:rPr>
          <w:rFonts w:ascii="Times New Roman" w:hAnsi="Times New Roman" w:eastAsia="Times New Roman" w:cs="Times New Roman"/>
        </w:rPr>
        <w:t>Il dit : Va, Daniel, car ces paroles seront tenues closes et scellées jusqu’au temps de la fin. Plusieurs seront purifiés, blanchis et éprouvés ; mais les méchants agiront méchamment ; aucun des méchants ne comprendra, mais les sages comprendront. Daniel 12:9, 10.</w:t>
      </w:r>
    </w:p>
    <w:p>
      <w:pPr>
        <w:pStyle w:val="ArticleBody"/>
        <w:jc w:val="left"/>
      </w:pP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በዘመኑ</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የፈረንሳይ</w:t>
      </w:r>
      <w:r>
        <w:rPr>
          <w:rFonts w:ascii="Times New Roman" w:hAnsi="Times New Roman" w:eastAsia="Times New Roman" w:cs="Times New Roman"/>
        </w:rPr>
        <w:t xml:space="preserve"> </w:t>
      </w:r>
      <w:r>
        <w:rPr>
          <w:rFonts w:ascii="Ebrima" w:hAnsi="Ebrima" w:eastAsia="Ebrima" w:cs="Ebrima"/>
        </w:rPr>
        <w:t>ናፖሊዮን</w:t>
      </w:r>
      <w:r>
        <w:rPr>
          <w:rFonts w:ascii="Times New Roman" w:hAnsi="Times New Roman" w:eastAsia="Times New Roman" w:cs="Times New Roman"/>
        </w:rPr>
        <w:t xml:space="preserve"> </w:t>
      </w:r>
      <w:r>
        <w:rPr>
          <w:rFonts w:ascii="Ebrima" w:hAnsi="Ebrima" w:eastAsia="Ebrima" w:cs="Ebrima"/>
        </w:rPr>
        <w:t>ጳጳሱን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ወሰደ።</w:t>
      </w:r>
      <w:r>
        <w:rPr>
          <w:rFonts w:ascii="Times New Roman" w:hAnsi="Times New Roman" w:eastAsia="Times New Roman" w:cs="Times New Roman"/>
        </w:rPr>
        <w:t xml:space="preserve"> </w:t>
      </w:r>
      <w:r>
        <w:rPr>
          <w:rFonts w:ascii="Ebrima" w:hAnsi="Ebrima" w:eastAsia="Ebrima" w:cs="Ebrima"/>
        </w:rPr>
        <w:t>ናፖሊዮን</w:t>
      </w:r>
      <w:r>
        <w:rPr>
          <w:rFonts w:ascii="Times New Roman" w:hAnsi="Times New Roman" w:eastAsia="Times New Roman" w:cs="Times New Roman"/>
        </w:rPr>
        <w:t xml:space="preserve"> </w:t>
      </w:r>
      <w:r>
        <w:rPr>
          <w:rFonts w:ascii="Ebrima" w:hAnsi="Ebrima" w:eastAsia="Ebrima" w:cs="Ebrima"/>
        </w:rPr>
        <w:t>የሰጠው</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1797 </w:t>
      </w:r>
      <w:r>
        <w:rPr>
          <w:rFonts w:ascii="Ebrima" w:hAnsi="Ebrima" w:eastAsia="Ebrima" w:cs="Ebrima"/>
        </w:rPr>
        <w:t>የተሰበረውን</w:t>
      </w:r>
      <w:r>
        <w:rPr>
          <w:rFonts w:ascii="Times New Roman" w:hAnsi="Times New Roman" w:eastAsia="Times New Roman" w:cs="Times New Roman"/>
        </w:rPr>
        <w:t xml:space="preserve"> </w:t>
      </w:r>
      <w:r>
        <w:rPr>
          <w:rFonts w:ascii="Ebrima" w:hAnsi="Ebrima" w:eastAsia="Ebrima" w:cs="Ebrima"/>
        </w:rPr>
        <w:t>የቶለንቲኖ</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የናፖሊዮንና</w:t>
      </w:r>
      <w:r>
        <w:rPr>
          <w:rFonts w:ascii="Times New Roman" w:hAnsi="Times New Roman" w:eastAsia="Times New Roman" w:cs="Times New Roman"/>
        </w:rPr>
        <w:t xml:space="preserve"> </w:t>
      </w:r>
      <w:r>
        <w:rPr>
          <w:rFonts w:ascii="Ebrima" w:hAnsi="Ebrima" w:eastAsia="Ebrima" w:cs="Ebrima"/>
        </w:rPr>
        <w:t>የጳጳሱ</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ቀደም</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ስድስትንና</w:t>
      </w:r>
      <w:r>
        <w:rPr>
          <w:rFonts w:ascii="Times New Roman" w:hAnsi="Times New Roman" w:eastAsia="Times New Roman" w:cs="Times New Roman"/>
        </w:rPr>
        <w:t xml:space="preserve"> </w:t>
      </w:r>
      <w:r>
        <w:rPr>
          <w:rFonts w:ascii="Ebrima" w:hAnsi="Ebrima" w:eastAsia="Ebrima" w:cs="Ebrima"/>
        </w:rPr>
        <w:t>ሰባትን</w:t>
      </w:r>
      <w:r>
        <w:rPr>
          <w:rFonts w:ascii="Times New Roman" w:hAnsi="Times New Roman" w:eastAsia="Times New Roman" w:cs="Times New Roman"/>
        </w:rPr>
        <w:t xml:space="preserve"> </w:t>
      </w:r>
      <w:r>
        <w:rPr>
          <w:rFonts w:ascii="Ebrima" w:hAnsi="Ebrima" w:eastAsia="Ebrima" w:cs="Ebrima"/>
        </w:rPr>
        <w:t>በፈጸመው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ተገልጦ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የተሰበረው</w:t>
      </w:r>
      <w:r>
        <w:rPr>
          <w:rFonts w:ascii="Times New Roman" w:hAnsi="Times New Roman" w:eastAsia="Times New Roman" w:cs="Times New Roman"/>
        </w:rPr>
        <w:t xml:space="preserve"> </w:t>
      </w:r>
      <w:r>
        <w:rPr>
          <w:rFonts w:ascii="Ebrima" w:hAnsi="Ebrima" w:eastAsia="Ebrima" w:cs="Ebrima"/>
        </w:rPr>
        <w:t>የጋብቻ</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ስድስትንና</w:t>
      </w:r>
      <w:r>
        <w:rPr>
          <w:rFonts w:ascii="Times New Roman" w:hAnsi="Times New Roman" w:eastAsia="Times New Roman" w:cs="Times New Roman"/>
        </w:rPr>
        <w:t xml:space="preserve"> </w:t>
      </w:r>
      <w:r>
        <w:rPr>
          <w:rFonts w:ascii="Ebrima" w:hAnsi="Ebrima" w:eastAsia="Ebrima" w:cs="Ebrima"/>
        </w:rPr>
        <w:t>ሰባትን</w:t>
      </w:r>
      <w:r>
        <w:rPr>
          <w:rFonts w:ascii="Times New Roman" w:hAnsi="Times New Roman" w:eastAsia="Times New Roman" w:cs="Times New Roman"/>
        </w:rPr>
        <w:t xml:space="preserve"> </w:t>
      </w:r>
      <w:r>
        <w:rPr>
          <w:rFonts w:ascii="Ebrima" w:hAnsi="Ebrima" w:eastAsia="Ebrima" w:cs="Ebrima"/>
        </w:rPr>
        <w:t>በመፈጸም</w:t>
      </w:r>
      <w:r>
        <w:rPr>
          <w:rFonts w:ascii="Times New Roman" w:hAnsi="Times New Roman" w:eastAsia="Times New Roman" w:cs="Times New Roman"/>
        </w:rPr>
        <w:t xml:space="preserve"> </w:t>
      </w:r>
      <w:r>
        <w:rPr>
          <w:rFonts w:ascii="Ebrima" w:hAnsi="Ebrima" w:eastAsia="Ebrima" w:cs="Ebrima"/>
        </w:rPr>
        <w:t>የደቡብ</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በሰሜን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ያመጣው</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ተደገመ፤</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ስድስትና</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ቶሎሜዎስ</w:t>
      </w:r>
      <w:r>
        <w:rPr>
          <w:rFonts w:ascii="Times New Roman" w:hAnsi="Times New Roman" w:eastAsia="Times New Roman" w:cs="Times New Roman"/>
        </w:rPr>
        <w:t xml:space="preserve"> </w:t>
      </w:r>
      <w:r>
        <w:rPr>
          <w:rFonts w:ascii="Ebrima" w:hAnsi="Ebrima" w:eastAsia="Ebrima" w:cs="Ebrima"/>
        </w:rPr>
        <w:t>ፊላዴልፎስ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በሶርያ</w:t>
      </w:r>
      <w:r>
        <w:rPr>
          <w:rFonts w:ascii="Times New Roman" w:hAnsi="Times New Roman" w:eastAsia="Times New Roman" w:cs="Times New Roman"/>
        </w:rPr>
        <w:t xml:space="preserve"> </w:t>
      </w:r>
      <w:r>
        <w:rPr>
          <w:rFonts w:ascii="Ebrima" w:hAnsi="Ebrima" w:eastAsia="Ebrima" w:cs="Ebrima"/>
        </w:rPr>
        <w:t>ሦስተኛ</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አንቲዮኮስ</w:t>
      </w:r>
      <w:r>
        <w:rPr>
          <w:rFonts w:ascii="Times New Roman" w:hAnsi="Times New Roman" w:eastAsia="Times New Roman" w:cs="Times New Roman"/>
        </w:rPr>
        <w:t xml:space="preserve"> </w:t>
      </w:r>
      <w:r>
        <w:rPr>
          <w:rFonts w:ascii="Ebrima" w:hAnsi="Ebrima" w:eastAsia="Ebrima" w:cs="Ebrima"/>
        </w:rPr>
        <w:t>ቴኦስ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በተነሣው</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ያገኙትን</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ቶሎሜዎስ</w:t>
      </w:r>
      <w:r>
        <w:rPr>
          <w:rFonts w:ascii="Times New Roman" w:hAnsi="Times New Roman" w:eastAsia="Times New Roman" w:cs="Times New Roman"/>
        </w:rPr>
        <w:t xml:space="preserve"> </w:t>
      </w:r>
      <w:r>
        <w:rPr>
          <w:rFonts w:ascii="Ebrima" w:hAnsi="Ebrima" w:eastAsia="Ebrima" w:cs="Ebrima"/>
        </w:rPr>
        <w:t>የደቡብን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አንቲዮኮስም</w:t>
      </w:r>
      <w:r>
        <w:rPr>
          <w:rFonts w:ascii="Times New Roman" w:hAnsi="Times New Roman" w:eastAsia="Times New Roman" w:cs="Times New Roman"/>
        </w:rPr>
        <w:t xml:space="preserve"> </w:t>
      </w:r>
      <w:r>
        <w:rPr>
          <w:rFonts w:ascii="Ebrima" w:hAnsi="Ebrima" w:eastAsia="Ebrima" w:cs="Ebrima"/>
        </w:rPr>
        <w:t>የሰሜንን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Utabiri wa aya hizo, ukiwekwa pamoja na utimilifu wa utabiri huo katika historia ya Ptolemy na Antiochus—ambayo nayo iliwakilisha kiishara—na historia ya Napoleon na papa mwaka 1798, hutoa mistari mitatu inayoashiria kwa mfano historia ya Putin na Zelenskyy katika aya ya kumi na moja na ya kumi na mbili. Kwa hiyo, kuelewa kwamba wakati wa mwisho katika mwaka 1798 unawakilisha historia ya Napoleon na papa ni uelewa usiokamilika iwapo unaishia hapo. Ni lazima tuelewe yale ambayo aya ya sita na ya saba zinatabiri kuhusu Napoleon na papa, na pia yale ambayo historia ya Ptolemy na Antiochus inafundisha kuhusu kipindi hicho hicho. Tunapoyaelewa mistari hiyo ya kweli, ndipo tunaweza kufahamu kwamba utimilifu huo wa kihistoria uliotangulia unaibainisha historia ya mwanzo wa aya ya arobaini, na kwa kufanya hivyo, pia unaibainisha mwisho wa aya ya arobaini wakati Putin, ambaye ameonyeshwa kwa mfano na Napoleon na Ptolemy—Putin ambaye ametabiriwa katika aya ya sita na ya saba—anapotimiza aya ya kumi na moja na ya kumi na mbili.</w:t>
      </w:r>
    </w:p>
    <w:p>
      <w:pPr>
        <w:pStyle w:val="ArticleBody"/>
        <w:jc w:val="left"/>
      </w:pPr>
      <w:r>
        <w:rPr>
          <w:rFonts w:ascii="Times New Roman" w:hAnsi="Times New Roman" w:eastAsia="Times New Roman" w:cs="Times New Roman"/>
        </w:rPr>
        <w:t>Një vëzhgim i rëndësishëm lidhur me marrëdhënien profetike ndërmjet dragoit dhe bishës, siç do t’i identifikonte Gjoni, ose si “e përditshmja dhe neveria e shkretimit”, siç do t’i paraqiste Danieli, është se ata janë profetikisht shumë të ngjashëm. Gjoni e shpreh kështu.</w:t>
      </w:r>
    </w:p>
    <w:p>
      <w:pPr>
        <w:pStyle w:val="ArticleScripture"/>
        <w:jc w:val="left"/>
      </w:pPr>
      <w:r>
        <w:rPr>
          <w:rFonts w:ascii="Times New Roman" w:hAnsi="Times New Roman" w:eastAsia="Times New Roman" w:cs="Times New Roman"/>
        </w:rPr>
        <w:t>A tshela drakoni, leyi a nyikeke xivandzana matimba; va tlhela va gandzela xivandzana, va ku: I mani la fanaka ni xivandzana? I mani la kotaka ku lwa na xona? Nhlavutelo 13:4.</w:t>
      </w:r>
    </w:p>
    <w:p>
      <w:pPr>
        <w:pStyle w:val="ArticleBody"/>
        <w:jc w:val="left"/>
      </w:pPr>
      <w:r>
        <w:rPr>
          <w:rFonts w:ascii="Times New Roman" w:hAnsi="Times New Roman" w:eastAsia="Times New Roman" w:cs="Times New Roman"/>
        </w:rPr>
        <w:t>Adorar al dragón es adorar a la bestia, porque ambos representan la religión del paganismo. Al igual que Juan, Daniel emplea “el cuerno pequeño” de Daniel capítulo ocho, versículos nueve al doce, para representar tanto a la Roma pagana como a la Roma papal, aunque distingue claramente entre ambas al identificar el cuerno pequeño de la Roma pagana en sentido masculino, y el cuerno pequeño de la Roma papal en sentido femenino. En el capítulo siete, Daniel identifica a la Roma pagana como “diversa” de los reinos anteriores, y además Daniel señala que la Roma papal también era “diversa”. Roma, ya sea pagana o papal, es diversa. El símbolo masculino de Roma que representa a la Roma pagana es sostenido por Acab y Herodes. Ambos estaban casados con símbolos del papado. La mujer es el arte eclesiástico y el hombre es el arte del Estado; por lo tanto, en el plano profético, cuando la Palabra de Dios habla de que un hombre y una mujer llegan a ser uno, está confirmando la realidad de que la Roma pagana y la Roma papal son muy semejantes en el sentido profético, porque son una sola carne.</w:t>
      </w:r>
    </w:p>
    <w:p>
      <w:pPr>
        <w:pStyle w:val="ArticleBody"/>
        <w:jc w:val="left"/>
      </w:pPr>
      <w:r>
        <w:rPr>
          <w:rFonts w:ascii="Times New Roman" w:hAnsi="Times New Roman" w:eastAsia="Times New Roman" w:cs="Times New Roman"/>
        </w:rPr>
        <w:t>Lelationship of Elance to the papacy in 1798 typifies the lelationship of the United States with the papacy when the ten kings buln Lome with file and eat hel flesh.</w:t>
      </w:r>
    </w:p>
    <w:p>
      <w:pPr>
        <w:pStyle w:val="ArticleScripture"/>
        <w:jc w:val="left"/>
      </w:pPr>
      <w:r>
        <w:rPr>
          <w:rFonts w:ascii="Times New Roman" w:hAnsi="Times New Roman" w:eastAsia="Times New Roman" w:cs="Times New Roman"/>
        </w:rPr>
        <w:t>Na zile pembe kumi ulizoziona juu ya huyo mnyama, hao watamchukia huyo kahaba, nao watamfanya ukiwa na uchi, nao watakula nyama yake, na kumteketeza kwa moto. Ufunuo 17:16.</w:t>
      </w:r>
    </w:p>
    <w:p>
      <w:pPr>
        <w:pStyle w:val="ArticleBody"/>
        <w:jc w:val="left"/>
      </w:pPr>
      <w:r>
        <w:rPr>
          <w:rFonts w:ascii="Times New Roman" w:hAnsi="Times New Roman" w:eastAsia="Times New Roman" w:cs="Times New Roman"/>
        </w:rPr>
        <w:t>Ubufaransa n’ubupapa, igihe bwashyiraga ubupapa ku butegetsi mu mwaka wa 538, bugaragaza mbere umurimo wa Leta Zunze Ubumwe za Amerika mu gukiza uruguma rw’ubupapa rwica ku itegeko ryo ku Cyumweru rigiye kuza vuba.</w:t>
      </w:r>
    </w:p>
    <w:p>
      <w:pPr>
        <w:pStyle w:val="ArticleScripture"/>
        <w:jc w:val="left"/>
      </w:pPr>
      <w:r>
        <w:rPr>
          <w:rFonts w:ascii="Times New Roman" w:hAnsi="Times New Roman" w:eastAsia="Times New Roman" w:cs="Times New Roman"/>
        </w:rPr>
        <w:t>Tad a me weles ur bedh ow tos dhe sevel a’n dor; ha dew karn ev a’n jeves kepar ha oan, ha yth esa ow kewsel kepar ha dragan. Ha ganso oll nerth an kynsa bestia yn y dhyworth, hag ev a wra an dor ha’n re a trig enni dhe addhya an kynsa bestia, an neb y a veu y archwel marowek gyllys. Ha gwra gorthoberow meur, yn kepar ma lakka tan dhe dhescenda a’n nev war an dor yn golok tus, ha toll an re a drig war an dor dre means an myracles-na, re ev a’n jeves gallos dhe wul yn golok an bestia; ow leverel dhe’n re a drig war an dor, y’n dylsens gwul imaj dhe’n bestia, an neb y a’n jeves an archwel dre gledh, ha byw a wrug. Revelation 13:11–14.</w:t>
      </w:r>
    </w:p>
    <w:p>
      <w:pPr>
        <w:pStyle w:val="ArticleBody"/>
        <w:jc w:val="left"/>
      </w:pPr>
      <w:r>
        <w:rPr>
          <w:rFonts w:ascii="Times New Roman" w:hAnsi="Times New Roman" w:eastAsia="Times New Roman" w:cs="Times New Roman"/>
        </w:rPr>
        <w:t>Ang “panahon ng kawakasan” noong 1798, bilang katuparan ng talatang apatnapu, ay nagpapakilala na ang espirituwal na hari ng hilaga ay inalis ng espirituwal na hari ng timog. Ang makasaysayang hulang iyon ang kasaysayan ng pagwawakas ng isang libo at dalawang daan at animnapung taon ng pamumunong papa, at samakatuwid ang mga makahulang katangian ng pasimula ng makasaysayang hulang iyon ay kinakatawan din sa pagwawakas. Noong 538, ang ikaapat na kaharian ng hula ng Biblia ay nagbigay-daan sa ikalimang kaharian ng hula ng Biblia, at noong 1798, ang ikalimang kaharian ng hula ng Biblia ay nagbigay-daan sa ikaanim na kaharian ng hula ng Biblia.</w:t>
      </w:r>
    </w:p>
    <w:p>
      <w:pPr>
        <w:pStyle w:val="ArticleBody"/>
        <w:jc w:val="left"/>
      </w:pP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ក៏ជាចំណុចសម្គាល់កណ្ដាលមួយនៃបណ្ដាសា</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២៦</w:t>
      </w:r>
      <w:r>
        <w:rPr>
          <w:rFonts w:ascii="Times New Roman" w:hAnsi="Times New Roman" w:eastAsia="Times New Roman" w:cs="Times New Roman"/>
        </w:rPr>
        <w:t xml:space="preserve"> </w:t>
      </w:r>
      <w:r>
        <w:rPr>
          <w:rFonts w:ascii="Leelawadee UI" w:hAnsi="Leelawadee UI" w:eastAsia="Leelawadee UI" w:cs="Leelawadee UI"/>
        </w:rPr>
        <w:t>ដែលប្រឆាំងនឹងនគរខាងជើងរបស់អ៊ីស្រាអែល</w:t>
      </w:r>
      <w:r>
        <w:rPr>
          <w:rFonts w:ascii="Times New Roman" w:hAnsi="Times New Roman" w:eastAsia="Times New Roman" w:cs="Times New Roman"/>
        </w:rPr>
        <w:t xml:space="preserve"> </w:t>
      </w:r>
      <w:r>
        <w:rPr>
          <w:rFonts w:ascii="Leelawadee UI" w:hAnsi="Leelawadee UI" w:eastAsia="Leelawadee UI" w:cs="Leelawadee UI"/>
        </w:rPr>
        <w:t>ដែលបានចាប់ផ្ដើមនៅឆ្នាំ</w:t>
      </w:r>
      <w:r>
        <w:rPr>
          <w:rFonts w:ascii="Times New Roman" w:hAnsi="Times New Roman" w:eastAsia="Times New Roman" w:cs="Times New Roman"/>
        </w:rPr>
        <w:t xml:space="preserve"> </w:t>
      </w:r>
      <w:r>
        <w:rPr>
          <w:rFonts w:ascii="Leelawadee UI" w:hAnsi="Leelawadee UI" w:eastAsia="Leelawadee UI" w:cs="Leelawadee UI"/>
        </w:rPr>
        <w:t>៧២៣</w:t>
      </w:r>
      <w:r>
        <w:rPr>
          <w:rFonts w:ascii="Times New Roman" w:hAnsi="Times New Roman" w:eastAsia="Times New Roman" w:cs="Times New Roman"/>
        </w:rPr>
        <w:t xml:space="preserve">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នៅពេលអាសស៊ើរបាននាំអេប្រាអិមទៅជាឈ្លើយ។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មិនត្រឹមតែមានលក្ខណៈព្យាករណ៍របស់</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ប៉ុណ្ណោះទេ</w:t>
      </w:r>
      <w:r>
        <w:rPr>
          <w:rFonts w:ascii="Times New Roman" w:hAnsi="Times New Roman" w:eastAsia="Times New Roman" w:cs="Times New Roman"/>
        </w:rPr>
        <w:t xml:space="preserve"> </w:t>
      </w:r>
      <w:r>
        <w:rPr>
          <w:rFonts w:ascii="Leelawadee UI" w:hAnsi="Leelawadee UI" w:eastAsia="Leelawadee UI" w:cs="Leelawadee UI"/>
        </w:rPr>
        <w:t>ប៉ុន្តែក៏មានរបស់ឆ្នាំ</w:t>
      </w:r>
      <w:r>
        <w:rPr>
          <w:rFonts w:ascii="Times New Roman" w:hAnsi="Times New Roman" w:eastAsia="Times New Roman" w:cs="Times New Roman"/>
        </w:rPr>
        <w:t xml:space="preserve"> </w:t>
      </w:r>
      <w:r>
        <w:rPr>
          <w:rFonts w:ascii="Leelawadee UI" w:hAnsi="Leelawadee UI" w:eastAsia="Leelawadee UI" w:cs="Leelawadee UI"/>
        </w:rPr>
        <w:t>៧២៣</w:t>
      </w:r>
      <w:r>
        <w:rPr>
          <w:rFonts w:ascii="Times New Roman" w:hAnsi="Times New Roman" w:eastAsia="Times New Roman" w:cs="Times New Roman"/>
        </w:rPr>
        <w:t xml:space="preserve">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៧២៣</w:t>
      </w:r>
      <w:r>
        <w:rPr>
          <w:rFonts w:ascii="Times New Roman" w:hAnsi="Times New Roman" w:eastAsia="Times New Roman" w:cs="Times New Roman"/>
        </w:rPr>
        <w:t xml:space="preserve">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កុលសម្ព័ន្ធទាំងដប់របស់អ៊ីស្រាអែលកំពុងត្រូវអាសស៊ើរផ្ដួលរំលំ</w:t>
      </w:r>
      <w:r>
        <w:rPr>
          <w:rFonts w:ascii="Times New Roman" w:hAnsi="Times New Roman" w:eastAsia="Times New Roman" w:cs="Times New Roman"/>
        </w:rPr>
        <w:t xml:space="preserve"> </w:t>
      </w:r>
      <w:r>
        <w:rPr>
          <w:rFonts w:ascii="Leelawadee UI" w:hAnsi="Leelawadee UI" w:eastAsia="Leelawadee UI" w:cs="Leelawadee UI"/>
        </w:rPr>
        <w:t>ហើយមួយពាន់ពីររយហុកសិបឆ្នាំក្រោយមក</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៥៣៨</w:t>
      </w:r>
      <w:r>
        <w:rPr>
          <w:rFonts w:ascii="Times New Roman" w:hAnsi="Times New Roman" w:eastAsia="Times New Roman" w:cs="Times New Roman"/>
        </w:rPr>
        <w:t xml:space="preserve"> </w:t>
      </w:r>
      <w:r>
        <w:rPr>
          <w:rFonts w:ascii="Leelawadee UI" w:hAnsi="Leelawadee UI" w:eastAsia="Leelawadee UI" w:cs="Leelawadee UI"/>
        </w:rPr>
        <w:t>រ៉ូមមិនគោរពព្រះកំពុងត្រូវរ៉ូមបាប៉ាលផ្ដួលរំលំ</w:t>
      </w:r>
      <w:r>
        <w:rPr>
          <w:rFonts w:ascii="Times New Roman" w:hAnsi="Times New Roman" w:eastAsia="Times New Roman" w:cs="Times New Roman"/>
        </w:rPr>
        <w:t xml:space="preserve"> </w:t>
      </w:r>
      <w:r>
        <w:rPr>
          <w:rFonts w:ascii="Leelawadee UI" w:hAnsi="Leelawadee UI" w:eastAsia="Leelawadee UI" w:cs="Leelawadee UI"/>
        </w:rPr>
        <w:t>ដែលបន្ទាប់មកវិញត្រូវបារាំងផ្ដួលរំលំនៅឆ្នាំ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នៅចុងបញ្ចប់នៃ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Na 1798 França, o rei do sul depôs o papado do trono. Em 538, a França, símbolo preeminente da desintegração da Roma pagã em dez reinos, colocou o papado no trono. Na lei dominical, os Estados Unidos repetem o papel da França em 538, e, quando os dez reis queimarem o papado com fogo e lhe comerem a carne, os Estados Unidos repetem o papel da França em 1798.</w:t>
      </w:r>
    </w:p>
    <w:p>
      <w:pPr>
        <w:pStyle w:val="ArticleBody"/>
        <w:jc w:val="left"/>
      </w:pPr>
      <w:r>
        <w:rPr>
          <w:rFonts w:ascii="Times New Roman" w:hAnsi="Times New Roman" w:eastAsia="Times New Roman" w:cs="Times New Roman"/>
        </w:rPr>
        <w:t>Le jugement des « sept temps » contre les royaumes du nord et du sud d’Israël fut exécuté par des royaumes issus du nord.</w:t>
      </w:r>
    </w:p>
    <w:p>
      <w:pPr>
        <w:pStyle w:val="ArticleScripture"/>
        <w:jc w:val="left"/>
      </w:pPr>
      <w:r>
        <w:rPr>
          <w:rFonts w:ascii="Microsoft YaHei" w:hAnsi="Microsoft YaHei" w:eastAsia="Microsoft YaHei" w:cs="Microsoft YaHei"/>
        </w:rPr>
        <w:t>以色列是被赶散的羊</w:t>
      </w:r>
      <w:r>
        <w:rPr>
          <w:rFonts w:ascii="Times New Roman" w:hAnsi="Times New Roman" w:eastAsia="Times New Roman" w:cs="Times New Roman"/>
        </w:rPr>
        <w:t>;</w:t>
      </w:r>
      <w:r>
        <w:rPr>
          <w:rFonts w:ascii="Microsoft YaHei" w:hAnsi="Microsoft YaHei" w:eastAsia="Microsoft YaHei" w:cs="Microsoft YaHei"/>
        </w:rPr>
        <w:t>狮子把他逐去：先是亚述王将他吞灭</w:t>
      </w:r>
      <w:r>
        <w:rPr>
          <w:rFonts w:ascii="Times New Roman" w:hAnsi="Times New Roman" w:eastAsia="Times New Roman" w:cs="Times New Roman"/>
        </w:rPr>
        <w:t>,</w:t>
      </w:r>
      <w:r>
        <w:rPr>
          <w:rFonts w:ascii="Microsoft YaHei" w:hAnsi="Microsoft YaHei" w:eastAsia="Microsoft YaHei" w:cs="Microsoft YaHei"/>
        </w:rPr>
        <w:t>末后这巴比伦王尼布甲尼撒又折断他的骨头</w:t>
      </w:r>
      <w:r>
        <w:rPr>
          <w:rFonts w:ascii="Times New Roman" w:hAnsi="Times New Roman" w:eastAsia="Times New Roman" w:cs="Times New Roman"/>
        </w:rPr>
        <w:t>.</w:t>
      </w:r>
      <w:r>
        <w:rPr>
          <w:rFonts w:ascii="Microsoft YaHei" w:hAnsi="Microsoft YaHei" w:eastAsia="Microsoft YaHei" w:cs="Microsoft YaHei"/>
        </w:rPr>
        <w:t>耶利米书</w:t>
      </w:r>
      <w:r>
        <w:rPr>
          <w:rFonts w:ascii="Times New Roman" w:hAnsi="Times New Roman" w:eastAsia="Times New Roman" w:cs="Times New Roman"/>
        </w:rPr>
        <w:t xml:space="preserve"> 50:17</w:t>
      </w:r>
    </w:p>
    <w:p>
      <w:pPr>
        <w:pStyle w:val="ArticleBody"/>
        <w:jc w:val="left"/>
      </w:pPr>
      <w:r>
        <w:rPr>
          <w:rFonts w:ascii="Nirmala UI" w:hAnsi="Nirmala UI" w:eastAsia="Nirmala UI" w:cs="Nirmala UI"/>
        </w:rPr>
        <w:t>অশূর</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আসিয়া</w:t>
      </w:r>
      <w:r>
        <w:rPr>
          <w:rFonts w:ascii="Times New Roman" w:hAnsi="Times New Roman" w:eastAsia="Times New Roman" w:cs="Times New Roman"/>
        </w:rPr>
        <w:t xml:space="preserve"> </w:t>
      </w:r>
      <w:r>
        <w:rPr>
          <w:rFonts w:ascii="Nirmala UI" w:hAnsi="Nirmala UI" w:eastAsia="Nirmala UI" w:cs="Nirmala UI"/>
        </w:rPr>
        <w:t>৭২৩</w:t>
      </w:r>
      <w:r>
        <w:rPr>
          <w:rFonts w:ascii="Times New Roman" w:hAnsi="Times New Roman" w:eastAsia="Times New Roman" w:cs="Times New Roman"/>
        </w:rPr>
        <w:t xml:space="preserve"> </w:t>
      </w:r>
      <w:r>
        <w:rPr>
          <w:rFonts w:ascii="Nirmala UI" w:hAnsi="Nirmala UI" w:eastAsia="Nirmala UI" w:cs="Nirmala UI"/>
        </w:rPr>
        <w:t>খ্রিষ্টপূর্বাব্দে</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গোত্রকে</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৬৭৭</w:t>
      </w:r>
      <w:r>
        <w:rPr>
          <w:rFonts w:ascii="Times New Roman" w:hAnsi="Times New Roman" w:eastAsia="Times New Roman" w:cs="Times New Roman"/>
        </w:rPr>
        <w:t xml:space="preserve"> </w:t>
      </w:r>
      <w:r>
        <w:rPr>
          <w:rFonts w:ascii="Nirmala UI" w:hAnsi="Nirmala UI" w:eastAsia="Nirmala UI" w:cs="Nirmala UI"/>
        </w:rPr>
        <w:t>খ্রিষ্টপূর্বাব্দে</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যিহূদাকে</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লইল।</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হইলেও</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রাজ্যই</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শত্রুগণের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জয়প্রাপ্ত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এইরূপে</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শত্রু</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বন্দিত্বে</w:t>
      </w:r>
      <w:r>
        <w:rPr>
          <w:rFonts w:ascii="Times New Roman" w:hAnsi="Times New Roman" w:eastAsia="Times New Roman" w:cs="Times New Roman"/>
        </w:rPr>
        <w:t xml:space="preserve"> </w:t>
      </w:r>
      <w:r>
        <w:rPr>
          <w:rFonts w:ascii="Nirmala UI" w:hAnsi="Nirmala UI" w:eastAsia="Nirmala UI" w:cs="Nirmala UI"/>
        </w:rPr>
        <w:t>লইয়া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রাজ্যরূপে</w:t>
      </w:r>
      <w:r>
        <w:rPr>
          <w:rFonts w:ascii="Times New Roman" w:hAnsi="Times New Roman" w:eastAsia="Times New Roman" w:cs="Times New Roman"/>
        </w:rPr>
        <w:t xml:space="preserve"> </w:t>
      </w:r>
      <w:r>
        <w:rPr>
          <w:rFonts w:ascii="Nirmala UI" w:hAnsi="Nirmala UI" w:eastAsia="Nirmala UI" w:cs="Nirmala UI"/>
        </w:rPr>
        <w:t>পরিগণিত</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৭২৩</w:t>
      </w:r>
      <w:r>
        <w:rPr>
          <w:rFonts w:ascii="Times New Roman" w:hAnsi="Times New Roman" w:eastAsia="Times New Roman" w:cs="Times New Roman"/>
        </w:rPr>
        <w:t xml:space="preserve"> </w:t>
      </w:r>
      <w:r>
        <w:rPr>
          <w:rFonts w:ascii="Nirmala UI" w:hAnsi="Nirmala UI" w:eastAsia="Nirmala UI" w:cs="Nirmala UI"/>
        </w:rPr>
        <w:t>খ্রিষ্টপূর্বাব্দ</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দশগুণ</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৫৩৮</w:t>
      </w:r>
      <w:r>
        <w:rPr>
          <w:rFonts w:ascii="Times New Roman" w:hAnsi="Times New Roman" w:eastAsia="Times New Roman" w:cs="Times New Roman"/>
        </w:rPr>
        <w:t xml:space="preserve"> </w:t>
      </w:r>
      <w:r>
        <w:rPr>
          <w:rFonts w:ascii="Nirmala UI" w:hAnsi="Nirmala UI" w:eastAsia="Nirmala UI" w:cs="Nirmala UI"/>
        </w:rPr>
        <w:t>পৌত্তলিকতা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পাপালতন্ত্রে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রূপান্তর</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দশগুণ</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দৃষ্টান্ত।</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ঘটনার</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পরাজিত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দশগুণ</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Na saa hiyo hiyo pakawa na tetemeko kuu la nchi, na sehemu ya kumi ya mji ikaanguka, na katika tetemeko hilo wakauawa watu elfu saba; na waliosalia wakaingiwa na hofu, wakamtukuza Mungu wa mbinguni. Ufunuo 11:13.</w:t>
      </w:r>
    </w:p>
    <w:p>
      <w:pPr>
        <w:pStyle w:val="ArticleBody"/>
        <w:jc w:val="left"/>
      </w:pPr>
      <w:r>
        <w:rPr>
          <w:rFonts w:ascii="Times New Roman" w:hAnsi="Times New Roman" w:eastAsia="Times New Roman" w:cs="Times New Roman"/>
        </w:rPr>
        <w:t>Ang panahon ng paglipat na kaugnay ng 538, nang ang Roma ay nagbago mula sa paganong kalagayan tungo sa kapapahan, ay siya ring pagbabago sa Daniel kabanata walo mula sa panlalaki tungo sa pambabae, na sa sagisag ay mula sa pamamahalang-estado tungo sa pamamahalang-simbahan. Ang hula ng “pitong panahon” ay nagtataglay ng tatak ng “katotohanan,” sapagkat ang unang titik (723 BC) ay inilalarawan ang ikadalawampu’t ikalawa at huling titik ng alpabetong Hebreo (1798), samantalang ang ikalabintatlo at gitnang titik ay kumakatawan sa paghihimagsik (538). Tinutukoy ni Daniel na ang “pagsalangsang” na sinasagisagan ng pananalitang “ang pagsalangsang ng kagibaan” ay ang pagsasanib ng simbahan at estado, na ang simbahan ang may kontrol sa ugnayang iyon. Ang “pagsalangsang” na iyon ay kumakatawan sa 538, na siyang gitna at, sa talinghaga, ang ikalabintatlong titik ng tatlong pangunahing palatandaan sa panahon ng pitong panahon laban sa sampung hilagang lipi ng Israel.</w:t>
      </w:r>
    </w:p>
    <w:p>
      <w:pPr>
        <w:pStyle w:val="ArticleBody"/>
        <w:jc w:val="left"/>
      </w:pPr>
      <w:r>
        <w:rPr>
          <w:rFonts w:ascii="Times New Roman" w:hAnsi="Times New Roman" w:eastAsia="Times New Roman" w:cs="Times New Roman"/>
        </w:rPr>
        <w:t>Ndzihla wa 1798, “nkarhi wa makumu” hilaha wu boxiweke hakona eka ndzimana ya makume mune ya Daniyele ndzima ya khume na yin’we, Furwa leyi nga pfumeriki Xikwembu, hosi ya dzonga, yi nyikele vanga leri dlayisaka eka vuapostola, hosi ya le n’walungu. Hi 1989 vuapostola byi tlherisele eka hosi ya dzonga leyi nga pfumeriki Xikwembu, leyi hi nkarhi wolowo a yi hundzuke Soviet Union. Ku tlherisela koloko a ku katsa xinakulobye xa le xihundleni exikarhi ka United States na Vatican. Ku kukuriwa ku helela ka Soviet Union hi 1989 ku heta rungula ra vuprofeta leri tsariweke ra ndzimana ya makume mune, kutani ndzimana leyi landzelaka, ndzimana ya makume mune na yin’we, yi yimela nawu wa Sonto eUnited States. Hikokwalaho, ku sukela eka ku wa ka Soviet Union hi 1989 ku fikela eka nawu wa Sonto eka ndzimana leyi landzelaka hi tlhela hi hanya eka matimu lama fihliweke ya ndzimana ya makume mune.</w:t>
      </w:r>
    </w:p>
    <w:p>
      <w:pPr>
        <w:pStyle w:val="ArticleBody"/>
        <w:jc w:val="left"/>
      </w:pPr>
      <w:r>
        <w:rPr>
          <w:rFonts w:ascii="Times New Roman" w:hAnsi="Times New Roman" w:eastAsia="Times New Roman" w:cs="Times New Roman"/>
        </w:rPr>
        <w:t>Aayat afartan waxay ku bilaabmaysaa inay aqoonsato boqor ka yimid koonfurta iyo waqooyiga sannadkii 1798, dabadeedna sannadkii 1989 boqor ka yimid koonfurta iyo waqooyiga, iyo weliba quwad saddexaad oo ay matalaan gaadhifardoodka, maraakiibta iyo fardooleydu.</w:t>
      </w:r>
    </w:p>
    <w:p>
      <w:pPr>
        <w:pStyle w:val="ArticleScripture"/>
        <w:jc w:val="left"/>
      </w:pPr>
      <w:r>
        <w:rPr>
          <w:rFonts w:ascii="Times New Roman" w:hAnsi="Times New Roman" w:eastAsia="Times New Roman" w:cs="Times New Roman"/>
        </w:rPr>
        <w:t>Na wakati wa mwisho mfalme wa kusini atamsukuma; na mfalme wa kaskazini atamjia kama upepo wa kisulisuli, akiwa na magari ya vita, na wapanda farasi, na merikebu nyingi; naye ataingia katika nchi hizo, naye atafurika na kupita. Danieli 11:40.</w:t>
      </w:r>
    </w:p>
    <w:p>
      <w:pPr>
        <w:pStyle w:val="ArticleBody"/>
        <w:jc w:val="left"/>
      </w:pPr>
      <w:r>
        <w:rPr>
          <w:rFonts w:ascii="Microsoft YaHei" w:hAnsi="Microsoft YaHei" w:eastAsia="Microsoft YaHei" w:cs="Microsoft YaHei"/>
        </w:rPr>
        <w:t>在</w:t>
      </w:r>
      <w:r>
        <w:rPr>
          <w:rFonts w:ascii="Times New Roman" w:hAnsi="Times New Roman" w:eastAsia="Times New Roman" w:cs="Times New Roman"/>
        </w:rPr>
        <w:t>1798</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末时</w:t>
      </w:r>
      <w:r>
        <w:rPr>
          <w:rFonts w:ascii="Times New Roman" w:hAnsi="Times New Roman" w:eastAsia="Times New Roman" w:cs="Times New Roman"/>
        </w:rPr>
        <w:t>”</w:t>
      </w:r>
      <w:r>
        <w:rPr>
          <w:rFonts w:ascii="Microsoft YaHei" w:hAnsi="Microsoft YaHei" w:eastAsia="Microsoft YaHei" w:cs="Microsoft YaHei"/>
        </w:rPr>
        <w:t>之际</w:t>
      </w:r>
      <w:r>
        <w:rPr>
          <w:rFonts w:ascii="Times New Roman" w:hAnsi="Times New Roman" w:eastAsia="Times New Roman" w:cs="Times New Roman"/>
        </w:rPr>
        <w:t>,</w:t>
      </w:r>
      <w:r>
        <w:rPr>
          <w:rFonts w:ascii="Microsoft YaHei" w:hAnsi="Microsoft YaHei" w:eastAsia="Microsoft YaHei" w:cs="Microsoft YaHei"/>
        </w:rPr>
        <w:t>拿破仑手下的一位真实将军进入梵蒂冈</w:t>
      </w:r>
      <w:r>
        <w:rPr>
          <w:rFonts w:ascii="Times New Roman" w:hAnsi="Times New Roman" w:eastAsia="Times New Roman" w:cs="Times New Roman"/>
        </w:rPr>
        <w:t>,</w:t>
      </w:r>
      <w:r>
        <w:rPr>
          <w:rFonts w:ascii="Microsoft YaHei" w:hAnsi="Microsoft YaHei" w:eastAsia="Microsoft YaHei" w:cs="Microsoft YaHei"/>
        </w:rPr>
        <w:t>确实将教皇带走并监禁了他</w:t>
      </w: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针对</w:t>
      </w:r>
      <w:r>
        <w:rPr>
          <w:rFonts w:ascii="Times New Roman" w:hAnsi="Times New Roman" w:eastAsia="Times New Roman" w:cs="Times New Roman"/>
        </w:rPr>
        <w:t>1798</w:t>
      </w:r>
      <w:r>
        <w:rPr>
          <w:rFonts w:ascii="Microsoft YaHei" w:hAnsi="Microsoft YaHei" w:eastAsia="Microsoft YaHei" w:cs="Microsoft YaHei"/>
        </w:rPr>
        <w:t>年的报复发生了</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1798</w:t>
      </w:r>
      <w:r>
        <w:rPr>
          <w:rFonts w:ascii="Microsoft YaHei" w:hAnsi="Microsoft YaHei" w:eastAsia="Microsoft YaHei" w:cs="Microsoft YaHei"/>
        </w:rPr>
        <w:t>年至</w:t>
      </w:r>
      <w:r>
        <w:rPr>
          <w:rFonts w:ascii="Times New Roman" w:hAnsi="Times New Roman" w:eastAsia="Times New Roman" w:cs="Times New Roman"/>
        </w:rPr>
        <w:t>1989</w:t>
      </w:r>
      <w:r>
        <w:rPr>
          <w:rFonts w:ascii="Microsoft YaHei" w:hAnsi="Microsoft YaHei" w:eastAsia="Microsoft YaHei" w:cs="Microsoft YaHei"/>
        </w:rPr>
        <w:t>年之间的历史中</w:t>
      </w:r>
      <w:r>
        <w:rPr>
          <w:rFonts w:ascii="Times New Roman" w:hAnsi="Times New Roman" w:eastAsia="Times New Roman" w:cs="Times New Roman"/>
        </w:rPr>
        <w:t>,</w:t>
      </w:r>
      <w:r>
        <w:rPr>
          <w:rFonts w:ascii="Microsoft YaHei" w:hAnsi="Microsoft YaHei" w:eastAsia="Microsoft YaHei" w:cs="Microsoft YaHei"/>
        </w:rPr>
        <w:t>曾发生一些预言性的转换</w:t>
      </w:r>
      <w:r>
        <w:rPr>
          <w:rFonts w:ascii="Times New Roman" w:hAnsi="Times New Roman" w:eastAsia="Times New Roman" w:cs="Times New Roman"/>
        </w:rPr>
        <w:t>,</w:t>
      </w:r>
      <w:r>
        <w:rPr>
          <w:rFonts w:ascii="Microsoft YaHei" w:hAnsi="Microsoft YaHei" w:eastAsia="Microsoft YaHei" w:cs="Microsoft YaHei"/>
        </w:rPr>
        <w:t>这些都是重要而值得注意的</w:t>
      </w:r>
      <w:r>
        <w:rPr>
          <w:rFonts w:ascii="Times New Roman" w:hAnsi="Times New Roman" w:eastAsia="Times New Roman" w:cs="Times New Roman"/>
        </w:rPr>
        <w:t>.</w:t>
      </w:r>
      <w:r>
        <w:rPr>
          <w:rFonts w:ascii="Microsoft YaHei" w:hAnsi="Microsoft YaHei" w:eastAsia="Microsoft YaHei" w:cs="Microsoft YaHei"/>
        </w:rPr>
        <w:t>无神论的法国</w:t>
      </w:r>
      <w:r>
        <w:rPr>
          <w:rFonts w:ascii="Times New Roman" w:hAnsi="Times New Roman" w:eastAsia="Times New Roman" w:cs="Times New Roman"/>
        </w:rPr>
        <w:t>,</w:t>
      </w:r>
      <w:r>
        <w:rPr>
          <w:rFonts w:ascii="Microsoft YaHei" w:hAnsi="Microsoft YaHei" w:eastAsia="Microsoft YaHei" w:cs="Microsoft YaHei"/>
        </w:rPr>
        <w:t>即</w:t>
      </w:r>
      <w:r>
        <w:rPr>
          <w:rFonts w:ascii="Times New Roman" w:hAnsi="Times New Roman" w:eastAsia="Times New Roman" w:cs="Times New Roman"/>
        </w:rPr>
        <w:t>1798</w:t>
      </w:r>
      <w:r>
        <w:rPr>
          <w:rFonts w:ascii="Microsoft YaHei" w:hAnsi="Microsoft YaHei" w:eastAsia="Microsoft YaHei" w:cs="Microsoft YaHei"/>
        </w:rPr>
        <w:t>这一时期的南方王</w:t>
      </w:r>
      <w:r>
        <w:rPr>
          <w:rFonts w:ascii="Times New Roman" w:hAnsi="Times New Roman" w:eastAsia="Times New Roman" w:cs="Times New Roman"/>
        </w:rPr>
        <w:t>,</w:t>
      </w:r>
      <w:r>
        <w:rPr>
          <w:rFonts w:ascii="Microsoft YaHei" w:hAnsi="Microsoft YaHei" w:eastAsia="Microsoft YaHei" w:cs="Microsoft YaHei"/>
        </w:rPr>
        <w:t>乃是第一个属灵意义上的南方王</w:t>
      </w:r>
      <w:r>
        <w:rPr>
          <w:rFonts w:ascii="Times New Roman" w:hAnsi="Times New Roman" w:eastAsia="Times New Roman" w:cs="Times New Roman"/>
        </w:rPr>
        <w:t>,</w:t>
      </w:r>
      <w:r>
        <w:rPr>
          <w:rFonts w:ascii="Microsoft YaHei" w:hAnsi="Microsoft YaHei" w:eastAsia="Microsoft YaHei" w:cs="Microsoft YaHei"/>
        </w:rPr>
        <w:t>而普京的俄罗斯注定要成为其最后一个</w:t>
      </w:r>
      <w:r>
        <w:rPr>
          <w:rFonts w:ascii="Times New Roman" w:hAnsi="Times New Roman" w:eastAsia="Times New Roman" w:cs="Times New Roman"/>
        </w:rPr>
        <w:t>.</w:t>
      </w:r>
      <w:r>
        <w:rPr>
          <w:rFonts w:ascii="Microsoft YaHei" w:hAnsi="Microsoft YaHei" w:eastAsia="Microsoft YaHei" w:cs="Microsoft YaHei"/>
        </w:rPr>
        <w:t>法国在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第十一章中被指明</w:t>
      </w:r>
      <w:r>
        <w:rPr>
          <w:rFonts w:ascii="Times New Roman" w:hAnsi="Times New Roman" w:eastAsia="Times New Roman" w:cs="Times New Roman"/>
        </w:rPr>
        <w:t>,</w:t>
      </w:r>
      <w:r>
        <w:rPr>
          <w:rFonts w:ascii="Microsoft YaHei" w:hAnsi="Microsoft YaHei" w:eastAsia="Microsoft YaHei" w:cs="Microsoft YaHei"/>
        </w:rPr>
        <w:t>而怀爱伦姐妹又直接将其认定为无神论的法国</w:t>
      </w:r>
      <w:r>
        <w:rPr>
          <w:rFonts w:ascii="Times New Roman" w:hAnsi="Times New Roman" w:eastAsia="Times New Roman" w:cs="Times New Roman"/>
        </w:rPr>
        <w:t>.</w:t>
      </w:r>
      <w:r>
        <w:rPr>
          <w:rFonts w:ascii="Microsoft YaHei" w:hAnsi="Microsoft YaHei" w:eastAsia="Microsoft YaHei" w:cs="Microsoft YaHei"/>
        </w:rPr>
        <w:t>在第十一章中</w:t>
      </w:r>
      <w:r>
        <w:rPr>
          <w:rFonts w:ascii="Times New Roman" w:hAnsi="Times New Roman" w:eastAsia="Times New Roman" w:cs="Times New Roman"/>
        </w:rPr>
        <w:t>,</w:t>
      </w:r>
      <w:r>
        <w:rPr>
          <w:rFonts w:ascii="Microsoft YaHei" w:hAnsi="Microsoft YaHei" w:eastAsia="Microsoft YaHei" w:cs="Microsoft YaHei"/>
        </w:rPr>
        <w:t>用以辨识法国的两个象征之一乃是埃及</w:t>
      </w:r>
      <w:r>
        <w:rPr>
          <w:rFonts w:ascii="Times New Roman" w:hAnsi="Times New Roman" w:eastAsia="Times New Roman" w:cs="Times New Roman"/>
        </w:rPr>
        <w:t>;</w:t>
      </w:r>
      <w:r>
        <w:rPr>
          <w:rFonts w:ascii="Microsoft YaHei" w:hAnsi="Microsoft YaHei" w:eastAsia="Microsoft YaHei" w:cs="Microsoft YaHei"/>
        </w:rPr>
        <w:t>而怀爱伦姐妹将埃及认定为无神论的象征</w:t>
      </w:r>
      <w:r>
        <w:rPr>
          <w:rFonts w:ascii="Times New Roman" w:hAnsi="Times New Roman" w:eastAsia="Times New Roman" w:cs="Times New Roman"/>
        </w:rPr>
        <w:t>.</w:t>
      </w:r>
      <w:r>
        <w:rPr>
          <w:rFonts w:ascii="Microsoft YaHei" w:hAnsi="Microsoft YaHei" w:eastAsia="Microsoft YaHei" w:cs="Microsoft YaHei"/>
        </w:rPr>
        <w:t>在该章中</w:t>
      </w:r>
      <w:r>
        <w:rPr>
          <w:rFonts w:ascii="Times New Roman" w:hAnsi="Times New Roman" w:eastAsia="Times New Roman" w:cs="Times New Roman"/>
        </w:rPr>
        <w:t>,</w:t>
      </w:r>
      <w:r>
        <w:rPr>
          <w:rFonts w:ascii="Microsoft YaHei" w:hAnsi="Microsoft YaHei" w:eastAsia="Microsoft YaHei" w:cs="Microsoft YaHei"/>
        </w:rPr>
        <w:t>那从无底坑上来的兽</w:t>
      </w:r>
      <w:r>
        <w:rPr>
          <w:rFonts w:ascii="Times New Roman" w:hAnsi="Times New Roman" w:eastAsia="Times New Roman" w:cs="Times New Roman"/>
        </w:rPr>
        <w:t>,</w:t>
      </w:r>
      <w:r>
        <w:rPr>
          <w:rFonts w:ascii="Microsoft YaHei" w:hAnsi="Microsoft YaHei" w:eastAsia="Microsoft YaHei" w:cs="Microsoft YaHei"/>
        </w:rPr>
        <w:t>就是在那个时期进入历史舞台的无神论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Asɛnnijili baa abakɔsɛm mu fii France wɔ afe 1798 bere no mu, na edu 1989 no, honhom mu hene a ɔgyina asɛnnijili ananmu no abɛyɛ Soviet Union. Wɔpra fii Soviet Union no wɔ 1989 mu de hyɛɛ kokoam apam bi a ɛda Pope John Paul II ne Ronald Reagan ntam no ma no, na na wɔayɛ ho mfonini ato hɔ wɔ Daniel ti dubaako mu nkyekyem du; na adansefoɔ a ɛto so abien ma nkyekyem du no wɔ Yesaia afa a ɛfa nnome abien a mfe mpem abien ahannum ne aduonu tiaa atifi ne anafo ahenni ahorow a ɛwɔ Israel no ho, sɛnea wɔde too gua wɔ ti ason kosi dubaako mu no.</w:t>
      </w:r>
    </w:p>
    <w:p>
      <w:pPr>
        <w:pStyle w:val="ArticleBody"/>
        <w:jc w:val="left"/>
      </w:pPr>
      <w:r>
        <w:rPr>
          <w:rFonts w:ascii="Times New Roman" w:hAnsi="Times New Roman" w:eastAsia="Times New Roman" w:cs="Times New Roman"/>
        </w:rPr>
        <w:t>1989 devient donc le point de référence pour résoudre les énigmes prophétiques des derniers jours. C’est alors que le verset quarante fut descellé. On peut maintenant reconnaître que le verset quarante commence en 1798 et s’achève avec la loi du dimanche du verset quarante et un.</w:t>
      </w:r>
    </w:p>
    <w:p>
      <w:pPr>
        <w:pStyle w:val="ArticleBody"/>
        <w:jc w:val="left"/>
      </w:pPr>
      <w:r>
        <w:rPr>
          <w:rFonts w:ascii="Times New Roman" w:hAnsi="Times New Roman" w:eastAsia="Times New Roman" w:cs="Times New Roman"/>
        </w:rPr>
        <w:t>Au temps de la loi du dimanche, les États-Unis parleront comme un dragon et achèveront leur domination en tant que sixième royaume de la prophétie biblique. Ils commencèrent leur temps de règne en 1798, lorsque le cinquième royaume reçut une blessure mortelle. En 1798, les États-Unis adoptèrent les Alien and Sedition Acts, préfigurant ainsi la fin du sixième royaume dès son commencement même. Le verset quarante est donc l’histoire des États-Unis en tant que sixième royaume de la prophétie biblique.</w:t>
      </w:r>
    </w:p>
    <w:p>
      <w:pPr>
        <w:pStyle w:val="ArticleBody"/>
        <w:jc w:val="left"/>
      </w:pPr>
      <w:r>
        <w:rPr>
          <w:rFonts w:ascii="Times New Roman" w:hAnsi="Times New Roman" w:eastAsia="Times New Roman" w:cs="Times New Roman"/>
        </w:rPr>
        <w:t>1798 ni herufi ya kwanza ya alfabeti ya Kiebrania; sheria ya Jumapili ni herufi ya ishirini na mbili na ya mwisho ya alfabeti ya Kiebrania; na 1989 ni alama ya kati inayowakilisha uasi unaoashiriwa na namba kumi na tatu na herufi ya kumi na tatu ya alfabeti ya Kiebrania. Mwaka 1989 unawakilisha uasi wa muungano wa siri wa Reagan pamoja na mpinga-Kristo wa unabii wa Biblia. Mwaka 1989 unaanzisha wa kwanza wa marais wanane wa mwisho wanaotawala katika kipindi cha uasi unaozidi kuongezeka dhidi ya Katiba. Mwaka 1989 ulianza mchakato wa kupimwa miongoni mwa Waadventista Wasabato uliokusudiwa kuzalisha makundi mawili ya waabudu. Waaminifu ni wachache; wasio waaminifu ni wengi. Mwaka 1989 unawakilisha alama ya kati ya mstari wa arobaini, na unawakilisha uasi unaoashiriwa na herufi ya kumi na tatu. Mstari wa arobaini una muhuri wa “kweli.”</w:t>
      </w:r>
    </w:p>
    <w:p>
      <w:pPr>
        <w:pStyle w:val="ArticleBody"/>
        <w:jc w:val="left"/>
      </w:pPr>
      <w:r>
        <w:rPr>
          <w:rFonts w:ascii="Times New Roman" w:hAnsi="Times New Roman" w:eastAsia="Times New Roman" w:cs="Times New Roman"/>
        </w:rPr>
        <w:t>Ny andininy faha-efapolo dia manonona mpanjakan’ny avaratra sy ny atsimo izay tsy mitovy amin’ny tantara eo amin’ny faran’ilay andininy. Misy koa ao Etazonia, izay araka an’i Jaona no mpaminany sandoka, izay miara-miasa amin’ilay dragona sy ny bibidia mba hitarihana izao tontolo izao ho any Hara-magedona. Ny mpanjakan’ny atsimo ao amin’ny andininy faha-efapolo dia ilay dragona, ny mpanjakan’ny avaratra dia ilay bibidia; ny kalesy sy ny sambo ary ny mpitaingin-tsoavaly dia ilay mpaminany sandoka. Ny fahatanterahan’ny andininy faha-efapolo tamin’ny 1989 dia tonga toetra ara-paminaniana lehibe ho amin’ny fahatakarana ny andininy faha-iraika ambin’ny folo ka hatramin’ny faha-dimy ambin’ny folo. Raha tsy marina ny amin’ny 1989, dia tsy azo atao araka ny lojika ny hoe marina ny amin’ny tantara misy antsika ankehitriny.</w:t>
      </w:r>
    </w:p>
    <w:p>
      <w:pPr>
        <w:pStyle w:val="ArticleBody"/>
        <w:jc w:val="left"/>
      </w:pPr>
      <w:r>
        <w:rPr>
          <w:rFonts w:ascii="Times New Roman" w:hAnsi="Times New Roman" w:eastAsia="Times New Roman" w:cs="Times New Roman"/>
        </w:rPr>
        <w:t>A e 1989 ffino alla legge domenicale sono rappresentate, nei versetti da dieci a quindici, tre guerre per procura per il papato. Questi versetti devono essere considerati come un’unica storia continua, poiché il medesimo «Antiochus Magnus» si ritrova nelle tre battaglie rappresentate nell’adempimento storico dei versetti da dieci a quindici.</w:t>
      </w:r>
    </w:p>
    <w:p>
      <w:pPr>
        <w:pStyle w:val="ArticleBody"/>
        <w:jc w:val="left"/>
      </w:pPr>
      <w:r>
        <w:rPr>
          <w:rFonts w:ascii="Times New Roman" w:hAnsi="Times New Roman" w:eastAsia="Times New Roman" w:cs="Times New Roman"/>
        </w:rPr>
        <w:t>Kokonaisuudessaan nämä kolme taistelua muodostavat yhden profeetallisen linjan, sillä Antiokhos Magnus oli mukana jokaisessa näistä kolmesta taistelusta. Jae kymmenen ja Jesaja 8:8 antavat kaksi todistajaa jakeen neljäkymmentä täyttymiselle vuonna 1989. Jae neljäkymmentä on viitekohta jakeessa kymmenen ja Jesaja 8:8:ssa. ”Sotavaunut, laivat ja ratsumiehet” edustavat Ilmestyskirjan kolmantenatoista luvussa mainitun maasta nousevan pedon kahta sarvea. Lopun aikana, kun Yhdysvallat ”puhuu kuin lohikäärme”, nuo kaksi sarvea eivät enää ole tasavaltalaisuus ja protestanttisuus. Tuolloin niin sanotut protestantit liittyvät katolilaisuuteen, ja perustuslaillinen tasavalta muutetaan diktatuuriksi. Tuona ajanjaksona maasta nousevan pedon kaksi sarvea ovat taloudellinen ja sotilaallinen voima. Ilmestyskirjan kolmennessatoista luvussa Yhdysvallat pakottaa maailman ottamaan pedon merkin voidakseen ostaa ja myydä, sekä kuolemanuhalla. Nuo kaksi sarvea ovat Danielin ”laivat”, jotka edustavat taloudellista valtaa, sekä hänen ”ratsumiehensä ja sotavaununsa”, jotka edustavat sotilaallista voimaa.</w:t>
      </w:r>
    </w:p>
    <w:p>
      <w:pPr>
        <w:pStyle w:val="ArticleBody"/>
        <w:jc w:val="left"/>
      </w:pP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အတွင်းရှိ</w:t>
      </w:r>
      <w:r>
        <w:rPr>
          <w:rFonts w:ascii="Times New Roman" w:hAnsi="Times New Roman" w:eastAsia="Times New Roman" w:cs="Times New Roman"/>
        </w:rPr>
        <w:t xml:space="preserve"> </w:t>
      </w:r>
      <w:r>
        <w:rPr>
          <w:rFonts w:ascii="Myanmar Text" w:hAnsi="Myanmar Text" w:eastAsia="Myanmar Text" w:cs="Myanmar Text"/>
        </w:rPr>
        <w:t>ရာဖိအာနှင့်</w:t>
      </w:r>
      <w:r>
        <w:rPr>
          <w:rFonts w:ascii="Times New Roman" w:hAnsi="Times New Roman" w:eastAsia="Times New Roman" w:cs="Times New Roman"/>
        </w:rPr>
        <w:t xml:space="preserve"> </w:t>
      </w:r>
      <w:r>
        <w:rPr>
          <w:rFonts w:ascii="Myanmar Text" w:hAnsi="Myanmar Text" w:eastAsia="Myanmar Text" w:cs="Myanmar Text"/>
        </w:rPr>
        <w:t>ပာနီယုမ်</w:t>
      </w:r>
      <w:r>
        <w:rPr>
          <w:rFonts w:ascii="Times New Roman" w:hAnsi="Times New Roman" w:eastAsia="Times New Roman" w:cs="Times New Roman"/>
        </w:rPr>
        <w:t xml:space="preserve"> </w:t>
      </w:r>
      <w:r>
        <w:rPr>
          <w:rFonts w:ascii="Myanmar Text" w:hAnsi="Myanmar Text" w:eastAsia="Myanmar Text" w:cs="Myanmar Text"/>
        </w:rPr>
        <w:t>စစ်ပွဲများ၏</w:t>
      </w:r>
      <w:r>
        <w:rPr>
          <w:rFonts w:ascii="Times New Roman" w:hAnsi="Times New Roman" w:eastAsia="Times New Roman" w:cs="Times New Roman"/>
        </w:rPr>
        <w:t xml:space="preserve"> </w:t>
      </w:r>
      <w:r>
        <w:rPr>
          <w:rFonts w:ascii="Myanmar Text" w:hAnsi="Myanmar Text" w:eastAsia="Myanmar Text" w:cs="Myanmar Text"/>
        </w:rPr>
        <w:t>သမိုင်းဆိုင်ရာ</w:t>
      </w:r>
      <w:r>
        <w:rPr>
          <w:rFonts w:ascii="Times New Roman" w:hAnsi="Times New Roman" w:eastAsia="Times New Roman" w:cs="Times New Roman"/>
        </w:rPr>
        <w:t xml:space="preserve"> </w:t>
      </w:r>
      <w:r>
        <w:rPr>
          <w:rFonts w:ascii="Myanmar Text" w:hAnsi="Myanmar Text" w:eastAsia="Myanmar Text" w:cs="Myanmar Text"/>
        </w:rPr>
        <w:t>ပြည့်စုံခြင်းကို</w:t>
      </w:r>
      <w:r>
        <w:rPr>
          <w:rFonts w:ascii="Times New Roman" w:hAnsi="Times New Roman" w:eastAsia="Times New Roman" w:cs="Times New Roman"/>
        </w:rPr>
        <w:t xml:space="preserve"> </w:t>
      </w:r>
      <w:r>
        <w:rPr>
          <w:rFonts w:ascii="Myanmar Text" w:hAnsi="Myanmar Text" w:eastAsia="Myanmar Text" w:cs="Myanmar Text"/>
        </w:rPr>
        <w:t>အသုံးချရာတွင်၊</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ခုနှစ်နှင့်</w:t>
      </w:r>
      <w:r>
        <w:rPr>
          <w:rFonts w:ascii="Times New Roman" w:hAnsi="Times New Roman" w:eastAsia="Times New Roman" w:cs="Times New Roman"/>
        </w:rPr>
        <w:t xml:space="preserve"> </w:t>
      </w:r>
      <w:r>
        <w:rPr>
          <w:rFonts w:ascii="Myanmar Text" w:hAnsi="Myanmar Text" w:eastAsia="Myanmar Text" w:cs="Myanmar Text"/>
        </w:rPr>
        <w:t>ဆိုဗီယက်ယူနီယံ</w:t>
      </w:r>
      <w:r>
        <w:rPr>
          <w:rFonts w:ascii="Times New Roman" w:hAnsi="Times New Roman" w:eastAsia="Times New Roman" w:cs="Times New Roman"/>
        </w:rPr>
        <w:t xml:space="preserve"> </w:t>
      </w:r>
      <w:r>
        <w:rPr>
          <w:rFonts w:ascii="Myanmar Text" w:hAnsi="Myanmar Text" w:eastAsia="Myanmar Text" w:cs="Myanmar Text"/>
        </w:rPr>
        <w:t>ပြိုကွဲခြင်းကို</w:t>
      </w:r>
      <w:r>
        <w:rPr>
          <w:rFonts w:ascii="Times New Roman" w:hAnsi="Times New Roman" w:eastAsia="Times New Roman" w:cs="Times New Roman"/>
        </w:rPr>
        <w:t xml:space="preserve"> </w:t>
      </w:r>
      <w:r>
        <w:rPr>
          <w:rFonts w:ascii="Myanmar Text" w:hAnsi="Myanmar Text" w:eastAsia="Myanmar Text" w:cs="Myanmar Text"/>
        </w:rPr>
        <w:t>နားလည်ရန်</w:t>
      </w:r>
      <w:r>
        <w:rPr>
          <w:rFonts w:ascii="Times New Roman" w:hAnsi="Times New Roman" w:eastAsia="Times New Roman" w:cs="Times New Roman"/>
        </w:rPr>
        <w:t xml:space="preserve"> </w:t>
      </w:r>
      <w:r>
        <w:rPr>
          <w:rFonts w:ascii="Myanmar Text" w:hAnsi="Myanmar Text" w:eastAsia="Myanmar Text" w:cs="Myanmar Text"/>
        </w:rPr>
        <w:t>အသုံးပြုခဲ့သည့်</w:t>
      </w:r>
      <w:r>
        <w:rPr>
          <w:rFonts w:ascii="Times New Roman" w:hAnsi="Times New Roman" w:eastAsia="Times New Roman" w:cs="Times New Roman"/>
        </w:rPr>
        <w:t xml:space="preserve"> </w:t>
      </w:r>
      <w:r>
        <w:rPr>
          <w:rFonts w:ascii="Myanmar Text" w:hAnsi="Myanmar Text" w:eastAsia="Myanmar Text" w:cs="Myanmar Text"/>
        </w:rPr>
        <w:t>ထိုတူညီသော</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နည်းလမ်းကိုပင်</w:t>
      </w:r>
      <w:r>
        <w:rPr>
          <w:rFonts w:ascii="Times New Roman" w:hAnsi="Times New Roman" w:eastAsia="Times New Roman" w:cs="Times New Roman"/>
        </w:rPr>
        <w:t xml:space="preserve"> </w:t>
      </w:r>
      <w:r>
        <w:rPr>
          <w:rFonts w:ascii="Myanmar Text" w:hAnsi="Myanmar Text" w:eastAsia="Myanmar Text" w:cs="Myanmar Text"/>
        </w:rPr>
        <w:t>အသုံးပြုရမည်ဟု</w:t>
      </w:r>
      <w:r>
        <w:rPr>
          <w:rFonts w:ascii="Times New Roman" w:hAnsi="Times New Roman" w:eastAsia="Times New Roman" w:cs="Times New Roman"/>
        </w:rPr>
        <w:t xml:space="preserve"> </w:t>
      </w:r>
      <w:r>
        <w:rPr>
          <w:rFonts w:ascii="Myanmar Text" w:hAnsi="Myanmar Text" w:eastAsia="Myanmar Text" w:cs="Myanmar Text"/>
        </w:rPr>
        <w:t>တည်ထောင်ပေးသည်။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အတွင်း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စစ်ပွဲ</w:t>
      </w:r>
      <w:r>
        <w:rPr>
          <w:rFonts w:ascii="Times New Roman" w:hAnsi="Times New Roman" w:eastAsia="Times New Roman" w:cs="Times New Roman"/>
        </w:rPr>
        <w:t xml:space="preserve"> </w:t>
      </w:r>
      <w:r>
        <w:rPr>
          <w:rFonts w:ascii="Myanmar Text" w:hAnsi="Myanmar Text" w:eastAsia="Myanmar Text" w:cs="Myanmar Text"/>
        </w:rPr>
        <w:t>သုံးပွဲလုံးတွင်</w:t>
      </w:r>
      <w:r>
        <w:rPr>
          <w:rFonts w:ascii="Times New Roman" w:hAnsi="Times New Roman" w:eastAsia="Times New Roman" w:cs="Times New Roman"/>
        </w:rPr>
        <w:t xml:space="preserve"> </w:t>
      </w:r>
      <w:r>
        <w:rPr>
          <w:rFonts w:ascii="Myanmar Text" w:hAnsi="Myanmar Text" w:eastAsia="Myanmar Text" w:cs="Myanmar Text"/>
        </w:rPr>
        <w:t>အန်တီအိုခတ်စ်</w:t>
      </w:r>
      <w:r>
        <w:rPr>
          <w:rFonts w:ascii="Times New Roman" w:hAnsi="Times New Roman" w:eastAsia="Times New Roman" w:cs="Times New Roman"/>
        </w:rPr>
        <w:t xml:space="preserve"> </w:t>
      </w:r>
      <w:r>
        <w:rPr>
          <w:rFonts w:ascii="Myanmar Text" w:hAnsi="Myanmar Text" w:eastAsia="Myanmar Text" w:cs="Myanmar Text"/>
        </w:rPr>
        <w:t>မဂ်နပ်စ်က</w:t>
      </w:r>
      <w:r>
        <w:rPr>
          <w:rFonts w:ascii="Times New Roman" w:hAnsi="Times New Roman" w:eastAsia="Times New Roman" w:cs="Times New Roman"/>
        </w:rPr>
        <w:t xml:space="preserve"> </w:t>
      </w:r>
      <w:r>
        <w:rPr>
          <w:rFonts w:ascii="Myanmar Text" w:hAnsi="Myanmar Text" w:eastAsia="Myanmar Text" w:cs="Myanmar Text"/>
        </w:rPr>
        <w:t>ကိုယ်စားပြုခံထားရသောကြောင့်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အန်တီအိုခတ်စ်သည်</w:t>
      </w:r>
      <w:r>
        <w:rPr>
          <w:rFonts w:ascii="Times New Roman" w:hAnsi="Times New Roman" w:eastAsia="Times New Roman" w:cs="Times New Roman"/>
        </w:rPr>
        <w:t xml:space="preserve"> </w:t>
      </w:r>
      <w:r>
        <w:rPr>
          <w:rFonts w:ascii="Myanmar Text" w:hAnsi="Myanmar Text" w:eastAsia="Myanmar Text" w:cs="Myanmar Text"/>
        </w:rPr>
        <w:t>ရထားစစ်အင်အား၊</w:t>
      </w:r>
      <w:r>
        <w:rPr>
          <w:rFonts w:ascii="Times New Roman" w:hAnsi="Times New Roman" w:eastAsia="Times New Roman" w:cs="Times New Roman"/>
        </w:rPr>
        <w:t xml:space="preserve"> </w:t>
      </w:r>
      <w:r>
        <w:rPr>
          <w:rFonts w:ascii="Myanmar Text" w:hAnsi="Myanmar Text" w:eastAsia="Myanmar Text" w:cs="Myanmar Text"/>
        </w:rPr>
        <w:t>သင်္ဘောများနှင့်</w:t>
      </w:r>
      <w:r>
        <w:rPr>
          <w:rFonts w:ascii="Times New Roman" w:hAnsi="Times New Roman" w:eastAsia="Times New Roman" w:cs="Times New Roman"/>
        </w:rPr>
        <w:t xml:space="preserve"> </w:t>
      </w:r>
      <w:r>
        <w:rPr>
          <w:rFonts w:ascii="Myanmar Text" w:hAnsi="Myanmar Text" w:eastAsia="Myanmar Text" w:cs="Myanmar Text"/>
        </w:rPr>
        <w:t>မြင်းစီးတပ်သားများ၏</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ထိုတန်ခိုးသည်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ရိုနယ်</w:t>
      </w:r>
      <w:r>
        <w:rPr>
          <w:rFonts w:ascii="Times New Roman" w:hAnsi="Times New Roman" w:eastAsia="Times New Roman" w:cs="Times New Roman"/>
        </w:rPr>
        <w:t xml:space="preserve"> </w:t>
      </w:r>
      <w:r>
        <w:rPr>
          <w:rFonts w:ascii="Myanmar Text" w:hAnsi="Myanmar Text" w:eastAsia="Myanmar Text" w:cs="Myanmar Text"/>
        </w:rPr>
        <w:t>ရေဂန်ဖြစ်ခဲ့ပြီး၊</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w:t>
      </w:r>
      <w:r>
        <w:rPr>
          <w:rFonts w:ascii="Myanmar Text" w:hAnsi="Myanmar Text" w:eastAsia="Myanmar Text" w:cs="Myanmar Text"/>
        </w:rPr>
        <w:t>ရှစ်ဦးအနက်</w:t>
      </w:r>
      <w:r>
        <w:rPr>
          <w:rFonts w:ascii="Times New Roman" w:hAnsi="Times New Roman" w:eastAsia="Times New Roman" w:cs="Times New Roman"/>
        </w:rPr>
        <w:t xml:space="preserve"> </w:t>
      </w:r>
      <w:r>
        <w:rPr>
          <w:rFonts w:ascii="Myanmar Text" w:hAnsi="Myanmar Text" w:eastAsia="Myanmar Text" w:cs="Myanmar Text"/>
        </w:rPr>
        <w:t>ပထမဦးဖြစ်သကဲ့သို့၊</w:t>
      </w:r>
      <w:r>
        <w:rPr>
          <w:rFonts w:ascii="Times New Roman" w:hAnsi="Times New Roman" w:eastAsia="Times New Roman" w:cs="Times New Roman"/>
        </w:rPr>
        <w:t xml:space="preserve"> </w:t>
      </w:r>
      <w:r>
        <w:rPr>
          <w:rFonts w:ascii="Myanmar Text" w:hAnsi="Myanmar Text" w:eastAsia="Myanmar Text" w:cs="Myanmar Text"/>
        </w:rPr>
        <w:t>နောက်ဆုံးသောသူသည်လည်း</w:t>
      </w:r>
      <w:r>
        <w:rPr>
          <w:rFonts w:ascii="Times New Roman" w:hAnsi="Times New Roman" w:eastAsia="Times New Roman" w:cs="Times New Roman"/>
        </w:rPr>
        <w:t xml:space="preserve"> </w:t>
      </w:r>
      <w:r>
        <w:rPr>
          <w:rFonts w:ascii="Myanmar Text" w:hAnsi="Myanmar Text" w:eastAsia="Myanmar Text" w:cs="Myanmar Text"/>
        </w:rPr>
        <w:t>ဆဋ္ဌမမြောက်ဖြစ်ပြီး</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ခုနစ်ဦးထဲမှ</w:t>
      </w:r>
      <w:r>
        <w:rPr>
          <w:rFonts w:ascii="Times New Roman" w:hAnsi="Times New Roman" w:eastAsia="Times New Roman" w:cs="Times New Roman"/>
        </w:rPr>
        <w:t xml:space="preserve"> </w:t>
      </w:r>
      <w:r>
        <w:rPr>
          <w:rFonts w:ascii="Myanmar Text" w:hAnsi="Myanmar Text" w:eastAsia="Myanmar Text" w:cs="Myanmar Text"/>
        </w:rPr>
        <w:t>ဆင်းသက်လာသော</w:t>
      </w:r>
      <w:r>
        <w:rPr>
          <w:rFonts w:ascii="Times New Roman" w:hAnsi="Times New Roman" w:eastAsia="Times New Roman" w:cs="Times New Roman"/>
        </w:rPr>
        <w:t xml:space="preserve"> </w:t>
      </w:r>
      <w:r>
        <w:rPr>
          <w:rFonts w:ascii="Myanmar Text" w:hAnsi="Myanmar Text" w:eastAsia="Myanmar Text" w:cs="Myanmar Text"/>
        </w:rPr>
        <w:t>အဋ္ဌမမြောက်ဖြစ်နေသည်။</w:t>
      </w:r>
    </w:p>
    <w:p>
      <w:pPr>
        <w:pStyle w:val="ArticleBody"/>
        <w:jc w:val="left"/>
      </w:pPr>
      <w:r>
        <w:rPr>
          <w:rFonts w:ascii="Times New Roman" w:hAnsi="Times New Roman" w:eastAsia="Times New Roman" w:cs="Times New Roman"/>
        </w:rPr>
        <w:t>Laut Jesaja dreiundzwanzig würde die päpstliche Macht – (die Hure, die Hurerei treibt mit den Königen der Erde) – während der Herrschaft der Vereinigten Staaten als des sechsten Königreichs der biblischen Weissagung verborgen sein. Im Jahr 1989 waren die Vereinigten Staaten, die durch Antiochus Magnus vorgebildet worden waren, die Stellvertretermacht des Papsttums in seinem Krieg gegen das Tier des Atheismus, das ihm im Jahr 1798 eine tödliche Wunde zugefügt hatte.</w:t>
      </w:r>
    </w:p>
    <w:p>
      <w:pPr>
        <w:pStyle w:val="ArticleBody"/>
        <w:jc w:val="left"/>
      </w:pPr>
      <w:r>
        <w:rPr>
          <w:rFonts w:ascii="Nirmala UI" w:hAnsi="Nirmala UI" w:eastAsia="Nirmala UI" w:cs="Nirmala UI"/>
        </w:rPr>
        <w:t>ત્રણેય</w:t>
      </w:r>
      <w:r>
        <w:rPr>
          <w:rFonts w:ascii="Times New Roman" w:hAnsi="Times New Roman" w:eastAsia="Times New Roman" w:cs="Times New Roman"/>
        </w:rPr>
        <w:t xml:space="preserve"> </w:t>
      </w:r>
      <w:r>
        <w:rPr>
          <w:rFonts w:ascii="Nirmala UI" w:hAnsi="Nirmala UI" w:eastAsia="Nirmala UI" w:cs="Nirmala UI"/>
        </w:rPr>
        <w:t>યુદ્ધો</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દસમુંથી</w:t>
      </w:r>
      <w:r>
        <w:rPr>
          <w:rFonts w:ascii="Times New Roman" w:hAnsi="Times New Roman" w:eastAsia="Times New Roman" w:cs="Times New Roman"/>
        </w:rPr>
        <w:t xml:space="preserve"> </w:t>
      </w:r>
      <w:r>
        <w:rPr>
          <w:rFonts w:ascii="Nirmala UI" w:hAnsi="Nirmala UI" w:eastAsia="Nirmala UI" w:cs="Nirmala UI"/>
        </w:rPr>
        <w:t>પંદરમું</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વર્ણવાયેલા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ઉત્તરનો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દક્ષિણનો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w:t>
      </w:r>
      <w:r>
        <w:rPr>
          <w:rFonts w:ascii="Nirmala UI" w:hAnsi="Nirmala UI" w:eastAsia="Nirmala UI" w:cs="Nirmala UI"/>
        </w:rPr>
        <w:t>અર્થાત્</w:t>
      </w:r>
      <w:r>
        <w:rPr>
          <w:rFonts w:ascii="Times New Roman" w:hAnsi="Times New Roman" w:eastAsia="Times New Roman" w:cs="Times New Roman"/>
        </w:rPr>
        <w:t xml:space="preserve"> </w:t>
      </w:r>
      <w:r>
        <w:rPr>
          <w:rFonts w:ascii="Nirmala UI" w:hAnsi="Nirmala UI" w:eastAsia="Nirmala UI" w:cs="Nirmala UI"/>
        </w:rPr>
        <w:t>નાસ્તિકતાનો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w:t>
      </w:r>
      <w:r>
        <w:rPr>
          <w:rFonts w:ascii="Nirmala UI" w:hAnsi="Nirmala UI" w:eastAsia="Nirmala UI" w:cs="Nirmala UI"/>
        </w:rPr>
        <w:t>વચ્ચેના</w:t>
      </w:r>
      <w:r>
        <w:rPr>
          <w:rFonts w:ascii="Times New Roman" w:hAnsi="Times New Roman" w:eastAsia="Times New Roman" w:cs="Times New Roman"/>
        </w:rPr>
        <w:t xml:space="preserve"> </w:t>
      </w:r>
      <w:r>
        <w:rPr>
          <w:rFonts w:ascii="Nirmala UI" w:hAnsi="Nirmala UI" w:eastAsia="Nirmala UI" w:cs="Nirmala UI"/>
        </w:rPr>
        <w:t>સંઘર્ષને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ઉત્તરનો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તૂરની</w:t>
      </w:r>
      <w:r>
        <w:rPr>
          <w:rFonts w:ascii="Times New Roman" w:hAnsi="Times New Roman" w:eastAsia="Times New Roman" w:cs="Times New Roman"/>
        </w:rPr>
        <w:t xml:space="preserve"> </w:t>
      </w:r>
      <w:r>
        <w:rPr>
          <w:rFonts w:ascii="Nirmala UI" w:hAnsi="Nirmala UI" w:eastAsia="Nirmala UI" w:cs="Nirmala UI"/>
        </w:rPr>
        <w:t>ગુપ્ત</w:t>
      </w:r>
      <w:r>
        <w:rPr>
          <w:rFonts w:ascii="Times New Roman" w:hAnsi="Times New Roman" w:eastAsia="Times New Roman" w:cs="Times New Roman"/>
        </w:rPr>
        <w:t xml:space="preserve"> </w:t>
      </w:r>
      <w:r>
        <w:rPr>
          <w:rFonts w:ascii="Nirmala UI" w:hAnsi="Nirmala UI" w:eastAsia="Nirmala UI" w:cs="Nirmala UI"/>
        </w:rPr>
        <w:t>વેશ્યા</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શક્તિની</w:t>
      </w:r>
      <w:r>
        <w:rPr>
          <w:rFonts w:ascii="Times New Roman" w:hAnsi="Times New Roman" w:eastAsia="Times New Roman" w:cs="Times New Roman"/>
        </w:rPr>
        <w:t xml:space="preserve"> </w:t>
      </w:r>
      <w:r>
        <w:rPr>
          <w:rFonts w:ascii="Nirmala UI" w:hAnsi="Nirmala UI" w:eastAsia="Nirmala UI" w:cs="Nirmala UI"/>
        </w:rPr>
        <w:t>પુનઃસ્થાપના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દક્ષિણના</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પરાજય</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વધતાં</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શક્તિઓનો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દસમુંથી</w:t>
      </w:r>
      <w:r>
        <w:rPr>
          <w:rFonts w:ascii="Times New Roman" w:hAnsi="Times New Roman" w:eastAsia="Times New Roman" w:cs="Times New Roman"/>
        </w:rPr>
        <w:t xml:space="preserve"> </w:t>
      </w:r>
      <w:r>
        <w:rPr>
          <w:rFonts w:ascii="Nirmala UI" w:hAnsi="Nirmala UI" w:eastAsia="Nirmala UI" w:cs="Nirmala UI"/>
        </w:rPr>
        <w:t>પંદરમું</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ત્રણેય</w:t>
      </w:r>
      <w:r>
        <w:rPr>
          <w:rFonts w:ascii="Times New Roman" w:hAnsi="Times New Roman" w:eastAsia="Times New Roman" w:cs="Times New Roman"/>
        </w:rPr>
        <w:t xml:space="preserve"> </w:t>
      </w:r>
      <w:r>
        <w:rPr>
          <w:rFonts w:ascii="Nirmala UI" w:hAnsi="Nirmala UI" w:eastAsia="Nirmala UI" w:cs="Nirmala UI"/>
        </w:rPr>
        <w:t>યુદ્ધોના</w:t>
      </w:r>
      <w:r>
        <w:rPr>
          <w:rFonts w:ascii="Times New Roman" w:hAnsi="Times New Roman" w:eastAsia="Times New Roman" w:cs="Times New Roman"/>
        </w:rPr>
        <w:t xml:space="preserve"> </w:t>
      </w:r>
      <w:r>
        <w:rPr>
          <w:rFonts w:ascii="Nirmala UI" w:hAnsi="Nirmala UI" w:eastAsia="Nirmala UI" w:cs="Nirmala UI"/>
        </w:rPr>
        <w:t>ઐતિહાસિક</w:t>
      </w:r>
      <w:r>
        <w:rPr>
          <w:rFonts w:ascii="Times New Roman" w:hAnsi="Times New Roman" w:eastAsia="Times New Roman" w:cs="Times New Roman"/>
        </w:rPr>
        <w:t xml:space="preserve"> </w:t>
      </w:r>
      <w:r>
        <w:rPr>
          <w:rFonts w:ascii="Nirmala UI" w:hAnsi="Nirmala UI" w:eastAsia="Nirmala UI" w:cs="Nirmala UI"/>
        </w:rPr>
        <w:t>પરિપૂર્ણતાઓ</w:t>
      </w:r>
      <w:r>
        <w:rPr>
          <w:rFonts w:ascii="Times New Roman" w:hAnsi="Times New Roman" w:eastAsia="Times New Roman" w:cs="Times New Roman"/>
        </w:rPr>
        <w:t xml:space="preserve"> </w:t>
      </w:r>
      <w:r>
        <w:rPr>
          <w:rFonts w:ascii="Nirmala UI" w:hAnsi="Nirmala UI" w:eastAsia="Nirmala UI" w:cs="Nirmala UI"/>
        </w:rPr>
        <w:t>આપણને</w:t>
      </w:r>
      <w:r>
        <w:rPr>
          <w:rFonts w:ascii="Times New Roman" w:hAnsi="Times New Roman" w:eastAsia="Times New Roman" w:cs="Times New Roman"/>
        </w:rPr>
        <w:t xml:space="preserve"> </w:t>
      </w:r>
      <w:r>
        <w:rPr>
          <w:rFonts w:ascii="Nirmala UI" w:hAnsi="Nirmala UI" w:eastAsia="Nirmala UI" w:cs="Nirmala UI"/>
        </w:rPr>
        <w:t>શીખવે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છેલ્લાં</w:t>
      </w:r>
      <w:r>
        <w:rPr>
          <w:rFonts w:ascii="Times New Roman" w:hAnsi="Times New Roman" w:eastAsia="Times New Roman" w:cs="Times New Roman"/>
        </w:rPr>
        <w:t xml:space="preserve"> </w:t>
      </w:r>
      <w:r>
        <w:rPr>
          <w:rFonts w:ascii="Nirmala UI" w:hAnsi="Nirmala UI" w:eastAsia="Nirmala UI" w:cs="Nirmala UI"/>
        </w:rPr>
        <w:t>યુદ્ધોમાં</w:t>
      </w:r>
      <w:r>
        <w:rPr>
          <w:rFonts w:ascii="Times New Roman" w:hAnsi="Times New Roman" w:eastAsia="Times New Roman" w:cs="Times New Roman"/>
        </w:rPr>
        <w:t xml:space="preserve"> </w:t>
      </w:r>
      <w:r>
        <w:rPr>
          <w:rFonts w:ascii="Nirmala UI" w:hAnsi="Nirmala UI" w:eastAsia="Nirmala UI" w:cs="Nirmala UI"/>
        </w:rPr>
        <w:t>એન્ટિયોકસ</w:t>
      </w:r>
      <w:r>
        <w:rPr>
          <w:rFonts w:ascii="Times New Roman" w:hAnsi="Times New Roman" w:eastAsia="Times New Roman" w:cs="Times New Roman"/>
        </w:rPr>
        <w:t xml:space="preserve"> </w:t>
      </w:r>
      <w:r>
        <w:rPr>
          <w:rFonts w:ascii="Nirmala UI" w:hAnsi="Nirmala UI" w:eastAsia="Nirmala UI" w:cs="Nirmala UI"/>
        </w:rPr>
        <w:t>મેગ્નસ</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મધ્યનું</w:t>
      </w:r>
      <w:r>
        <w:rPr>
          <w:rFonts w:ascii="Times New Roman" w:hAnsi="Times New Roman" w:eastAsia="Times New Roman" w:cs="Times New Roman"/>
        </w:rPr>
        <w:t xml:space="preserve"> </w:t>
      </w:r>
      <w:r>
        <w:rPr>
          <w:rFonts w:ascii="Nirmala UI" w:hAnsi="Nirmala UI" w:eastAsia="Nirmala UI" w:cs="Nirmala UI"/>
        </w:rPr>
        <w:t>યુદ્ધ</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હાર્યું</w:t>
      </w:r>
      <w:r>
        <w:rPr>
          <w:rFonts w:ascii="Times New Roman" w:hAnsi="Times New Roman" w:eastAsia="Times New Roman" w:cs="Times New Roman"/>
        </w:rPr>
        <w:t>. 1989</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રોનાલ્ડ</w:t>
      </w:r>
      <w:r>
        <w:rPr>
          <w:rFonts w:ascii="Times New Roman" w:hAnsi="Times New Roman" w:eastAsia="Times New Roman" w:cs="Times New Roman"/>
        </w:rPr>
        <w:t xml:space="preserve"> </w:t>
      </w:r>
      <w:r>
        <w:rPr>
          <w:rFonts w:ascii="Nirmala UI" w:hAnsi="Nirmala UI" w:eastAsia="Nirmala UI" w:cs="Nirmala UI"/>
        </w:rPr>
        <w:t>રીગનના</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પોલ</w:t>
      </w:r>
      <w:r>
        <w:rPr>
          <w:rFonts w:ascii="Times New Roman" w:hAnsi="Times New Roman" w:eastAsia="Times New Roman" w:cs="Times New Roman"/>
        </w:rPr>
        <w:t xml:space="preserve"> II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સોવિયેત</w:t>
      </w:r>
      <w:r>
        <w:rPr>
          <w:rFonts w:ascii="Times New Roman" w:hAnsi="Times New Roman" w:eastAsia="Times New Roman" w:cs="Times New Roman"/>
        </w:rPr>
        <w:t xml:space="preserve"> </w:t>
      </w:r>
      <w:r>
        <w:rPr>
          <w:rFonts w:ascii="Nirmala UI" w:hAnsi="Nirmala UI" w:eastAsia="Nirmala UI" w:cs="Nirmala UI"/>
        </w:rPr>
        <w:t>યુનિયનના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જોડાયેલી</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લાક્ષણિકતાઓને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ત્રણેય</w:t>
      </w:r>
      <w:r>
        <w:rPr>
          <w:rFonts w:ascii="Times New Roman" w:hAnsi="Times New Roman" w:eastAsia="Times New Roman" w:cs="Times New Roman"/>
        </w:rPr>
        <w:t xml:space="preserve"> </w:t>
      </w:r>
      <w:r>
        <w:rPr>
          <w:rFonts w:ascii="Nirmala UI" w:hAnsi="Nirmala UI" w:eastAsia="Nirmala UI" w:cs="Nirmala UI"/>
        </w:rPr>
        <w:t>યુદ્ધોમાંથી</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યુદ્ધમાં</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સમકક્ષ</w:t>
      </w:r>
      <w:r>
        <w:rPr>
          <w:rFonts w:ascii="Times New Roman" w:hAnsi="Times New Roman" w:eastAsia="Times New Roman" w:cs="Times New Roman"/>
        </w:rPr>
        <w:t xml:space="preserve"> </w:t>
      </w:r>
      <w:r>
        <w:rPr>
          <w:rFonts w:ascii="Nirmala UI" w:hAnsi="Nirmala UI" w:eastAsia="Nirmala UI" w:cs="Nirmala UI"/>
        </w:rPr>
        <w:t>મળશે</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કૃપાકાળ</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થોડા</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ચાલીસ</w:t>
      </w:r>
      <w:r>
        <w:rPr>
          <w:rFonts w:ascii="Times New Roman" w:hAnsi="Times New Roman" w:eastAsia="Times New Roman" w:cs="Times New Roman"/>
        </w:rPr>
        <w:t xml:space="preserve"> 1798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1989</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અંતકાળે</w:t>
      </w:r>
      <w:r>
        <w:rPr>
          <w:rFonts w:ascii="Times New Roman" w:hAnsi="Times New Roman" w:eastAsia="Times New Roman" w:cs="Times New Roman"/>
        </w:rPr>
        <w:t xml:space="preserve">, </w:t>
      </w:r>
      <w:r>
        <w:rPr>
          <w:rFonts w:ascii="Nirmala UI" w:hAnsi="Nirmala UI" w:eastAsia="Nirmala UI" w:cs="Nirmala UI"/>
        </w:rPr>
        <w:t>જુલાઈ</w:t>
      </w:r>
      <w:r>
        <w:rPr>
          <w:rFonts w:ascii="Times New Roman" w:hAnsi="Times New Roman" w:eastAsia="Times New Roman" w:cs="Times New Roman"/>
        </w:rPr>
        <w:t xml:space="preserve"> 2023</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ការបើកត្រានៃវិវរណៈរបស់ព្រះយេស៊ូវគ្រីស្ទ</w:t>
      </w:r>
      <w:r>
        <w:rPr>
          <w:rFonts w:ascii="Times New Roman" w:hAnsi="Times New Roman" w:eastAsia="Times New Roman" w:cs="Times New Roman"/>
        </w:rPr>
        <w:t xml:space="preserve"> </w:t>
      </w:r>
      <w:r>
        <w:rPr>
          <w:rFonts w:ascii="Leelawadee UI" w:hAnsi="Leelawadee UI" w:eastAsia="Leelawadee UI" w:cs="Leelawadee UI"/>
        </w:rPr>
        <w:t>កើតឡើងមុនពេលកាលានុវត្តន៍បិទបញ្ចប់បន្តិច</w:t>
      </w:r>
      <w:r>
        <w:rPr>
          <w:rFonts w:ascii="Times New Roman" w:hAnsi="Times New Roman" w:eastAsia="Times New Roman" w:cs="Times New Roman"/>
        </w:rPr>
        <w:t xml:space="preserve"> </w:t>
      </w:r>
      <w:r>
        <w:rPr>
          <w:rFonts w:ascii="Leelawadee UI" w:hAnsi="Leelawadee UI" w:eastAsia="Leelawadee UI" w:cs="Leelawadee UI"/>
        </w:rPr>
        <w:t>ហើយវារួមបញ្ចូលសេចក្ដីពិតដ៏ឧត្តមបំផុតថា</w:t>
      </w:r>
      <w:r>
        <w:rPr>
          <w:rFonts w:ascii="Times New Roman" w:hAnsi="Times New Roman" w:eastAsia="Times New Roman" w:cs="Times New Roman"/>
        </w:rPr>
        <w:t xml:space="preserve"> </w:t>
      </w:r>
      <w:r>
        <w:rPr>
          <w:rFonts w:ascii="Leelawadee UI" w:hAnsi="Leelawadee UI" w:eastAsia="Leelawadee UI" w:cs="Leelawadee UI"/>
        </w:rPr>
        <w:t>ព្រះយេស៊ូវជាអ្នកទីមួយ</w:t>
      </w:r>
      <w:r>
        <w:rPr>
          <w:rFonts w:ascii="Times New Roman" w:hAnsi="Times New Roman" w:eastAsia="Times New Roman" w:cs="Times New Roman"/>
        </w:rPr>
        <w:t xml:space="preserve"> </w:t>
      </w:r>
      <w:r>
        <w:rPr>
          <w:rFonts w:ascii="Leelawadee UI" w:hAnsi="Leelawadee UI" w:eastAsia="Leelawadee UI" w:cs="Leelawadee UI"/>
        </w:rPr>
        <w:t>និងអ្នកចុងក្រោយ</w:t>
      </w:r>
      <w:r>
        <w:rPr>
          <w:rFonts w:ascii="Times New Roman" w:hAnsi="Times New Roman" w:eastAsia="Times New Roman" w:cs="Times New Roman"/>
        </w:rPr>
        <w:t xml:space="preserve"> </w:t>
      </w:r>
      <w:r>
        <w:rPr>
          <w:rFonts w:ascii="Leelawadee UI" w:hAnsi="Leelawadee UI" w:eastAsia="Leelawadee UI" w:cs="Leelawadee UI"/>
        </w:rPr>
        <w:t>ហើយដោយហេតុនេះទ្រង់តែងតែបង្ហាញចុងបញ្ចប់តាមរយៈដើមកំណើតជានិច្ច។</w:t>
      </w:r>
      <w:r>
        <w:rPr>
          <w:rFonts w:ascii="Times New Roman" w:hAnsi="Times New Roman" w:eastAsia="Times New Roman" w:cs="Times New Roman"/>
        </w:rPr>
        <w:t xml:space="preserve"> </w:t>
      </w:r>
      <w:r>
        <w:rPr>
          <w:rFonts w:ascii="Leelawadee UI" w:hAnsi="Leelawadee UI" w:eastAsia="Leelawadee UI" w:cs="Leelawadee UI"/>
        </w:rPr>
        <w:t>កាលានុវត្តន៍សម្រាប់អាដវិនទីស៊ឹម</w:t>
      </w:r>
      <w:r>
        <w:rPr>
          <w:rFonts w:ascii="Times New Roman" w:hAnsi="Times New Roman" w:eastAsia="Times New Roman" w:cs="Times New Roman"/>
        </w:rPr>
        <w:t xml:space="preserve"> </w:t>
      </w:r>
      <w:r>
        <w:rPr>
          <w:rFonts w:ascii="Leelawadee UI" w:hAnsi="Leelawadee UI" w:eastAsia="Leelawadee UI" w:cs="Leelawadee UI"/>
        </w:rPr>
        <w:t>បិទបញ្ចប់នៅច្បាប់ថ្ងៃអាទិត្យ</w:t>
      </w:r>
      <w:r>
        <w:rPr>
          <w:rFonts w:ascii="Times New Roman" w:hAnsi="Times New Roman" w:eastAsia="Times New Roman" w:cs="Times New Roman"/>
        </w:rPr>
        <w:t xml:space="preserve"> </w:t>
      </w:r>
      <w:r>
        <w:rPr>
          <w:rFonts w:ascii="Leelawadee UI" w:hAnsi="Leelawadee UI" w:eastAsia="Leelawadee UI" w:cs="Leelawadee UI"/>
        </w:rPr>
        <w:t>ហើយមុនពេលកាលានុវត្តន៍បិទបញ្ចប់</w:t>
      </w:r>
      <w:r>
        <w:rPr>
          <w:rFonts w:ascii="Times New Roman" w:hAnsi="Times New Roman" w:eastAsia="Times New Roman" w:cs="Times New Roman"/>
        </w:rPr>
        <w:t xml:space="preserve"> </w:t>
      </w:r>
      <w:r>
        <w:rPr>
          <w:rFonts w:ascii="Leelawadee UI" w:hAnsi="Leelawadee UI" w:eastAsia="Leelawadee UI" w:cs="Leelawadee UI"/>
        </w:rPr>
        <w:t>វិវរណៈរបស់ព្រះយេស៊ូវគ្រីស្ទត្រូវបានបើកត្រា។</w:t>
      </w:r>
      <w:r>
        <w:rPr>
          <w:rFonts w:ascii="Times New Roman" w:hAnsi="Times New Roman" w:eastAsia="Times New Roman" w:cs="Times New Roman"/>
        </w:rPr>
        <w:t xml:space="preserve"> </w:t>
      </w:r>
      <w:r>
        <w:rPr>
          <w:rFonts w:ascii="Leelawadee UI" w:hAnsi="Leelawadee UI" w:eastAsia="Leelawadee UI" w:cs="Leelawadee UI"/>
        </w:rPr>
        <w:t>សារដែលបញ្ចប់នៅទ្វារបិទនៃច្បាប់ថ្ងៃអាទិត្យ</w:t>
      </w:r>
      <w:r>
        <w:rPr>
          <w:rFonts w:ascii="Times New Roman" w:hAnsi="Times New Roman" w:eastAsia="Times New Roman" w:cs="Times New Roman"/>
        </w:rPr>
        <w:t xml:space="preserve"> </w:t>
      </w:r>
      <w:r>
        <w:rPr>
          <w:rFonts w:ascii="Leelawadee UI" w:hAnsi="Leelawadee UI" w:eastAsia="Leelawadee UI" w:cs="Leelawadee UI"/>
        </w:rPr>
        <w:t>គឺជាសារនៃសម្រែកពាក់កណ្ដាលអធ្រាត្រ</w:t>
      </w:r>
      <w:r>
        <w:rPr>
          <w:rFonts w:ascii="Times New Roman" w:hAnsi="Times New Roman" w:eastAsia="Times New Roman" w:cs="Times New Roman"/>
        </w:rPr>
        <w:t xml:space="preserve"> </w:t>
      </w:r>
      <w:r>
        <w:rPr>
          <w:rFonts w:ascii="Leelawadee UI" w:hAnsi="Leelawadee UI" w:eastAsia="Leelawadee UI" w:cs="Leelawadee UI"/>
        </w:rPr>
        <w:t>ដែលបាននាំទៅដល់ទ្វារបិទនៃថ្ងៃទី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ក្នុងប្រវត្តិសាស្ត្រមីឡឺរ៉ាយ។</w:t>
      </w:r>
      <w:r>
        <w:rPr>
          <w:rFonts w:ascii="Times New Roman" w:hAnsi="Times New Roman" w:eastAsia="Times New Roman" w:cs="Times New Roman"/>
        </w:rPr>
        <w:t xml:space="preserve"> </w:t>
      </w:r>
      <w:r>
        <w:rPr>
          <w:rFonts w:ascii="Leelawadee UI" w:hAnsi="Leelawadee UI" w:eastAsia="Leelawadee UI" w:cs="Leelawadee UI"/>
        </w:rPr>
        <w:t>ការបើកត្រានៅឆ្នាំ</w:t>
      </w:r>
      <w:r>
        <w:rPr>
          <w:rFonts w:ascii="Times New Roman" w:hAnsi="Times New Roman" w:eastAsia="Times New Roman" w:cs="Times New Roman"/>
        </w:rPr>
        <w:t xml:space="preserve"> 1798 </w:t>
      </w:r>
      <w:r>
        <w:rPr>
          <w:rFonts w:ascii="Leelawadee UI" w:hAnsi="Leelawadee UI" w:eastAsia="Leelawadee UI" w:cs="Leelawadee UI"/>
        </w:rPr>
        <w:t>នៅដើមខ</w:t>
      </w:r>
      <w:r>
        <w:rPr>
          <w:rFonts w:ascii="Times New Roman" w:hAnsi="Times New Roman" w:eastAsia="Times New Roman" w:cs="Times New Roman"/>
        </w:rPr>
        <w:t xml:space="preserve"> 40 </w:t>
      </w:r>
      <w:r>
        <w:rPr>
          <w:rFonts w:ascii="Leelawadee UI" w:hAnsi="Leelawadee UI" w:eastAsia="Leelawadee UI" w:cs="Leelawadee UI"/>
        </w:rPr>
        <w:t>ដែលក៏ជាការចាប់ផ្ដើមនៃសហរដ្ឋអាមេរិកក្នុងនាមជានគរទីប្រាំមួយនៃព្យាករណ៍ព្រះគម្ពីរ</w:t>
      </w:r>
      <w:r>
        <w:rPr>
          <w:rFonts w:ascii="Times New Roman" w:hAnsi="Times New Roman" w:eastAsia="Times New Roman" w:cs="Times New Roman"/>
        </w:rPr>
        <w:t xml:space="preserve"> </w:t>
      </w:r>
      <w:r>
        <w:rPr>
          <w:rFonts w:ascii="Leelawadee UI" w:hAnsi="Leelawadee UI" w:eastAsia="Leelawadee UI" w:cs="Leelawadee UI"/>
        </w:rPr>
        <w:t>បានជានិមិត្តរូបនៃការបើកត្រានៅឆ្នាំ</w:t>
      </w:r>
      <w:r>
        <w:rPr>
          <w:rFonts w:ascii="Times New Roman" w:hAnsi="Times New Roman" w:eastAsia="Times New Roman" w:cs="Times New Roman"/>
        </w:rPr>
        <w:t xml:space="preserve"> 1989 </w:t>
      </w:r>
      <w:r>
        <w:rPr>
          <w:rFonts w:ascii="Leelawadee UI" w:hAnsi="Leelawadee UI" w:eastAsia="Leelawadee UI" w:cs="Leelawadee UI"/>
        </w:rPr>
        <w:t>នៅកណ្ដាលខ</w:t>
      </w:r>
      <w:r>
        <w:rPr>
          <w:rFonts w:ascii="Times New Roman" w:hAnsi="Times New Roman" w:eastAsia="Times New Roman" w:cs="Times New Roman"/>
        </w:rPr>
        <w:t xml:space="preserve"> 40 </w:t>
      </w:r>
      <w:r>
        <w:rPr>
          <w:rFonts w:ascii="Leelawadee UI" w:hAnsi="Leelawadee UI" w:eastAsia="Leelawadee UI" w:cs="Leelawadee UI"/>
        </w:rPr>
        <w:t>និងការចាប់ផ្ដើមនៃការបញ្ចប់ជាបន្តបន្ទាប់របស់សហរដ្ឋអាមេរិក។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ការបើកត្រានៅឆ្នាំ</w:t>
      </w:r>
      <w:r>
        <w:rPr>
          <w:rFonts w:ascii="Times New Roman" w:hAnsi="Times New Roman" w:eastAsia="Times New Roman" w:cs="Times New Roman"/>
        </w:rPr>
        <w:t xml:space="preserve"> 1798 </w:t>
      </w:r>
      <w:r>
        <w:rPr>
          <w:rFonts w:ascii="Leelawadee UI" w:hAnsi="Leelawadee UI" w:eastAsia="Leelawadee UI" w:cs="Leelawadee UI"/>
        </w:rPr>
        <w:t>ដែលជានិមិត្តរូបនៃឆ្នាំ</w:t>
      </w:r>
      <w:r>
        <w:rPr>
          <w:rFonts w:ascii="Times New Roman" w:hAnsi="Times New Roman" w:eastAsia="Times New Roman" w:cs="Times New Roman"/>
        </w:rPr>
        <w:t xml:space="preserve"> 1989 </w:t>
      </w:r>
      <w:r>
        <w:rPr>
          <w:rFonts w:ascii="Leelawadee UI" w:hAnsi="Leelawadee UI" w:eastAsia="Leelawadee UI" w:cs="Leelawadee UI"/>
        </w:rPr>
        <w:t>តំណាងឲ្យសាក្សីពីរចំពោះការបើកត្រានៃសារសម្រែកពាក់កណ្ដាលអធ្រាត្រ</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2023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បន្ទាត់នេះ</w:t>
      </w:r>
      <w:r>
        <w:rPr>
          <w:rFonts w:ascii="Times New Roman" w:hAnsi="Times New Roman" w:eastAsia="Times New Roman" w:cs="Times New Roman"/>
        </w:rPr>
        <w:t xml:space="preserve"> </w:t>
      </w:r>
      <w:r>
        <w:rPr>
          <w:rFonts w:ascii="Leelawadee UI" w:hAnsi="Leelawadee UI" w:eastAsia="Leelawadee UI" w:cs="Leelawadee UI"/>
        </w:rPr>
        <w:t>ជាមួយនឹងសញ្ញាសំគាល់បីរបស់វា</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1798, 1989 </w:t>
      </w:r>
      <w:r>
        <w:rPr>
          <w:rFonts w:ascii="Leelawadee UI" w:hAnsi="Leelawadee UI" w:eastAsia="Leelawadee UI" w:cs="Leelawadee UI"/>
        </w:rPr>
        <w:t>និង</w:t>
      </w:r>
      <w:r>
        <w:rPr>
          <w:rFonts w:ascii="Times New Roman" w:hAnsi="Times New Roman" w:eastAsia="Times New Roman" w:cs="Times New Roman"/>
        </w:rPr>
        <w:t xml:space="preserve"> 2023 </w:t>
      </w:r>
      <w:r>
        <w:rPr>
          <w:rFonts w:ascii="Leelawadee UI" w:hAnsi="Leelawadee UI" w:eastAsia="Leelawadee UI" w:cs="Leelawadee UI"/>
        </w:rPr>
        <w:t>កំណត់អត្តសញ្ញាណទាំងកិច្ចការផ្ទៃក្នុងនៃការសម្អាតព្រហ្មចារីដប់នាក់</w:t>
      </w:r>
      <w:r>
        <w:rPr>
          <w:rFonts w:ascii="Times New Roman" w:hAnsi="Times New Roman" w:eastAsia="Times New Roman" w:cs="Times New Roman"/>
        </w:rPr>
        <w:t xml:space="preserve"> </w:t>
      </w:r>
      <w:r>
        <w:rPr>
          <w:rFonts w:ascii="Leelawadee UI" w:hAnsi="Leelawadee UI" w:eastAsia="Leelawadee UI" w:cs="Leelawadee UI"/>
        </w:rPr>
        <w:t>និងបន្ទាត់ខាងក្រៅនៃនគរទីប្រាំមួយនៃព្យាករណ៍ព្រះគម្ពីរ។</w:t>
      </w:r>
    </w:p>
    <w:p>
      <w:pPr>
        <w:pStyle w:val="ArticleBody"/>
        <w:jc w:val="left"/>
      </w:pP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प्टोलमी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यूरोप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EU </w:t>
      </w:r>
      <w:r>
        <w:rPr>
          <w:rFonts w:ascii="Nirmala UI" w:hAnsi="Nirmala UI" w:eastAsia="Nirmala UI" w:cs="Nirmala UI"/>
        </w:rPr>
        <w:t>और</w:t>
      </w:r>
      <w:r>
        <w:rPr>
          <w:rFonts w:ascii="Times New Roman" w:hAnsi="Times New Roman" w:eastAsia="Times New Roman" w:cs="Times New Roman"/>
        </w:rPr>
        <w:t xml:space="preserve"> NATO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वैश्विकतावादियों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मैग्नुस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यूक्रेनवासी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विशेषताओं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औचित्य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Wɔ Ukraine ko abakɔsɛm no mu, a wɔde Raphia ko no ayɛ ne mfatoho no, United States de Ukrainefo Nazi no dii dwuma sɛ wɔn ananmusifo tumi wɔ abakɔsɛm korɔ no ara mu a wɔreyɛ papacy no honi, tumi a bere nyinaa na ɔno nkutoo de ananmusifo atumfoɔ di dwuma de yɛ n’adwuma fi no.</w:t>
      </w:r>
    </w:p>
    <w:p>
      <w:pPr>
        <w:pStyle w:val="ArticleBody"/>
        <w:jc w:val="left"/>
      </w:pPr>
      <w:r>
        <w:rPr>
          <w:rFonts w:ascii="Times New Roman" w:hAnsi="Times New Roman" w:eastAsia="Times New Roman" w:cs="Times New Roman"/>
        </w:rPr>
        <w:t>Re guandávo dai la cuestión de los poderes vicarios en los versículos diez al quince, se requiere un estudio profético de las características de Antíoco como símbolo. Las Guerras de los Diádocos fueron una serie de conflictos desde 323–281 a. C. entre los Diádocos (griego por “sucesores”), los generales y sucesores de Alejandro Magno, quienes lucharon por el control de su vasto imperio tras su muerte en 323 a. C. El primer Antíoco fue Antíoco I Sóter, hijo de Seleuco I Nicátor, uno de los Diádocos (sucesores) de Alejandro, quien fundó el Imperio seléucida.</w:t>
      </w:r>
    </w:p>
    <w:p>
      <w:pPr>
        <w:pStyle w:val="ArticleBody"/>
        <w:jc w:val="left"/>
      </w:pP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ବୁଝାଯାଇପାରେ</w:t>
      </w:r>
      <w:r>
        <w:rPr>
          <w:rFonts w:ascii="Times New Roman" w:hAnsi="Times New Roman" w:eastAsia="Times New Roman" w:cs="Times New Roman"/>
        </w:rPr>
        <w:t>—</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ସମର୍ଥନ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ଅନ୍ୟଜଣଙ୍କ</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 xml:space="preserve"> </w:t>
      </w:r>
      <w:r>
        <w:rPr>
          <w:rFonts w:ascii="Nirmala UI" w:hAnsi="Nirmala UI" w:eastAsia="Nirmala UI" w:cs="Nirmala UI"/>
        </w:rPr>
        <w:t>ରୋମର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ପାପାଲ୍</w:t>
      </w:r>
      <w:r>
        <w:rPr>
          <w:rFonts w:ascii="Times New Roman" w:hAnsi="Times New Roman" w:eastAsia="Times New Roman" w:cs="Times New Roman"/>
        </w:rPr>
        <w:t xml:space="preserve"> </w:t>
      </w:r>
      <w:r>
        <w:rPr>
          <w:rFonts w:ascii="Nirmala UI" w:hAnsi="Nirmala UI" w:eastAsia="Nirmala UI" w:cs="Nirmala UI"/>
        </w:rPr>
        <w:t>ରୋମ</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ଖ୍ରୀଷ୍ଟବିରୋଧୀ</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ପ୍ରତୀକାତ୍ମକତା</w:t>
      </w:r>
      <w:r>
        <w:rPr>
          <w:rFonts w:ascii="Times New Roman" w:hAnsi="Times New Roman" w:eastAsia="Times New Roman" w:cs="Times New Roman"/>
        </w:rPr>
        <w:t xml:space="preserve"> </w:t>
      </w:r>
      <w:r>
        <w:rPr>
          <w:rFonts w:ascii="Nirmala UI" w:hAnsi="Nirmala UI" w:eastAsia="Nirmala UI" w:cs="Nirmala UI"/>
        </w:rPr>
        <w:t>ଧାରଣ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 xml:space="preserve">” </w:t>
      </w:r>
      <w:r>
        <w:rPr>
          <w:rFonts w:ascii="Nirmala UI" w:hAnsi="Nirmala UI" w:eastAsia="Nirmala UI" w:cs="Nirmala UI"/>
        </w:rPr>
        <w:t>ନାମଟି</w:t>
      </w:r>
      <w:r>
        <w:rPr>
          <w:rFonts w:ascii="Times New Roman" w:hAnsi="Times New Roman" w:eastAsia="Times New Roman" w:cs="Times New Roman"/>
        </w:rPr>
        <w:t xml:space="preserve"> </w:t>
      </w:r>
      <w:r>
        <w:rPr>
          <w:rFonts w:ascii="Nirmala UI" w:hAnsi="Nirmala UI" w:eastAsia="Nirmala UI" w:cs="Nirmala UI"/>
        </w:rPr>
        <w:t>ସେଲ୍ୟୁସିଡ୍</w:t>
      </w:r>
      <w:r>
        <w:rPr>
          <w:rFonts w:ascii="Times New Roman" w:hAnsi="Times New Roman" w:eastAsia="Times New Roman" w:cs="Times New Roman"/>
        </w:rPr>
        <w:t xml:space="preserve"> </w:t>
      </w:r>
      <w:r>
        <w:rPr>
          <w:rFonts w:ascii="Nirmala UI" w:hAnsi="Nirmala UI" w:eastAsia="Nirmala UI" w:cs="Nirmala UI"/>
        </w:rPr>
        <w:t>ସାମ୍ରାଜ୍ୟର</w:t>
      </w:r>
      <w:r>
        <w:rPr>
          <w:rFonts w:ascii="Times New Roman" w:hAnsi="Times New Roman" w:eastAsia="Times New Roman" w:cs="Times New Roman"/>
        </w:rPr>
        <w:t xml:space="preserve"> </w:t>
      </w:r>
      <w:r>
        <w:rPr>
          <w:rFonts w:ascii="Nirmala UI" w:hAnsi="Nirmala UI" w:eastAsia="Nirmala UI" w:cs="Nirmala UI"/>
        </w:rPr>
        <w:t>ସ୍ଥାପକଙ୍କ</w:t>
      </w:r>
      <w:r>
        <w:rPr>
          <w:rFonts w:ascii="Times New Roman" w:hAnsi="Times New Roman" w:eastAsia="Times New Roman" w:cs="Times New Roman"/>
        </w:rPr>
        <w:t xml:space="preserve"> </w:t>
      </w:r>
      <w:r>
        <w:rPr>
          <w:rFonts w:ascii="Nirmala UI" w:hAnsi="Nirmala UI" w:eastAsia="Nirmala UI" w:cs="Nirmala UI"/>
        </w:rPr>
        <w:t>ପୁତ୍ରଙ୍କୁ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ଅର୍ଥରେ</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ପିତାଙ୍କ</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ପ୍ରତିନିଧି</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ସିଷ୍ଟର</w:t>
      </w:r>
      <w:r>
        <w:rPr>
          <w:rFonts w:ascii="Times New Roman" w:hAnsi="Times New Roman" w:eastAsia="Times New Roman" w:cs="Times New Roman"/>
        </w:rPr>
        <w:t xml:space="preserve"> </w:t>
      </w:r>
      <w:r>
        <w:rPr>
          <w:rFonts w:ascii="Nirmala UI" w:hAnsi="Nirmala UI" w:eastAsia="Nirmala UI" w:cs="Nirmala UI"/>
        </w:rPr>
        <w:t>ହ୍ୱାଇଟ୍</w:t>
      </w:r>
      <w:r>
        <w:rPr>
          <w:rFonts w:ascii="Times New Roman" w:hAnsi="Times New Roman" w:eastAsia="Times New Roman" w:cs="Times New Roman"/>
        </w:rPr>
        <w:t xml:space="preserve"> </w:t>
      </w:r>
      <w:r>
        <w:rPr>
          <w:rFonts w:ascii="Nirmala UI" w:hAnsi="Nirmala UI" w:eastAsia="Nirmala UI" w:cs="Nirmala UI"/>
        </w:rPr>
        <w:t>ଶୟତାନ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ପୋପ</w:t>
      </w:r>
      <w:r>
        <w:rPr>
          <w:rFonts w:ascii="Times New Roman" w:hAnsi="Times New Roman" w:eastAsia="Times New Roman" w:cs="Times New Roman"/>
        </w:rPr>
        <w:t>—</w:t>
      </w:r>
      <w:r>
        <w:rPr>
          <w:rFonts w:ascii="Nirmala UI" w:hAnsi="Nirmala UI" w:eastAsia="Nirmala UI" w:cs="Nirmala UI"/>
        </w:rPr>
        <w:t>ଉଭୟଙ୍କୁ</w:t>
      </w:r>
      <w:r>
        <w:rPr>
          <w:rFonts w:ascii="Times New Roman" w:hAnsi="Times New Roman" w:eastAsia="Times New Roman" w:cs="Times New Roman"/>
        </w:rPr>
        <w:t>—</w:t>
      </w:r>
      <w:r>
        <w:rPr>
          <w:rFonts w:ascii="Nirmala UI" w:hAnsi="Nirmala UI" w:eastAsia="Nirmala UI" w:cs="Nirmala UI"/>
        </w:rPr>
        <w:t>ଖ୍ରୀଷ୍ଟବିରୋଧୀ</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ପୋପ</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ଶୟତାନଙ୍କ</w:t>
      </w:r>
      <w:r>
        <w:rPr>
          <w:rFonts w:ascii="Times New Roman" w:hAnsi="Times New Roman" w:eastAsia="Times New Roman" w:cs="Times New Roman"/>
        </w:rPr>
        <w:t xml:space="preserve"> </w:t>
      </w:r>
      <w:r>
        <w:rPr>
          <w:rFonts w:ascii="Nirmala UI" w:hAnsi="Nirmala UI" w:eastAsia="Nirmala UI" w:cs="Nirmala UI"/>
        </w:rPr>
        <w:t>ପ୍ରତିନିଧି।</w:t>
      </w:r>
      <w:r>
        <w:rPr>
          <w:rFonts w:ascii="Times New Roman" w:hAnsi="Times New Roman" w:eastAsia="Times New Roman" w:cs="Times New Roman"/>
        </w:rPr>
        <w:t xml:space="preserve"> </w:t>
      </w:r>
      <w:r>
        <w:rPr>
          <w:rFonts w:ascii="Nirmala UI" w:hAnsi="Nirmala UI" w:eastAsia="Nirmala UI" w:cs="Nirmala UI"/>
        </w:rPr>
        <w:t>ସେଲ୍ୟୁସିଡ୍</w:t>
      </w:r>
      <w:r>
        <w:rPr>
          <w:rFonts w:ascii="Times New Roman" w:hAnsi="Times New Roman" w:eastAsia="Times New Roman" w:cs="Times New Roman"/>
        </w:rPr>
        <w:t xml:space="preserve"> </w:t>
      </w:r>
      <w:r>
        <w:rPr>
          <w:rFonts w:ascii="Nirmala UI" w:hAnsi="Nirmala UI" w:eastAsia="Nirmala UI" w:cs="Nirmala UI"/>
        </w:rPr>
        <w:t>ସାମ୍ରାଜ୍ୟରେ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ପ୍ରମୁଖ</w:t>
      </w:r>
      <w:r>
        <w:rPr>
          <w:rFonts w:ascii="Times New Roman" w:hAnsi="Times New Roman" w:eastAsia="Times New Roman" w:cs="Times New Roman"/>
        </w:rPr>
        <w:t xml:space="preserve"> </w:t>
      </w:r>
      <w:r>
        <w:rPr>
          <w:rFonts w:ascii="Nirmala UI" w:hAnsi="Nirmala UI" w:eastAsia="Nirmala UI" w:cs="Nirmala UI"/>
        </w:rPr>
        <w:t>ବଂଶାନୁକ୍ରମିକ</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ହୋଇଉଠିଲା</w:t>
      </w:r>
      <w:r>
        <w:rPr>
          <w:rFonts w:ascii="Times New Roman" w:hAnsi="Times New Roman" w:eastAsia="Times New Roman" w:cs="Times New Roman"/>
        </w:rPr>
        <w:t xml:space="preserve">, </w:t>
      </w:r>
      <w:r>
        <w:rPr>
          <w:rFonts w:ascii="Nirmala UI" w:hAnsi="Nirmala UI" w:eastAsia="Nirmala UI" w:cs="Nirmala UI"/>
        </w:rPr>
        <w:t>ଅଂଶତଃ</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 xml:space="preserve"> I </w:t>
      </w:r>
      <w:r>
        <w:rPr>
          <w:rFonts w:ascii="Nirmala UI" w:hAnsi="Nirmala UI" w:eastAsia="Nirmala UI" w:cs="Nirmala UI"/>
        </w:rPr>
        <w:t>ସୋଟର୍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ଆଣ୍ଟିଓକ୍</w:t>
      </w:r>
      <w:r>
        <w:rPr>
          <w:rFonts w:ascii="Times New Roman" w:hAnsi="Times New Roman" w:eastAsia="Times New Roman" w:cs="Times New Roman"/>
        </w:rPr>
        <w:t xml:space="preserve"> </w:t>
      </w:r>
      <w:r>
        <w:rPr>
          <w:rFonts w:ascii="Nirmala UI" w:hAnsi="Nirmala UI" w:eastAsia="Nirmala UI" w:cs="Nirmala UI"/>
        </w:rPr>
        <w:t>ନଗର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ସମ୍ପର୍କର</w:t>
      </w:r>
      <w:r>
        <w:rPr>
          <w:rFonts w:ascii="Times New Roman" w:hAnsi="Times New Roman" w:eastAsia="Times New Roman" w:cs="Times New Roman"/>
        </w:rPr>
        <w:t xml:space="preserve"> </w:t>
      </w:r>
      <w:r>
        <w:rPr>
          <w:rFonts w:ascii="Nirmala UI" w:hAnsi="Nirmala UI" w:eastAsia="Nirmala UI" w:cs="Nirmala UI"/>
        </w:rPr>
        <w:t>କାରଣରୁ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ନଗରର</w:t>
      </w:r>
      <w:r>
        <w:rPr>
          <w:rFonts w:ascii="Times New Roman" w:hAnsi="Times New Roman" w:eastAsia="Times New Roman" w:cs="Times New Roman"/>
        </w:rPr>
        <w:t xml:space="preserve"> </w:t>
      </w:r>
      <w:r>
        <w:rPr>
          <w:rFonts w:ascii="Nirmala UI" w:hAnsi="Nirmala UI" w:eastAsia="Nirmala UI" w:cs="Nirmala UI"/>
        </w:rPr>
        <w:t>ନାମକରଣ</w:t>
      </w:r>
      <w:r>
        <w:rPr>
          <w:rFonts w:ascii="Times New Roman" w:hAnsi="Times New Roman" w:eastAsia="Times New Roman" w:cs="Times New Roman"/>
        </w:rPr>
        <w:t xml:space="preserve"> </w:t>
      </w:r>
      <w:r>
        <w:rPr>
          <w:rFonts w:ascii="Nirmala UI" w:hAnsi="Nirmala UI" w:eastAsia="Nirmala UI" w:cs="Nirmala UI"/>
        </w:rPr>
        <w:t>ସେଲ୍ୟୁକସ୍</w:t>
      </w:r>
      <w:r>
        <w:rPr>
          <w:rFonts w:ascii="Times New Roman" w:hAnsi="Times New Roman" w:eastAsia="Times New Roman" w:cs="Times New Roman"/>
        </w:rPr>
        <w:t xml:space="preserve"> I</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ପୁତ୍ରଙ୍କ</w:t>
      </w:r>
      <w:r>
        <w:rPr>
          <w:rFonts w:ascii="Times New Roman" w:hAnsi="Times New Roman" w:eastAsia="Times New Roman" w:cs="Times New Roman"/>
        </w:rPr>
        <w:t xml:space="preserve"> </w:t>
      </w:r>
      <w:r>
        <w:rPr>
          <w:rFonts w:ascii="Nirmala UI" w:hAnsi="Nirmala UI" w:eastAsia="Nirmala UI" w:cs="Nirmala UI"/>
        </w:rPr>
        <w:t>ନାମାନୁସାରେ</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ପୋପ</w:t>
      </w:r>
      <w:r>
        <w:rPr>
          <w:rFonts w:ascii="Times New Roman" w:hAnsi="Times New Roman" w:eastAsia="Times New Roman" w:cs="Times New Roman"/>
        </w:rPr>
        <w:t xml:space="preserve"> </w:t>
      </w:r>
      <w:r>
        <w:rPr>
          <w:rFonts w:ascii="Nirmala UI" w:hAnsi="Nirmala UI" w:eastAsia="Nirmala UI" w:cs="Nirmala UI"/>
        </w:rPr>
        <w:t>ହେଉଛନ୍ତି</w:t>
      </w:r>
      <w:r>
        <w:rPr>
          <w:rFonts w:ascii="Times New Roman" w:hAnsi="Times New Roman" w:eastAsia="Times New Roman" w:cs="Times New Roman"/>
        </w:rPr>
        <w:t xml:space="preserve"> </w:t>
      </w:r>
      <w:r>
        <w:rPr>
          <w:rFonts w:ascii="Nirmala UI" w:hAnsi="Nirmala UI" w:eastAsia="Nirmala UI" w:cs="Nirmala UI"/>
        </w:rPr>
        <w:t>ଶୟତାନଙ୍କ</w:t>
      </w:r>
      <w:r>
        <w:rPr>
          <w:rFonts w:ascii="Times New Roman" w:hAnsi="Times New Roman" w:eastAsia="Times New Roman" w:cs="Times New Roman"/>
        </w:rPr>
        <w:t xml:space="preserve"> </w:t>
      </w:r>
      <w:r>
        <w:rPr>
          <w:rFonts w:ascii="Nirmala UI" w:hAnsi="Nirmala UI" w:eastAsia="Nirmala UI" w:cs="Nirmala UI"/>
        </w:rPr>
        <w:t>ପ୍ରତିନିଧି</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ପ୍ରତୀକାତ୍ମକ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 xml:space="preserve">” </w:t>
      </w:r>
      <w:r>
        <w:rPr>
          <w:rFonts w:ascii="Nirmala UI" w:hAnsi="Nirmala UI" w:eastAsia="Nirmala UI" w:cs="Nirmala UI"/>
        </w:rPr>
        <w:t>ନାମଟି</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ପିତାଙ୍କର</w:t>
      </w:r>
      <w:r>
        <w:rPr>
          <w:rFonts w:ascii="Times New Roman" w:hAnsi="Times New Roman" w:eastAsia="Times New Roman" w:cs="Times New Roman"/>
        </w:rPr>
        <w:t>—</w:t>
      </w:r>
      <w:r>
        <w:rPr>
          <w:rFonts w:ascii="Nirmala UI" w:hAnsi="Nirmala UI" w:eastAsia="Nirmala UI" w:cs="Nirmala UI"/>
        </w:rPr>
        <w:t>ଉତ୍ତରର</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ସ୍ଥାପକ</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ବାବିଲୋନରେ</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ରାଜଧାନୀ</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ପ୍ରତିନିଧିକୁ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p>
    <w:p>
      <w:pPr>
        <w:pStyle w:val="ArticleBody"/>
        <w:jc w:val="left"/>
      </w:pPr>
      <w:r>
        <w:rPr>
          <w:rFonts w:ascii="Nirmala UI" w:hAnsi="Nirmala UI" w:eastAsia="Nirmala UI" w:cs="Nirmala UI"/>
        </w:rPr>
        <w:t>अलेक्ज़ान्दर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323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दियादोखी</w:t>
      </w:r>
      <w:r>
        <w:rPr>
          <w:rFonts w:ascii="Times New Roman" w:hAnsi="Times New Roman" w:eastAsia="Times New Roman" w:cs="Times New Roman"/>
        </w:rPr>
        <w:t xml:space="preserve"> (</w:t>
      </w:r>
      <w:r>
        <w:rPr>
          <w:rFonts w:ascii="Nirmala UI" w:hAnsi="Nirmala UI" w:eastAsia="Nirmala UI" w:cs="Nirmala UI"/>
        </w:rPr>
        <w:t>उत्तराधिकारियों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(323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सेल्युकस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अलेक्ज़ान्दर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अभिभावक</w:t>
      </w:r>
      <w:r>
        <w:rPr>
          <w:rFonts w:ascii="Times New Roman" w:hAnsi="Times New Roman" w:eastAsia="Times New Roman" w:cs="Times New Roman"/>
        </w:rPr>
        <w:t xml:space="preserve"> </w:t>
      </w:r>
      <w:r>
        <w:rPr>
          <w:rFonts w:ascii="Nirmala UI" w:hAnsi="Nirmala UI" w:eastAsia="Nirmala UI" w:cs="Nirmala UI"/>
        </w:rPr>
        <w:t>पर्डिक्कास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कम्पैनियन</w:t>
      </w:r>
      <w:r>
        <w:rPr>
          <w:rFonts w:ascii="Times New Roman" w:hAnsi="Times New Roman" w:eastAsia="Times New Roman" w:cs="Times New Roman"/>
        </w:rPr>
        <w:t xml:space="preserve"> </w:t>
      </w:r>
      <w:r>
        <w:rPr>
          <w:rFonts w:ascii="Nirmala UI" w:hAnsi="Nirmala UI" w:eastAsia="Nirmala UI" w:cs="Nirmala UI"/>
        </w:rPr>
        <w:t>अश्वारोही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सेनापति</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प्रतिष्ठित</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321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पर्डिक्कास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दियादोखी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त्रिपारादीसुस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सेल्युकस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सात्रप</w:t>
      </w:r>
      <w:r>
        <w:rPr>
          <w:rFonts w:ascii="Times New Roman" w:hAnsi="Times New Roman" w:eastAsia="Times New Roman" w:cs="Times New Roman"/>
        </w:rPr>
        <w:t xml:space="preserve"> (</w:t>
      </w:r>
      <w:r>
        <w:rPr>
          <w:rFonts w:ascii="Nirmala UI" w:hAnsi="Nirmala UI" w:eastAsia="Nirmala UI" w:cs="Nirmala UI"/>
        </w:rPr>
        <w:t>राज्यपाल</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316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दियादोख</w:t>
      </w:r>
      <w:r>
        <w:rPr>
          <w:rFonts w:ascii="Times New Roman" w:hAnsi="Times New Roman" w:eastAsia="Times New Roman" w:cs="Times New Roman"/>
        </w:rPr>
        <w:t xml:space="preserve"> </w:t>
      </w:r>
      <w:r>
        <w:rPr>
          <w:rFonts w:ascii="Nirmala UI" w:hAnsi="Nirmala UI" w:eastAsia="Nirmala UI" w:cs="Nirmala UI"/>
        </w:rPr>
        <w:t>अन्तिगोनुस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मोनोफ्थाल्मुस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सेल्युकस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पलायन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सेल्युकस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शरण</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312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सेल्युकस</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अन्तिगोनुस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w:t>
      </w:r>
      <w:r>
        <w:rPr>
          <w:rFonts w:ascii="Nirmala UI" w:hAnsi="Nirmala UI" w:eastAsia="Nirmala UI" w:cs="Nirmala UI"/>
        </w:rPr>
        <w:t>केन्द्र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सेल्यूसिड</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312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सेल्यूसिड</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 nom Seluecus est d’origine grecque et dérive de la racine selas (σέλας), qui signifie « lumière », « éclat » ou « flamme ». Ce nom évoque la brillance ou l’illumination, ce qui convient à une figure éminente comme Séleucos Ier Nicator, fondateur de l’Empire séleucide et type du père qui avait été le porteur de lumière dans le ciel.</w:t>
      </w:r>
    </w:p>
    <w:p>
      <w:pPr>
        <w:pStyle w:val="ArticleScripture"/>
        <w:jc w:val="left"/>
      </w:pPr>
      <w:r>
        <w:rPr>
          <w:rFonts w:ascii="Times New Roman" w:hAnsi="Times New Roman" w:eastAsia="Times New Roman" w:cs="Times New Roman"/>
        </w:rPr>
        <w:t>«Чтобы обеспечить себе земные выгоды и почести, церковь была побуждена искать благоволения и поддержки у великих мира сего; и, отвергнув таким образом Христа, она была склонена подчиниться представителю сатаны — епископу Рима». Великая борьба, 50.</w:t>
      </w:r>
    </w:p>
    <w:p>
      <w:pPr>
        <w:pStyle w:val="ArticleBody"/>
        <w:jc w:val="left"/>
      </w:pP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मैग्नस</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2014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ज़ेलेन्स्की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बगावत</w:t>
      </w:r>
      <w:r>
        <w:rPr>
          <w:rFonts w:ascii="Times New Roman" w:hAnsi="Times New Roman" w:eastAsia="Times New Roman" w:cs="Times New Roman"/>
        </w:rPr>
        <w:t xml:space="preserve"> </w:t>
      </w:r>
      <w:r>
        <w:rPr>
          <w:rFonts w:ascii="Nirmala UI" w:hAnsi="Nirmala UI" w:eastAsia="Nirmala UI" w:cs="Nirmala UI"/>
        </w:rPr>
        <w:t>है।</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Πάνιον - Αριθμός Ένδεκα Ένδεκα</dc:title>
  <dc:subject>Onze, Onze : le témoignage prophétique de Daniel et de l’Apocalypse</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