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پانیوم — نمبر بارہ</w:t>
      </w:r>
    </w:p>
    <w:p>
      <w:pPr>
        <w:pStyle w:val="ArticleSubtitle"/>
        <w:jc w:val="left"/>
      </w:pPr>
      <w:r>
        <w:rPr>
          <w:rFonts w:ascii="Arial" w:hAnsi="Arial" w:eastAsia="Arial" w:cs="Arial"/>
        </w:rPr>
        <w:t>Daniyẹli 11:40 ati Awọn Ṣiṣí Mẹ́ta ti Àsọtẹ́lẹ̀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Le verset quarante de Daniel onze est l’un des versets les plus profonds de la Bible. Il représente le descellement du livre de Daniel en 1798, 1989 et 2023. Les trois moments où le livre fut descellé marquent la conclusion d’une dispersion de « sept temps ». L’année 1798 marqua la conclusion des deux mille cinq cent vingt années de dispersion qui commencèrent en 723 av. J.-C., lorsque l’Assyrie emmena en captivité les dix tribus du nord. L’année 1989 marqua la conclusion de 126 années depuis la rébellion de 1863, lorsque l’Église adventiste du septième jour mit officiellement de côté les « sept temps » de Lévitique vingt-six. L’année 2023 marqua la conclusion des trois jours et demi pendant lesquels les deux témoins d’Apocalypse onze furent morts dans la rue. À la conclusion des 2 520 années (des 126 années et des 3½ jours — tous symboles des « sept temps »), le livre de Daniel fut descellé.</w:t>
      </w:r>
    </w:p>
    <w:p>
      <w:pPr>
        <w:pStyle w:val="ArticleBody"/>
        <w:jc w:val="left"/>
      </w:pPr>
      <w:r>
        <w:rPr>
          <w:rFonts w:ascii="Times New Roman" w:hAnsi="Times New Roman" w:eastAsia="Times New Roman" w:cs="Times New Roman"/>
        </w:rPr>
        <w:t>Siostra White oznajmia nam, że w roku 1798 konieczne było, aby ludziom przedstawiono wydarzenia związane z zakończeniem czasu próby. Gdy odnotowuje ten fakt, wskazuje na równoległe historie, ponieważ również przedstawia poselstwo dni ostatecznych jako wydarzenia związane z zakończeniem czasu próby. Mówiąc o historii milleryckiej, pisze:</w:t>
      </w:r>
    </w:p>
    <w:p>
      <w:pPr>
        <w:pStyle w:val="ArticleScripture"/>
        <w:jc w:val="left"/>
      </w:pPr>
      <w:r>
        <w:rPr>
          <w:rFonts w:ascii="Times New Roman" w:hAnsi="Times New Roman" w:eastAsia="Times New Roman" w:cs="Times New Roman"/>
        </w:rPr>
        <w:t>« Il était nécessaire que les hommes fussent éveillés au sentiment du danger qui les menaçait ; qu’ils fussent incités à se préparer aux événements solennels liés à la clôture du temps de grâce. » The Great Controversy, 310.</w:t>
      </w:r>
    </w:p>
    <w:p>
      <w:pPr>
        <w:pStyle w:val="ArticleBody"/>
        <w:jc w:val="left"/>
      </w:pPr>
      <w:r>
        <w:rPr>
          <w:rFonts w:ascii="Times New Roman" w:hAnsi="Times New Roman" w:eastAsia="Times New Roman" w:cs="Times New Roman"/>
        </w:rPr>
        <w:t>Akizungumzia siku za mwisho, anaandika:</w:t>
      </w:r>
    </w:p>
    <w:p>
      <w:pPr>
        <w:pStyle w:val="ArticleScripture"/>
        <w:jc w:val="left"/>
      </w:pPr>
      <w:r>
        <w:rPr>
          <w:rFonts w:ascii="Times New Roman" w:hAnsi="Times New Roman" w:eastAsia="Times New Roman" w:cs="Times New Roman"/>
        </w:rPr>
        <w:t>“Непосредно пред Своето распнување Спасителот им објасни на Своите ученици дека Тој треба да биде предаден на смрт и повторно да воскресне од гробот, а ангели беа присутни за да ги втиснат Неговите зборови во умот и во срцето. Но учениците очекуваа временско избавување од римскиот јарем и не можеа да ја поднесат помислата дека Оној во кого беа сосредоточени сите нивни надежи треба да претрпи срамна смрт. Зборовите што требаше да ги помнат беа оттурнати од нивниот ум; и кога дојде времето на искушението, ги затече неподготвени. Смртта на Исуса им ги разурна нивните надежи исто толку целосно како Тој воопшто да не ги беше предупредил однапред. Така и во пророштвата иднината ни е отворена пред нас исто толку јасно како што им беше отворена на учениците преку Христовите зборови. Настаните поврзани со затворањето на времето на милоста и делото на подготовка за времето на неволја се јасно изложени. Но мнозина немаат ништо повеќе разбирање за овие важни вистини отколку да не им биле никогаш откриени. Сатаната внимава да ја одземе секоја импресија што би ги направила мудри за спасение, и времето на неволја ќе ги затече неподготвени.” Големата борба, 595.</w:t>
      </w:r>
    </w:p>
    <w:p>
      <w:pPr>
        <w:pStyle w:val="ArticleBody"/>
        <w:jc w:val="left"/>
      </w:pPr>
      <w:r>
        <w:rPr>
          <w:rFonts w:ascii="Times New Roman" w:hAnsi="Times New Roman" w:eastAsia="Times New Roman" w:cs="Times New Roman"/>
        </w:rPr>
        <w:t>Lubaka lwa baMillerite lwafunguludiwe mu 1798, era lwalangirira “ebintu ebikwatagana n’okuggwaawo kw’ekiseera eky’okusaasirwa.” Bwe aba ayogera ku nnaku ez’enkomerero, akozesa ebyafaayo by’abayigirizwa okulaga amazima nti “ebintu ebikwatagana n’okuggwaawo kw’ekiseera eky’okusaasirwa” bye bifuula abantu abagezi okutuuka eri obulokozi, naye tebitegeerwa. Obubaka obwafunguludiwa mu 1798, 1989 ne 2023 bwali bubaka obwategeereza “ebintu ebikwatagana n’okuggwaawo kw’ekiseera eky’okusaasirwa.”</w:t>
      </w:r>
    </w:p>
    <w:p>
      <w:pPr>
        <w:pStyle w:val="ArticleBody"/>
        <w:jc w:val="left"/>
      </w:pPr>
      <w:r>
        <w:rPr>
          <w:rFonts w:ascii="Nirmala UI" w:hAnsi="Nirmala UI" w:eastAsia="Nirmala UI" w:cs="Nirmala UI"/>
        </w:rPr>
        <w:t>આયત</w:t>
      </w:r>
      <w:r>
        <w:rPr>
          <w:rFonts w:ascii="Times New Roman" w:hAnsi="Times New Roman" w:eastAsia="Times New Roman" w:cs="Times New Roman"/>
        </w:rPr>
        <w:t xml:space="preserve"> </w:t>
      </w:r>
      <w:r>
        <w:rPr>
          <w:rFonts w:ascii="Nirmala UI" w:hAnsi="Nirmala UI" w:eastAsia="Nirmala UI" w:cs="Nirmala UI"/>
        </w:rPr>
        <w:t>ચાલીસ</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ઐતિહાસિક</w:t>
      </w:r>
      <w:r>
        <w:rPr>
          <w:rFonts w:ascii="Times New Roman" w:hAnsi="Times New Roman" w:eastAsia="Times New Roman" w:cs="Times New Roman"/>
        </w:rPr>
        <w:t xml:space="preserve"> </w:t>
      </w:r>
      <w:r>
        <w:rPr>
          <w:rFonts w:ascii="Nirmala UI" w:hAnsi="Nirmala UI" w:eastAsia="Nirmala UI" w:cs="Nirmala UI"/>
        </w:rPr>
        <w:t>રેખાનું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દાનિયેલનું</w:t>
      </w:r>
      <w:r>
        <w:rPr>
          <w:rFonts w:ascii="Times New Roman" w:hAnsi="Times New Roman" w:eastAsia="Times New Roman" w:cs="Times New Roman"/>
        </w:rPr>
        <w:t xml:space="preserve"> </w:t>
      </w:r>
      <w:r>
        <w:rPr>
          <w:rFonts w:ascii="Nirmala UI" w:hAnsi="Nirmala UI" w:eastAsia="Nirmala UI" w:cs="Nirmala UI"/>
        </w:rPr>
        <w:t>પુસ્તક</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વાર</w:t>
      </w:r>
      <w:r>
        <w:rPr>
          <w:rFonts w:ascii="Times New Roman" w:hAnsi="Times New Roman" w:eastAsia="Times New Roman" w:cs="Times New Roman"/>
        </w:rPr>
        <w:t xml:space="preserve"> </w:t>
      </w:r>
      <w:r>
        <w:rPr>
          <w:rFonts w:ascii="Nirmala UI" w:hAnsi="Nirmala UI" w:eastAsia="Nirmala UI" w:cs="Nirmala UI"/>
        </w:rPr>
        <w:t>ઉન્મુદ્રિત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1798</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ઉલાઈ</w:t>
      </w:r>
      <w:r>
        <w:rPr>
          <w:rFonts w:ascii="Times New Roman" w:hAnsi="Times New Roman" w:eastAsia="Times New Roman" w:cs="Times New Roman"/>
        </w:rPr>
        <w:t xml:space="preserve"> </w:t>
      </w:r>
      <w:r>
        <w:rPr>
          <w:rFonts w:ascii="Nirmala UI" w:hAnsi="Nirmala UI" w:eastAsia="Nirmala UI" w:cs="Nirmala UI"/>
        </w:rPr>
        <w:t>નદીનું</w:t>
      </w:r>
      <w:r>
        <w:rPr>
          <w:rFonts w:ascii="Times New Roman" w:hAnsi="Times New Roman" w:eastAsia="Times New Roman" w:cs="Times New Roman"/>
        </w:rPr>
        <w:t xml:space="preserve"> </w:t>
      </w:r>
      <w:r>
        <w:rPr>
          <w:rFonts w:ascii="Nirmala UI" w:hAnsi="Nirmala UI" w:eastAsia="Nirmala UI" w:cs="Nirmala UI"/>
        </w:rPr>
        <w:t>દાનિયેલનું</w:t>
      </w:r>
      <w:r>
        <w:rPr>
          <w:rFonts w:ascii="Times New Roman" w:hAnsi="Times New Roman" w:eastAsia="Times New Roman" w:cs="Times New Roman"/>
        </w:rPr>
        <w:t xml:space="preserve"> </w:t>
      </w:r>
      <w:r>
        <w:rPr>
          <w:rFonts w:ascii="Nirmala UI" w:hAnsi="Nirmala UI" w:eastAsia="Nirmala UI" w:cs="Nirmala UI"/>
        </w:rPr>
        <w:t>દર્શન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સાતથી</w:t>
      </w:r>
      <w:r>
        <w:rPr>
          <w:rFonts w:ascii="Times New Roman" w:hAnsi="Times New Roman" w:eastAsia="Times New Roman" w:cs="Times New Roman"/>
        </w:rPr>
        <w:t xml:space="preserve"> </w:t>
      </w:r>
      <w:r>
        <w:rPr>
          <w:rFonts w:ascii="Nirmala UI" w:hAnsi="Nirmala UI" w:eastAsia="Nirmala UI" w:cs="Nirmala UI"/>
        </w:rPr>
        <w:t>નવ</w:t>
      </w:r>
      <w:r>
        <w:rPr>
          <w:rFonts w:ascii="Times New Roman" w:hAnsi="Times New Roman" w:eastAsia="Times New Roman" w:cs="Times New Roman"/>
        </w:rPr>
        <w:t xml:space="preserve"> </w:t>
      </w:r>
      <w:r>
        <w:rPr>
          <w:rFonts w:ascii="Nirmala UI" w:hAnsi="Nirmala UI" w:eastAsia="Nirmala UI" w:cs="Nirmala UI"/>
        </w:rPr>
        <w:t>સુધીનું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ઉન્મુદ્રિત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1989</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હિદ્દેકેલ</w:t>
      </w:r>
      <w:r>
        <w:rPr>
          <w:rFonts w:ascii="Times New Roman" w:hAnsi="Times New Roman" w:eastAsia="Times New Roman" w:cs="Times New Roman"/>
        </w:rPr>
        <w:t xml:space="preserve"> </w:t>
      </w:r>
      <w:r>
        <w:rPr>
          <w:rFonts w:ascii="Nirmala UI" w:hAnsi="Nirmala UI" w:eastAsia="Nirmala UI" w:cs="Nirmala UI"/>
        </w:rPr>
        <w:t>નદીનું</w:t>
      </w:r>
      <w:r>
        <w:rPr>
          <w:rFonts w:ascii="Times New Roman" w:hAnsi="Times New Roman" w:eastAsia="Times New Roman" w:cs="Times New Roman"/>
        </w:rPr>
        <w:t xml:space="preserve"> </w:t>
      </w:r>
      <w:r>
        <w:rPr>
          <w:rFonts w:ascii="Nirmala UI" w:hAnsi="Nirmala UI" w:eastAsia="Nirmala UI" w:cs="Nirmala UI"/>
        </w:rPr>
        <w:t>દાનિયેલનું</w:t>
      </w:r>
      <w:r>
        <w:rPr>
          <w:rFonts w:ascii="Times New Roman" w:hAnsi="Times New Roman" w:eastAsia="Times New Roman" w:cs="Times New Roman"/>
        </w:rPr>
        <w:t xml:space="preserve"> </w:t>
      </w:r>
      <w:r>
        <w:rPr>
          <w:rFonts w:ascii="Nirmala UI" w:hAnsi="Nirmala UI" w:eastAsia="Nirmala UI" w:cs="Nirmala UI"/>
        </w:rPr>
        <w:t>દર્શન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દસથી</w:t>
      </w:r>
      <w:r>
        <w:rPr>
          <w:rFonts w:ascii="Times New Roman" w:hAnsi="Times New Roman" w:eastAsia="Times New Roman" w:cs="Times New Roman"/>
        </w:rPr>
        <w:t xml:space="preserve"> </w:t>
      </w:r>
      <w:r>
        <w:rPr>
          <w:rFonts w:ascii="Nirmala UI" w:hAnsi="Nirmala UI" w:eastAsia="Nirmala UI" w:cs="Nirmala UI"/>
        </w:rPr>
        <w:t>બાર</w:t>
      </w:r>
      <w:r>
        <w:rPr>
          <w:rFonts w:ascii="Times New Roman" w:hAnsi="Times New Roman" w:eastAsia="Times New Roman" w:cs="Times New Roman"/>
        </w:rPr>
        <w:t xml:space="preserve"> </w:t>
      </w:r>
      <w:r>
        <w:rPr>
          <w:rFonts w:ascii="Nirmala UI" w:hAnsi="Nirmala UI" w:eastAsia="Nirmala UI" w:cs="Nirmala UI"/>
        </w:rPr>
        <w:t>સુધીનું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ઉન્મુદ્રિત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2023</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દાનિયેલ</w:t>
      </w:r>
      <w:r>
        <w:rPr>
          <w:rFonts w:ascii="Times New Roman" w:hAnsi="Times New Roman" w:eastAsia="Times New Roman" w:cs="Times New Roman"/>
        </w:rPr>
        <w:t xml:space="preserve"> </w:t>
      </w:r>
      <w:r>
        <w:rPr>
          <w:rFonts w:ascii="Nirmala UI" w:hAnsi="Nirmala UI" w:eastAsia="Nirmala UI" w:cs="Nirmala UI"/>
        </w:rPr>
        <w:t>અગિયારની</w:t>
      </w:r>
      <w:r>
        <w:rPr>
          <w:rFonts w:ascii="Times New Roman" w:hAnsi="Times New Roman" w:eastAsia="Times New Roman" w:cs="Times New Roman"/>
        </w:rPr>
        <w:t xml:space="preserve"> </w:t>
      </w:r>
      <w:r>
        <w:rPr>
          <w:rFonts w:ascii="Nirmala UI" w:hAnsi="Nirmala UI" w:eastAsia="Nirmala UI" w:cs="Nirmala UI"/>
        </w:rPr>
        <w:t>આયત</w:t>
      </w:r>
      <w:r>
        <w:rPr>
          <w:rFonts w:ascii="Times New Roman" w:hAnsi="Times New Roman" w:eastAsia="Times New Roman" w:cs="Times New Roman"/>
        </w:rPr>
        <w:t xml:space="preserve"> </w:t>
      </w:r>
      <w:r>
        <w:rPr>
          <w:rFonts w:ascii="Nirmala UI" w:hAnsi="Nirmala UI" w:eastAsia="Nirmala UI" w:cs="Nirmala UI"/>
        </w:rPr>
        <w:t>ચાલીસનો</w:t>
      </w:r>
      <w:r>
        <w:rPr>
          <w:rFonts w:ascii="Times New Roman" w:hAnsi="Times New Roman" w:eastAsia="Times New Roman" w:cs="Times New Roman"/>
        </w:rPr>
        <w:t xml:space="preserve"> </w:t>
      </w:r>
      <w:r>
        <w:rPr>
          <w:rFonts w:ascii="Nirmala UI" w:hAnsi="Nirmala UI" w:eastAsia="Nirmala UI" w:cs="Nirmala UI"/>
        </w:rPr>
        <w:t>ગુપ્ત</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w:t>
      </w:r>
      <w:r>
        <w:rPr>
          <w:rFonts w:ascii="Nirmala UI" w:hAnsi="Nirmala UI" w:eastAsia="Nirmala UI" w:cs="Nirmala UI"/>
        </w:rPr>
        <w:t>ઉન્મુદ્રિત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Talafaasolopito o le fuaiupu e fasefulu o loo fai ma sui o le vaitaimi mai le 1798 seia oo i le tulafono o le Aso Sa o le fuaiupu e fasefulu ma le tasi, o le talafaasolopito lea o le Iunaite Setete, lea foi o le manu feʻai o le lalolagi o le Faaaliga e sefulutolu, o le perofeta pepelo o le Faaaliga e sefuluono, ma le malo lona ono o valoaga a le Tusi Paia. O lea lava talafaasolopito o loo fai ma sui i le fuaiupu e fasefulu o le Tanielu e sefulutasi, ua fai foi ma sui i le fuaiupu e tasi i le tusi o le Faaaliga.</w:t>
      </w:r>
    </w:p>
    <w:p>
      <w:pPr>
        <w:pStyle w:val="ArticleScripture"/>
        <w:jc w:val="left"/>
      </w:pPr>
      <w:r>
        <w:rPr>
          <w:rFonts w:ascii="Times New Roman" w:hAnsi="Times New Roman" w:eastAsia="Times New Roman" w:cs="Times New Roman"/>
        </w:rPr>
        <w:t>“Kisha nikaona mnyama mwingine akipanda kutoka katika nchi; naye alikuwa na pembe mbili mfano wa mwana-kondoo, naye alinena kama joka.” Ufunuo 13:11.</w:t>
      </w:r>
    </w:p>
    <w:p>
      <w:pPr>
        <w:pStyle w:val="ArticleBody"/>
        <w:jc w:val="left"/>
      </w:pPr>
      <w:r>
        <w:rPr>
          <w:rFonts w:ascii="Times New Roman" w:hAnsi="Times New Roman" w:eastAsia="Times New Roman" w:cs="Times New Roman"/>
        </w:rPr>
        <w:t>Lu veesi, me vaka ena veesi ka fasefulu, sai koya na itukutuku ni veika e tekivu ena Alien and Sedition Acts ni 1798 ka vakacavari ena lawa ni Sigatabu ni sa vosa na matanitu me vaka na gata levu, e dua na itukutuku e tekivu ni sa kau tani mai na itikotiko vakaturaga o Roma vakapope ka vakacavari ni sa vakalesui tale kina na itikotiko vakaturaga o Roma vakapope. Na itukutuku e matataka ruarua na Vakatakila 13:11 kei Taniela 11:40 e tekivu ena kau tani ni ikalima ni matanitu ni parofisai vakaivolatabu ka vakacavari ena kau tani ni ikaono ni matanitu ni parofisai vakaivolatabu.</w:t>
      </w:r>
    </w:p>
    <w:p>
      <w:pPr>
        <w:pStyle w:val="ArticleBody"/>
        <w:jc w:val="left"/>
      </w:pPr>
      <w:r>
        <w:rPr>
          <w:rFonts w:ascii="Times New Roman" w:hAnsi="Times New Roman" w:eastAsia="Times New Roman" w:cs="Times New Roman"/>
        </w:rPr>
        <w:t>Na “fitopolo” tausaga na pule ai Papelonia o le uluai malo o valoaga a le Tusi Paia seʻia oo i le malo lona lua o valoaga a le Tusi Paia, ua faatusaina ai le talafaasolopito o le fuaiupu e fasefulu mai le 1798 seʻia oo i le tulafono o le Aso Sa.</w:t>
      </w:r>
    </w:p>
    <w:p>
      <w:pPr>
        <w:pStyle w:val="ArticleScripture"/>
        <w:jc w:val="left"/>
      </w:pPr>
      <w:r>
        <w:rPr>
          <w:rFonts w:ascii="Times New Roman" w:hAnsi="Times New Roman" w:eastAsia="Times New Roman" w:cs="Times New Roman"/>
        </w:rPr>
        <w:t>Et il arrivera, en ce jour-là, que Tyr sera oubliée pendant soixante-dix ans, selon les jours d’un seul roi; au terme de soixante-dix ans, il en sera de Tyr comme de la prostituée: Prends la harpe, fais le tour de la ville, toi, prostituée oubliée; fais entendre de douces mélodies, chante de nombreux cantiques, afin qu’on se souvienne de toi. Et il arrivera, au terme de soixante-dix ans, que le Seigneur visitera Tyr; alors elle retournera à son salaire, et se prostituera avec tous les royaumes du monde sur la face de la terre. Ésaïe 23:15–17.</w:t>
      </w:r>
    </w:p>
    <w:p>
      <w:pPr>
        <w:pStyle w:val="ArticleBody"/>
        <w:jc w:val="left"/>
      </w:pPr>
      <w:r>
        <w:rPr>
          <w:rFonts w:ascii="Times New Roman" w:hAnsi="Times New Roman" w:eastAsia="Times New Roman" w:cs="Times New Roman"/>
        </w:rPr>
        <w:t>L’histoire de 1798 jusqu’à la loi du dimanche est aussi l’histoire du temps où la prostituée de Tyr est oubliée, ainsi qu’il est rapporté dans Ésaïe vingt-trois, lequel exprime cette période comme « soixante-dix ans » et comme les « jours d’un seul roi ». De Nebucadnetsar à Belshatsar régna le premier royaume de la prophétie biblique, typifiant ainsi le sixième royaume de la prophétie biblique, qui commence comme un agneau, mais finit par parler comme un dragon. Nebucadnetsar représente un disciple de l’Agneau, et Belshatsar un disciple du dragon.</w:t>
      </w:r>
    </w:p>
    <w:p>
      <w:pPr>
        <w:pStyle w:val="ArticleBody"/>
        <w:jc w:val="left"/>
      </w:pPr>
      <w:r>
        <w:rPr>
          <w:rFonts w:ascii="Times New Roman" w:hAnsi="Times New Roman" w:eastAsia="Times New Roman" w:cs="Times New Roman"/>
        </w:rPr>
        <w:t>L’histoire qui va de 1798 jusqu’à la loi du dimanche est aussi l’histoire des trois anges d’Apocalypse quatorze, commençant avec la réforme des Millerites et s’achevant avec la réforme des cent quarante-quatre mille. Le message des trois anges est le message de l’heure du jugement. Les Millerites ont annoncé les événements liés à l’ouverture du jugement, et les cent quarante-quatre mille annoncent les événements liés à la clôture du temps de grâce.</w:t>
      </w:r>
    </w:p>
    <w:p>
      <w:pPr>
        <w:pStyle w:val="ArticleBody"/>
        <w:jc w:val="left"/>
      </w:pPr>
      <w:r>
        <w:rPr>
          <w:rFonts w:ascii="Times New Roman" w:hAnsi="Times New Roman" w:eastAsia="Times New Roman" w:cs="Times New Roman"/>
        </w:rPr>
        <w:t>Onguddo e xumde probation ndariidi maaɓɓe ndee wonanaama e laylayji annuɗi e jaati ɗee no feewi, e waɗiiji ɗii no waɗata ko ɗum e tariiha ngo aaya gelleeji sappo e go’o e Daniel, aaya 40, ɗum woni. Waɗiiji aaya 40 ɗii no timmii e doka Alahade nder Dowlaaji Dentuɗi Amerik, ngam non waɗiiji moƴƴinde caggal rewɓe goɗɓe Alla ɓe ɗon e Babilon tawaaji ɗii wonaa ko wonanaama nder aaya 40; kono e hanuuji ɗii caɗeele ɗe waɗata yeeso aduna ndee ko ɗum hebbinii e Dowlaaji Dentuɗi Amerik. Waɗiiji ɗii no cindi kiita dow Dowlaaji Dentuɗi Amerik e laaɓtinaaki ekklesiya Alla ko mbele ekklesiya ndee ƴettinee no alamaaru.</w:t>
      </w:r>
    </w:p>
    <w:p>
      <w:pPr>
        <w:pStyle w:val="ArticleBody"/>
        <w:jc w:val="left"/>
      </w:pPr>
      <w:r>
        <w:rPr>
          <w:rFonts w:ascii="Times New Roman" w:hAnsi="Times New Roman" w:eastAsia="Times New Roman" w:cs="Times New Roman"/>
        </w:rPr>
        <w:t>Os acontecimentos internos ligados ao encerramento do tempo de graça identificam a obra de Cristo como Sumo Sacerdote ao concluir o mistério de Deus entre o Seu povo dos últimos dias. Os acontecimentos externos identificam o papel dos Estados Unidos na restauração do poder ao papado. Toda a história dos Estados Unidos como o sexto reino da profecia bíblica, toda a história de Laodiceia, ocorre durante a história representada pelo versículo quarenta.</w:t>
      </w:r>
    </w:p>
    <w:p>
      <w:pPr>
        <w:pStyle w:val="ArticleBody"/>
        <w:jc w:val="left"/>
      </w:pPr>
      <w:r>
        <w:rPr>
          <w:rFonts w:ascii="Times New Roman" w:hAnsi="Times New Roman" w:eastAsia="Times New Roman" w:cs="Times New Roman"/>
        </w:rPr>
        <w:t>Les lignes interne et externe au sein du verset quarante sont représentées par les deux cornes de la bête de la terre. La corne du républicanisme est la ligne externe, et la corne du protestantisme est la ligne interne. Ces deux lignes existent dans l’histoire du sixième royaume, et à la conclusion de l’histoire du sixième royaume, le jugement de Dieu s’exerce sur la corne protestante comme sur la corne républicaine. Le message qui identifie les événements liés à la clôture du temps de grâce est le message qui identifie les événements amenés sur les États-Unis lorsqu’ils comblent la mesure de leur temps de probation. Le message qui identifie les événements liés à la clôture du temps de grâce est aussi le message qui identifie les événements amenés sur l’adventisme du septième jour lorsqu’il comble la mesure de son temps de probation.</w:t>
      </w:r>
    </w:p>
    <w:p>
      <w:pPr>
        <w:pStyle w:val="ArticleBody"/>
        <w:jc w:val="left"/>
      </w:pPr>
      <w:r>
        <w:rPr>
          <w:rFonts w:ascii="Times New Roman" w:hAnsi="Times New Roman" w:eastAsia="Times New Roman" w:cs="Times New Roman"/>
        </w:rPr>
        <w:t>Ndani ya historia ya aya ya arobaini, kuna nyakati tatu ambapo kitabu cha Danieli kinafunguliwa muhuri, na kila moja ya nyakati hizo tatu huzalisha mstari wa ndani na wa nje unaowasilisha matukio yanayohusiana na kufungwa kwa rehema. Kila moja ya alama hizo tatu za kinabii hutanguliwa na kutawanyika kwa nyakati saba. Kwa hiyo aya ya arobaini inawakilisha historia ya mwaka 1798 hadi sheria ya Jumapili, na alama za kinabii zilizo ndani ya historia hiyo ni “matukio yanayohusiana na kufungwa kwa rehema.” Ndani ya historia ya aya ya arobaini, mstari wa ndani unawakilisha mpito kutoka Filadelfia hadi Laodekia mwanzoni na mpito kutoka Laodekia hadi Filadelfia mwishoni. Mwanzo uliwakilisha vuguvugu la matengenezo kama linavyoonyeshwa na mfano wa wanawali kumi, ambao ulifananisha vuguvugu la matengenezo mwishoni ambalo pia lilitimiza mfano huo kwa halisi yake kabisa.</w:t>
      </w:r>
    </w:p>
    <w:p>
      <w:pPr>
        <w:pStyle w:val="ArticleBody"/>
        <w:jc w:val="left"/>
      </w:pPr>
      <w:r>
        <w:rPr>
          <w:rFonts w:ascii="Times New Roman" w:hAnsi="Times New Roman" w:eastAsia="Times New Roman" w:cs="Times New Roman"/>
        </w:rPr>
        <w:t>جنبش میلیریِ فیلادلفیایی با تحققی از «هفت زمان»ِ لاویان بیست‌وشش در سال 1798 آغاز شد، و سپس با تحقق دیگری از «هفت زمان» در 22 اکتبر 1844 ادامه یافت. دست‌کم تا سال 1856، هم جیمز وایت و هم خواهر وایت این جنبش را در وضعیتی لائودکیه‌ای شناسایی کردند. در همان سال، نور تازه‌ای دربارهٔ «هفت زمان» در نشریهٔ رسمی کلیسا ارائه شد که هرگز به پایان نرسید. «هفت زمان» در 1798 تحقق یافت، و پس از آن ویلیام میلر آنچه را که خواهر وایت «آغاز زنجیرهٔ حقیقت» نامید کشف کرد، و آغاز زنجیرهٔ حقیقت همان «هفت زمان» بود. 1798 تحققی از «هفت زمان» بود؛ پس از آن، هنگامی که کتاب دانیال گشوده می‌شود، میلر کشف بنیادین خود را دربارهٔ «هفت زمان» انجام می‌دهد. پس از آن، 22 اکتبر 1844 تحقق دیگری از «هفت زمان» را رقم می‌زند، که به نوبهٔ خود با گذاری در جنبش از فیلادلفیا به لائودکیه همراه می‌شود، در همان سالی که نور تازه دربارهٔ «هفت زمان» ناتمام رها شد. در سال 1863، آنچه تا 1856 جنبش میلیریِ فیلادلفیایی بود، هنگامی که به جنبش میلیریِ لائودکیه‌ای انتقال یافت، به کلیسایی که به‌طور قانونی به ثبت رسیده بود تبدیل شد، عمدتاً تحت مقتضیات و فشارهای جنگ داخلی و برای حفاظت از جوانان کلیسا. جنبش در 1863 پایان یافت، هنگامی که به یک کلیسا تبدیل شد. هفت سال پیش از آن، در 1856، لائودکیه پیامی از نور تازه را دقیقاً دربارهٔ همان موضوعی کنار نهاد که نخستین کشف نبویِ ویلیام میلر بود.</w:t>
      </w:r>
    </w:p>
    <w:p>
      <w:pPr>
        <w:pStyle w:val="ArticleBody"/>
        <w:jc w:val="left"/>
      </w:pPr>
      <w:r>
        <w:rPr>
          <w:rFonts w:ascii="Times New Roman" w:hAnsi="Times New Roman" w:eastAsia="Times New Roman" w:cs="Times New Roman"/>
        </w:rPr>
        <w:t>Kwaffar Millerite no hanhankɔ a wɔfrɛ no “nokware nkabom no mfiase” no, “mberɛ ason” no hann no, wɔbuee mu maa Laodikea kuw no mpanyimfo; nanso wɔn ankasa de nkakrankakra too wɔn pɛ sɛ wɔbɛkora “mberɛ ason” no so no, na mfe ason no awiei mu (“mberɛ ason”) wɔ afe 1863 mu no, wɔyɛɛ mfonini foforo ne nkɔmhyɛ nkrasɛm foforo a “mberɛ ason” no ho asɛm biara nni mu.</w:t>
      </w:r>
    </w:p>
    <w:p>
      <w:pPr>
        <w:pStyle w:val="ArticleBody"/>
        <w:jc w:val="left"/>
      </w:pPr>
      <w:r>
        <w:rPr>
          <w:rFonts w:ascii="Times New Roman" w:hAnsi="Times New Roman" w:eastAsia="Times New Roman" w:cs="Times New Roman"/>
        </w:rPr>
        <w:t>Mnamo 1863, kuguma kwa ubuhanuzi bwa Yesaya bw’imyaka mirongo itandatu n’itanu kwageze ahantu nyene bwatanguriye, ku ntambara y’abanyagihugu hagati y’uburaruko n’ubumanuko. Ikibazo c’ubushumba mu 1863 cari carashushanyijwe no kunyagwa kw’ubwami bw’uburaruko n’ubw’ubumanuko, mu gushitsa kwa “ibihe indwi,” kandi ubushumba Isirayeli yajanywemwo bwaraserura neza ibibazo vy’ubushumba ku mpera. Umwaka wa 1863 userukira iherezo ry’inyubakwa y’ubuhanuzi ishingiye ku buhanuzi bwa Yesaya bw’imyaka mirongo itandatu n’itanu.</w:t>
      </w:r>
    </w:p>
    <w:p>
      <w:pPr>
        <w:pStyle w:val="ArticleScripture"/>
        <w:jc w:val="left"/>
      </w:pPr>
      <w:r>
        <w:rPr>
          <w:rFonts w:ascii="Times New Roman" w:hAnsi="Times New Roman" w:eastAsia="Times New Roman" w:cs="Times New Roman"/>
        </w:rPr>
        <w:t>Ainsi parle le Seigneur, l’Éternel : Cela ne subsistera pas, et cela n’aura pas lieu. Car la tête de la Syrie, c’est Damas, et la tête de Damas, c’est Retsin ; et dans soixante-cinq ans, Éphraïm sera brisé au point de ne plus être un peuple. Et la tête d’Éphraïm, c’est Samarie, et la tête de Samarie, c’est le fils de Remalia. Si vous ne croyez pas, certainement vous ne serez pas affermis. Ésaïe 7:7–9.</w:t>
      </w:r>
    </w:p>
    <w:p>
      <w:pPr>
        <w:pStyle w:val="ArticleBody"/>
        <w:jc w:val="left"/>
      </w:pPr>
      <w:r>
        <w:rPr>
          <w:rFonts w:ascii="Times New Roman" w:hAnsi="Times New Roman" w:eastAsia="Times New Roman" w:cs="Times New Roman"/>
        </w:rPr>
        <w:t>Ṣe a lóye asọtẹ́lẹ̀ yìí ní ọ̀nà tí ó tọ́, tí ó bẹ̀rẹ̀ ní ọdún 742 ṣáájú Kristi, ó fi àmì ọ̀nà mẹ́ta hàn nínú àkókò ọdún mẹ́rìndínlọ́gọ́ta. Méjì nínú àwọn àmì ọ̀nà náà ń tọ́ka sí àwọn ibi ìbẹ̀rẹ̀ ọdún ẹgbẹ̀rún méjì, ọgọ́rùn-ún márùn-ún, ogún ọdún ìgbèkùn àti ẹrú fún ìjọba àríwá àti ìjọba gúúsù Ísírẹ́lì. Ní ọdún 742 ṣáájú Kristi, àwọn ìjọba àríwá àti gúúsù wà nínú ogun abẹ́lé, àwọn ẹ̀yà mẹ́wàá ti àríwá sì ti dá àjọṣepọ̀ pẹ̀lú Síríà láti gbógun ti ìjọba gúúsù Júdà. Ní ọdún mọ́kàndínlógún lẹ́yìn náà, ní 723 ṣáájú Kristi, wọ́n kó àwọn ẹ̀yà mẹ́wàá ti àríwá lọ sí ẹrú ní ọwọ́ àwọn ará Asíríà. Ní ọdún mẹ́rìnlélọ́gọ́rin lẹ́yìn náà, ní 677 ṣáájú Kristi, àwọn ará Asíríà mú Manásè, wọ́n sì kó ọ lọ sí Bábílónì. Ọdún ẹgbẹ̀rún méjì, ọgọ́rùn-ún márùn-ún, ogún lẹ́yìn 723 ṣáájú Kristi dé sí 1798, àkókò ìpẹ̀yà àti ìbẹ̀rẹ̀ ẹsẹ̀ ogójì. Ní ọdún mẹ́rìnlélọ́gọ́rin lẹ́yìn náà, “àkókò méje” sí i lòdì sí ìjọba gúúsù, tí ó bẹ̀rẹ̀ ní 677 ṣáájú Kristi, parí ní 1844. Ní ọdún mọ́kàndínlógún lẹ́yìn náà, ní 1863, àwọn àbùdá asọtẹ́lẹ̀ ti ọdún 742 ṣáájú Kristi ni a ṣàfihàn déédéé gẹ́gẹ́ bí a ti kọ ọ́. Ogun abẹ́lé kan wà lọ́wọ́ láàárín ìjọba àríwá àti ìjọba gúúsù ní 742 ṣáájú Kristi àti ní 1863. Ní 742 ṣáájú Kristi, àsọtẹ́lẹ̀ tí Isaiah fún Ọba búburú Ahasi jẹ́ nípa ìgbèkùn tó sún mọ́lé ti ìjọba àríwá àti ìjọba gúúsù; àti ní 1863, ní àárín gbùngbùn Ogun Abẹ́lé gan-an, Ààrẹ Lincoln kéde Ìkéde Òmìnira, tí ó bẹ̀rẹ̀ ìlànà ìparí ẹrú. Ìkìlọ̀ tí a fún Ọba búburú Ahasi ní 742 ṣáájú Kristi ni a fún ní ilẹ̀ ògo gidi, tí ó jẹ́ àpẹẹrẹ ìránṣẹ́ tí Lincoln fi ránṣẹ́ ní ilẹ̀ ògo ti ẹ̀mí.</w:t>
      </w:r>
    </w:p>
    <w:p>
      <w:pPr>
        <w:pStyle w:val="ArticleBody"/>
        <w:jc w:val="left"/>
      </w:pPr>
      <w:r>
        <w:rPr>
          <w:rFonts w:ascii="Times New Roman" w:hAnsi="Times New Roman" w:eastAsia="Times New Roman" w:cs="Times New Roman"/>
        </w:rPr>
        <w:t xml:space="preserve">1856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ჰირამ</w:t>
      </w:r>
      <w:r>
        <w:rPr>
          <w:rFonts w:ascii="Times New Roman" w:hAnsi="Times New Roman" w:eastAsia="Times New Roman" w:cs="Times New Roman"/>
        </w:rPr>
        <w:t xml:space="preserve"> </w:t>
      </w:r>
      <w:r>
        <w:rPr>
          <w:rFonts w:ascii="Sylfaen" w:hAnsi="Sylfaen" w:eastAsia="Sylfaen" w:cs="Sylfaen"/>
        </w:rPr>
        <w:t>ედსონის</w:t>
      </w:r>
      <w:r>
        <w:rPr>
          <w:rFonts w:ascii="Times New Roman" w:hAnsi="Times New Roman" w:eastAsia="Times New Roman" w:cs="Times New Roman"/>
        </w:rPr>
        <w:t xml:space="preserve"> </w:t>
      </w:r>
      <w:r>
        <w:rPr>
          <w:rFonts w:ascii="Sylfaen" w:hAnsi="Sylfaen" w:eastAsia="Sylfaen" w:cs="Sylfaen"/>
        </w:rPr>
        <w:t>მიერ</w:t>
      </w:r>
      <w:r>
        <w:rPr>
          <w:rFonts w:ascii="Times New Roman" w:hAnsi="Times New Roman" w:eastAsia="Times New Roman" w:cs="Times New Roman"/>
        </w:rPr>
        <w:t xml:space="preserve"> „</w:t>
      </w:r>
      <w:r>
        <w:rPr>
          <w:rFonts w:ascii="Sylfaen" w:hAnsi="Sylfaen" w:eastAsia="Sylfaen" w:cs="Sylfaen"/>
        </w:rPr>
        <w:t>შვიდი</w:t>
      </w:r>
      <w:r>
        <w:rPr>
          <w:rFonts w:ascii="Times New Roman" w:hAnsi="Times New Roman" w:eastAsia="Times New Roman" w:cs="Times New Roman"/>
        </w:rPr>
        <w:t xml:space="preserve"> </w:t>
      </w:r>
      <w:r>
        <w:rPr>
          <w:rFonts w:ascii="Sylfaen" w:hAnsi="Sylfaen" w:eastAsia="Sylfaen" w:cs="Sylfaen"/>
        </w:rPr>
        <w:t>ჟამის</w:t>
      </w:r>
      <w:r>
        <w:rPr>
          <w:rFonts w:ascii="Times New Roman" w:hAnsi="Times New Roman" w:eastAsia="Times New Roman" w:cs="Times New Roman"/>
        </w:rPr>
        <w:t xml:space="preserve">“ </w:t>
      </w:r>
      <w:r>
        <w:rPr>
          <w:rFonts w:ascii="Sylfaen" w:hAnsi="Sylfaen" w:eastAsia="Sylfaen" w:cs="Sylfaen"/>
        </w:rPr>
        <w:t>შესახებ</w:t>
      </w:r>
      <w:r>
        <w:rPr>
          <w:rFonts w:ascii="Times New Roman" w:hAnsi="Times New Roman" w:eastAsia="Times New Roman" w:cs="Times New Roman"/>
        </w:rPr>
        <w:t xml:space="preserve"> </w:t>
      </w:r>
      <w:r>
        <w:rPr>
          <w:rFonts w:ascii="Sylfaen" w:hAnsi="Sylfaen" w:eastAsia="Sylfaen" w:cs="Sylfaen"/>
        </w:rPr>
        <w:t>უწყებების</w:t>
      </w:r>
      <w:r>
        <w:rPr>
          <w:rFonts w:ascii="Times New Roman" w:hAnsi="Times New Roman" w:eastAsia="Times New Roman" w:cs="Times New Roman"/>
        </w:rPr>
        <w:t xml:space="preserve"> </w:t>
      </w:r>
      <w:r>
        <w:rPr>
          <w:rFonts w:ascii="Sylfaen" w:hAnsi="Sylfaen" w:eastAsia="Sylfaen" w:cs="Sylfaen"/>
        </w:rPr>
        <w:t>გამოქვეყნებიდან</w:t>
      </w:r>
      <w:r>
        <w:rPr>
          <w:rFonts w:ascii="Times New Roman" w:hAnsi="Times New Roman" w:eastAsia="Times New Roman" w:cs="Times New Roman"/>
        </w:rPr>
        <w:t xml:space="preserve"> </w:t>
      </w:r>
      <w:r>
        <w:rPr>
          <w:rFonts w:ascii="Sylfaen" w:hAnsi="Sylfaen" w:eastAsia="Sylfaen" w:cs="Sylfaen"/>
        </w:rPr>
        <w:t>შვიდი</w:t>
      </w:r>
      <w:r>
        <w:rPr>
          <w:rFonts w:ascii="Times New Roman" w:hAnsi="Times New Roman" w:eastAsia="Times New Roman" w:cs="Times New Roman"/>
        </w:rPr>
        <w:t xml:space="preserve">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შემდეგ</w:t>
      </w:r>
      <w:r>
        <w:rPr>
          <w:rFonts w:ascii="Times New Roman" w:hAnsi="Times New Roman" w:eastAsia="Times New Roman" w:cs="Times New Roman"/>
        </w:rPr>
        <w:t xml:space="preserve"> </w:t>
      </w:r>
      <w:r>
        <w:rPr>
          <w:rFonts w:ascii="Sylfaen" w:hAnsi="Sylfaen" w:eastAsia="Sylfaen" w:cs="Sylfaen"/>
        </w:rPr>
        <w:t>ადვენტიზმმა</w:t>
      </w:r>
      <w:r>
        <w:rPr>
          <w:rFonts w:ascii="Times New Roman" w:hAnsi="Times New Roman" w:eastAsia="Times New Roman" w:cs="Times New Roman"/>
        </w:rPr>
        <w:t xml:space="preserve"> </w:t>
      </w:r>
      <w:r>
        <w:rPr>
          <w:rFonts w:ascii="Sylfaen" w:hAnsi="Sylfaen" w:eastAsia="Sylfaen" w:cs="Sylfaen"/>
        </w:rPr>
        <w:t>წარმოშვა</w:t>
      </w:r>
      <w:r>
        <w:rPr>
          <w:rFonts w:ascii="Times New Roman" w:hAnsi="Times New Roman" w:eastAsia="Times New Roman" w:cs="Times New Roman"/>
        </w:rPr>
        <w:t xml:space="preserve"> 1863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სქემა</w:t>
      </w:r>
      <w:r>
        <w:rPr>
          <w:rFonts w:ascii="Times New Roman" w:hAnsi="Times New Roman" w:eastAsia="Times New Roman" w:cs="Times New Roman"/>
        </w:rPr>
        <w:t xml:space="preserve">, </w:t>
      </w:r>
      <w:r>
        <w:rPr>
          <w:rFonts w:ascii="Sylfaen" w:hAnsi="Sylfaen" w:eastAsia="Sylfaen" w:cs="Sylfaen"/>
        </w:rPr>
        <w:t>რომელმაც</w:t>
      </w:r>
      <w:r>
        <w:rPr>
          <w:rFonts w:ascii="Times New Roman" w:hAnsi="Times New Roman" w:eastAsia="Times New Roman" w:cs="Times New Roman"/>
        </w:rPr>
        <w:t xml:space="preserve"> </w:t>
      </w:r>
      <w:r>
        <w:rPr>
          <w:rFonts w:ascii="Sylfaen" w:hAnsi="Sylfaen" w:eastAsia="Sylfaen" w:cs="Sylfaen"/>
        </w:rPr>
        <w:t>გააუქმა</w:t>
      </w:r>
      <w:r>
        <w:rPr>
          <w:rFonts w:ascii="Times New Roman" w:hAnsi="Times New Roman" w:eastAsia="Times New Roman" w:cs="Times New Roman"/>
        </w:rPr>
        <w:t xml:space="preserve"> </w:t>
      </w:r>
      <w:r>
        <w:rPr>
          <w:rFonts w:ascii="Sylfaen" w:hAnsi="Sylfaen" w:eastAsia="Sylfaen" w:cs="Sylfaen"/>
        </w:rPr>
        <w:t>მილერიტული</w:t>
      </w:r>
      <w:r>
        <w:rPr>
          <w:rFonts w:ascii="Times New Roman" w:hAnsi="Times New Roman" w:eastAsia="Times New Roman" w:cs="Times New Roman"/>
        </w:rPr>
        <w:t xml:space="preserve"> </w:t>
      </w:r>
      <w:r>
        <w:rPr>
          <w:rFonts w:ascii="Sylfaen" w:hAnsi="Sylfaen" w:eastAsia="Sylfaen" w:cs="Sylfaen"/>
        </w:rPr>
        <w:t>სწავლება</w:t>
      </w:r>
      <w:r>
        <w:rPr>
          <w:rFonts w:ascii="Times New Roman" w:hAnsi="Times New Roman" w:eastAsia="Times New Roman" w:cs="Times New Roman"/>
        </w:rPr>
        <w:t xml:space="preserve"> </w:t>
      </w:r>
      <w:r>
        <w:rPr>
          <w:rFonts w:ascii="Sylfaen" w:hAnsi="Sylfaen" w:eastAsia="Sylfaen" w:cs="Sylfaen"/>
        </w:rPr>
        <w:t>შვიდი</w:t>
      </w:r>
      <w:r>
        <w:rPr>
          <w:rFonts w:ascii="Times New Roman" w:hAnsi="Times New Roman" w:eastAsia="Times New Roman" w:cs="Times New Roman"/>
        </w:rPr>
        <w:t xml:space="preserve"> </w:t>
      </w:r>
      <w:r>
        <w:rPr>
          <w:rFonts w:ascii="Sylfaen" w:hAnsi="Sylfaen" w:eastAsia="Sylfaen" w:cs="Sylfaen"/>
        </w:rPr>
        <w:t>ჟამის</w:t>
      </w:r>
      <w:r>
        <w:rPr>
          <w:rFonts w:ascii="Times New Roman" w:hAnsi="Times New Roman" w:eastAsia="Times New Roman" w:cs="Times New Roman"/>
        </w:rPr>
        <w:t xml:space="preserve"> </w:t>
      </w:r>
      <w:r>
        <w:rPr>
          <w:rFonts w:ascii="Sylfaen" w:hAnsi="Sylfaen" w:eastAsia="Sylfaen" w:cs="Sylfaen"/>
        </w:rPr>
        <w:t>შესახებ</w:t>
      </w:r>
      <w:r>
        <w:rPr>
          <w:rFonts w:ascii="Times New Roman" w:hAnsi="Times New Roman" w:eastAsia="Times New Roman" w:cs="Times New Roman"/>
        </w:rPr>
        <w:t xml:space="preserve">; </w:t>
      </w:r>
      <w:r>
        <w:rPr>
          <w:rFonts w:ascii="Sylfaen" w:hAnsi="Sylfaen" w:eastAsia="Sylfaen" w:cs="Sylfaen"/>
        </w:rPr>
        <w:t>ამით</w:t>
      </w:r>
      <w:r>
        <w:rPr>
          <w:rFonts w:ascii="Times New Roman" w:hAnsi="Times New Roman" w:eastAsia="Times New Roman" w:cs="Times New Roman"/>
        </w:rPr>
        <w:t xml:space="preserve"> </w:t>
      </w:r>
      <w:r>
        <w:rPr>
          <w:rFonts w:ascii="Sylfaen" w:hAnsi="Sylfaen" w:eastAsia="Sylfaen" w:cs="Sylfaen"/>
        </w:rPr>
        <w:t>ეჭვქვეშ</w:t>
      </w:r>
      <w:r>
        <w:rPr>
          <w:rFonts w:ascii="Times New Roman" w:hAnsi="Times New Roman" w:eastAsia="Times New Roman" w:cs="Times New Roman"/>
        </w:rPr>
        <w:t xml:space="preserve"> </w:t>
      </w:r>
      <w:r>
        <w:rPr>
          <w:rFonts w:ascii="Sylfaen" w:hAnsi="Sylfaen" w:eastAsia="Sylfaen" w:cs="Sylfaen"/>
        </w:rPr>
        <w:t>დააყენა</w:t>
      </w:r>
      <w:r>
        <w:rPr>
          <w:rFonts w:ascii="Times New Roman" w:hAnsi="Times New Roman" w:eastAsia="Times New Roman" w:cs="Times New Roman"/>
        </w:rPr>
        <w:t xml:space="preserve"> </w:t>
      </w:r>
      <w:r>
        <w:rPr>
          <w:rFonts w:ascii="Sylfaen" w:hAnsi="Sylfaen" w:eastAsia="Sylfaen" w:cs="Sylfaen"/>
        </w:rPr>
        <w:t>უთვალავი</w:t>
      </w:r>
      <w:r>
        <w:rPr>
          <w:rFonts w:ascii="Times New Roman" w:hAnsi="Times New Roman" w:eastAsia="Times New Roman" w:cs="Times New Roman"/>
        </w:rPr>
        <w:t xml:space="preserve"> </w:t>
      </w:r>
      <w:r>
        <w:rPr>
          <w:rFonts w:ascii="Sylfaen" w:hAnsi="Sylfaen" w:eastAsia="Sylfaen" w:cs="Sylfaen"/>
        </w:rPr>
        <w:t>ადგილი</w:t>
      </w:r>
      <w:r>
        <w:rPr>
          <w:rFonts w:ascii="Times New Roman" w:hAnsi="Times New Roman" w:eastAsia="Times New Roman" w:cs="Times New Roman"/>
        </w:rPr>
        <w:t xml:space="preserve">, </w:t>
      </w:r>
      <w:r>
        <w:rPr>
          <w:rFonts w:ascii="Sylfaen" w:hAnsi="Sylfaen" w:eastAsia="Sylfaen" w:cs="Sylfaen"/>
        </w:rPr>
        <w:t>სადაც</w:t>
      </w:r>
      <w:r>
        <w:rPr>
          <w:rFonts w:ascii="Times New Roman" w:hAnsi="Times New Roman" w:eastAsia="Times New Roman" w:cs="Times New Roman"/>
        </w:rPr>
        <w:t xml:space="preserve"> </w:t>
      </w:r>
      <w:r>
        <w:rPr>
          <w:rFonts w:ascii="Sylfaen" w:hAnsi="Sylfaen" w:eastAsia="Sylfaen" w:cs="Sylfaen"/>
        </w:rPr>
        <w:t>ელენ</w:t>
      </w:r>
      <w:r>
        <w:rPr>
          <w:rFonts w:ascii="Times New Roman" w:hAnsi="Times New Roman" w:eastAsia="Times New Roman" w:cs="Times New Roman"/>
        </w:rPr>
        <w:t xml:space="preserve"> </w:t>
      </w:r>
      <w:r>
        <w:rPr>
          <w:rFonts w:ascii="Sylfaen" w:hAnsi="Sylfaen" w:eastAsia="Sylfaen" w:cs="Sylfaen"/>
        </w:rPr>
        <w:t>უაიტი</w:t>
      </w:r>
      <w:r>
        <w:rPr>
          <w:rFonts w:ascii="Times New Roman" w:hAnsi="Times New Roman" w:eastAsia="Times New Roman" w:cs="Times New Roman"/>
        </w:rPr>
        <w:t xml:space="preserve"> </w:t>
      </w:r>
      <w:r>
        <w:rPr>
          <w:rFonts w:ascii="Sylfaen" w:hAnsi="Sylfaen" w:eastAsia="Sylfaen" w:cs="Sylfaen"/>
        </w:rPr>
        <w:t>ასწავლის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ჩვენ</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გავიმეოროთ</w:t>
      </w:r>
      <w:r>
        <w:rPr>
          <w:rFonts w:ascii="Times New Roman" w:hAnsi="Times New Roman" w:eastAsia="Times New Roman" w:cs="Times New Roman"/>
        </w:rPr>
        <w:t xml:space="preserve"> </w:t>
      </w:r>
      <w:r>
        <w:rPr>
          <w:rFonts w:ascii="Sylfaen" w:hAnsi="Sylfaen" w:eastAsia="Sylfaen" w:cs="Sylfaen"/>
        </w:rPr>
        <w:t>მილერიტების</w:t>
      </w:r>
      <w:r>
        <w:rPr>
          <w:rFonts w:ascii="Times New Roman" w:hAnsi="Times New Roman" w:eastAsia="Times New Roman" w:cs="Times New Roman"/>
        </w:rPr>
        <w:t xml:space="preserve"> </w:t>
      </w:r>
      <w:r>
        <w:rPr>
          <w:rFonts w:ascii="Sylfaen" w:hAnsi="Sylfaen" w:eastAsia="Sylfaen" w:cs="Sylfaen"/>
        </w:rPr>
        <w:t>უწყებანი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აგრეთვე</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დავიცვათ</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უწყებებზე</w:t>
      </w:r>
      <w:r>
        <w:rPr>
          <w:rFonts w:ascii="Times New Roman" w:hAnsi="Times New Roman" w:eastAsia="Times New Roman" w:cs="Times New Roman"/>
        </w:rPr>
        <w:t xml:space="preserve"> </w:t>
      </w:r>
      <w:r>
        <w:rPr>
          <w:rFonts w:ascii="Sylfaen" w:hAnsi="Sylfaen" w:eastAsia="Sylfaen" w:cs="Sylfaen"/>
        </w:rPr>
        <w:t>თავდასხმებისაგან</w:t>
      </w:r>
      <w:r>
        <w:rPr>
          <w:rFonts w:ascii="Times New Roman" w:hAnsi="Times New Roman" w:eastAsia="Times New Roman" w:cs="Times New Roman"/>
        </w:rPr>
        <w:t xml:space="preserve">. </w:t>
      </w:r>
      <w:r>
        <w:rPr>
          <w:rFonts w:ascii="Sylfaen" w:hAnsi="Sylfaen" w:eastAsia="Sylfaen" w:cs="Sylfaen"/>
        </w:rPr>
        <w:t>იმავე</w:t>
      </w:r>
      <w:r>
        <w:rPr>
          <w:rFonts w:ascii="Times New Roman" w:hAnsi="Times New Roman" w:eastAsia="Times New Roman" w:cs="Times New Roman"/>
        </w:rPr>
        <w:t xml:space="preserve">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იურიდიულად</w:t>
      </w:r>
      <w:r>
        <w:rPr>
          <w:rFonts w:ascii="Times New Roman" w:hAnsi="Times New Roman" w:eastAsia="Times New Roman" w:cs="Times New Roman"/>
        </w:rPr>
        <w:t xml:space="preserve"> </w:t>
      </w:r>
      <w:r>
        <w:rPr>
          <w:rFonts w:ascii="Sylfaen" w:hAnsi="Sylfaen" w:eastAsia="Sylfaen" w:cs="Sylfaen"/>
        </w:rPr>
        <w:t>რეგისტრირებულ</w:t>
      </w:r>
      <w:r>
        <w:rPr>
          <w:rFonts w:ascii="Times New Roman" w:hAnsi="Times New Roman" w:eastAsia="Times New Roman" w:cs="Times New Roman"/>
        </w:rPr>
        <w:t xml:space="preserve"> </w:t>
      </w:r>
      <w:r>
        <w:rPr>
          <w:rFonts w:ascii="Sylfaen" w:hAnsi="Sylfaen" w:eastAsia="Sylfaen" w:cs="Sylfaen"/>
        </w:rPr>
        <w:t>ეკლესიად</w:t>
      </w:r>
      <w:r>
        <w:rPr>
          <w:rFonts w:ascii="Times New Roman" w:hAnsi="Times New Roman" w:eastAsia="Times New Roman" w:cs="Times New Roman"/>
        </w:rPr>
        <w:t xml:space="preserve"> </w:t>
      </w:r>
      <w:r>
        <w:rPr>
          <w:rFonts w:ascii="Sylfaen" w:hAnsi="Sylfaen" w:eastAsia="Sylfaen" w:cs="Sylfaen"/>
        </w:rPr>
        <w:t>იქცნენ</w:t>
      </w:r>
      <w:r>
        <w:rPr>
          <w:rFonts w:ascii="Times New Roman" w:hAnsi="Times New Roman" w:eastAsia="Times New Roman" w:cs="Times New Roman"/>
        </w:rPr>
        <w:t xml:space="preserve">. 1863 </w:t>
      </w:r>
      <w:r>
        <w:rPr>
          <w:rFonts w:ascii="Sylfaen" w:hAnsi="Sylfaen" w:eastAsia="Sylfaen" w:cs="Sylfaen"/>
        </w:rPr>
        <w:t>წლისა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წინასწარმეტყველური</w:t>
      </w:r>
      <w:r>
        <w:rPr>
          <w:rFonts w:ascii="Times New Roman" w:hAnsi="Times New Roman" w:eastAsia="Times New Roman" w:cs="Times New Roman"/>
        </w:rPr>
        <w:t xml:space="preserve"> </w:t>
      </w:r>
      <w:r>
        <w:rPr>
          <w:rFonts w:ascii="Sylfaen" w:hAnsi="Sylfaen" w:eastAsia="Sylfaen" w:cs="Sylfaen"/>
        </w:rPr>
        <w:t>მნიშვნელობების</w:t>
      </w:r>
      <w:r>
        <w:rPr>
          <w:rFonts w:ascii="Times New Roman" w:hAnsi="Times New Roman" w:eastAsia="Times New Roman" w:cs="Times New Roman"/>
        </w:rPr>
        <w:t xml:space="preserve"> </w:t>
      </w:r>
      <w:r>
        <w:rPr>
          <w:rFonts w:ascii="Sylfaen" w:hAnsi="Sylfaen" w:eastAsia="Sylfaen" w:cs="Sylfaen"/>
        </w:rPr>
        <w:t>შესახებ</w:t>
      </w:r>
      <w:r>
        <w:rPr>
          <w:rFonts w:ascii="Times New Roman" w:hAnsi="Times New Roman" w:eastAsia="Times New Roman" w:cs="Times New Roman"/>
        </w:rPr>
        <w:t xml:space="preserve"> </w:t>
      </w:r>
      <w:r>
        <w:rPr>
          <w:rFonts w:ascii="Sylfaen" w:hAnsi="Sylfaen" w:eastAsia="Sylfaen" w:cs="Sylfaen"/>
        </w:rPr>
        <w:t>კიდევ</w:t>
      </w:r>
      <w:r>
        <w:rPr>
          <w:rFonts w:ascii="Times New Roman" w:hAnsi="Times New Roman" w:eastAsia="Times New Roman" w:cs="Times New Roman"/>
        </w:rPr>
        <w:t xml:space="preserve"> </w:t>
      </w:r>
      <w:r>
        <w:rPr>
          <w:rFonts w:ascii="Sylfaen" w:hAnsi="Sylfaen" w:eastAsia="Sylfaen" w:cs="Sylfaen"/>
        </w:rPr>
        <w:t>ბევრი</w:t>
      </w:r>
      <w:r>
        <w:rPr>
          <w:rFonts w:ascii="Times New Roman" w:hAnsi="Times New Roman" w:eastAsia="Times New Roman" w:cs="Times New Roman"/>
        </w:rPr>
        <w:t xml:space="preserve"> </w:t>
      </w:r>
      <w:r>
        <w:rPr>
          <w:rFonts w:ascii="Sylfaen" w:hAnsi="Sylfaen" w:eastAsia="Sylfaen" w:cs="Sylfaen"/>
        </w:rPr>
        <w:t>შეიძლება</w:t>
      </w:r>
      <w:r>
        <w:rPr>
          <w:rFonts w:ascii="Times New Roman" w:hAnsi="Times New Roman" w:eastAsia="Times New Roman" w:cs="Times New Roman"/>
        </w:rPr>
        <w:t xml:space="preserve"> </w:t>
      </w:r>
      <w:r>
        <w:rPr>
          <w:rFonts w:ascii="Sylfaen" w:hAnsi="Sylfaen" w:eastAsia="Sylfaen" w:cs="Sylfaen"/>
        </w:rPr>
        <w:t>დაიწეროს</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რასაც</w:t>
      </w:r>
      <w:r>
        <w:rPr>
          <w:rFonts w:ascii="Times New Roman" w:hAnsi="Times New Roman" w:eastAsia="Times New Roman" w:cs="Times New Roman"/>
        </w:rPr>
        <w:t xml:space="preserve"> </w:t>
      </w:r>
      <w:r>
        <w:rPr>
          <w:rFonts w:ascii="Sylfaen" w:hAnsi="Sylfaen" w:eastAsia="Sylfaen" w:cs="Sylfaen"/>
        </w:rPr>
        <w:t>მე</w:t>
      </w:r>
      <w:r>
        <w:rPr>
          <w:rFonts w:ascii="Times New Roman" w:hAnsi="Times New Roman" w:eastAsia="Times New Roman" w:cs="Times New Roman"/>
        </w:rPr>
        <w:t xml:space="preserve"> </w:t>
      </w:r>
      <w:r>
        <w:rPr>
          <w:rFonts w:ascii="Sylfaen" w:hAnsi="Sylfaen" w:eastAsia="Sylfaen" w:cs="Sylfaen"/>
        </w:rPr>
        <w:t>აქ</w:t>
      </w:r>
      <w:r>
        <w:rPr>
          <w:rFonts w:ascii="Times New Roman" w:hAnsi="Times New Roman" w:eastAsia="Times New Roman" w:cs="Times New Roman"/>
        </w:rPr>
        <w:t xml:space="preserve"> </w:t>
      </w:r>
      <w:r>
        <w:rPr>
          <w:rFonts w:ascii="Sylfaen" w:hAnsi="Sylfaen" w:eastAsia="Sylfaen" w:cs="Sylfaen"/>
        </w:rPr>
        <w:t>აღვნიშნავ</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არსებობს</w:t>
      </w:r>
      <w:r>
        <w:rPr>
          <w:rFonts w:ascii="Times New Roman" w:hAnsi="Times New Roman" w:eastAsia="Times New Roman" w:cs="Times New Roman"/>
        </w:rPr>
        <w:t xml:space="preserve"> </w:t>
      </w:r>
      <w:r>
        <w:rPr>
          <w:rFonts w:ascii="Sylfaen" w:hAnsi="Sylfaen" w:eastAsia="Sylfaen" w:cs="Sylfaen"/>
        </w:rPr>
        <w:t>რამდენიმე</w:t>
      </w:r>
      <w:r>
        <w:rPr>
          <w:rFonts w:ascii="Times New Roman" w:hAnsi="Times New Roman" w:eastAsia="Times New Roman" w:cs="Times New Roman"/>
        </w:rPr>
        <w:t xml:space="preserve"> </w:t>
      </w:r>
      <w:r>
        <w:rPr>
          <w:rFonts w:ascii="Sylfaen" w:hAnsi="Sylfaen" w:eastAsia="Sylfaen" w:cs="Sylfaen"/>
        </w:rPr>
        <w:t>მოწმე</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შინაგანი</w:t>
      </w:r>
      <w:r>
        <w:rPr>
          <w:rFonts w:ascii="Times New Roman" w:hAnsi="Times New Roman" w:eastAsia="Times New Roman" w:cs="Times New Roman"/>
        </w:rPr>
        <w:t xml:space="preserve">, </w:t>
      </w:r>
      <w:r>
        <w:rPr>
          <w:rFonts w:ascii="Sylfaen" w:hAnsi="Sylfaen" w:eastAsia="Sylfaen" w:cs="Sylfaen"/>
        </w:rPr>
        <w:t>ისე</w:t>
      </w:r>
      <w:r>
        <w:rPr>
          <w:rFonts w:ascii="Times New Roman" w:hAnsi="Times New Roman" w:eastAsia="Times New Roman" w:cs="Times New Roman"/>
        </w:rPr>
        <w:t xml:space="preserve"> </w:t>
      </w:r>
      <w:r>
        <w:rPr>
          <w:rFonts w:ascii="Sylfaen" w:hAnsi="Sylfaen" w:eastAsia="Sylfaen" w:cs="Sylfaen"/>
        </w:rPr>
        <w:t>გარეგანი</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1863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აჯანყებას</w:t>
      </w:r>
      <w:r>
        <w:rPr>
          <w:rFonts w:ascii="Times New Roman" w:hAnsi="Times New Roman" w:eastAsia="Times New Roman" w:cs="Times New Roman"/>
        </w:rPr>
        <w:t xml:space="preserve"> </w:t>
      </w:r>
      <w:r>
        <w:rPr>
          <w:rFonts w:ascii="Sylfaen" w:hAnsi="Sylfaen" w:eastAsia="Sylfaen" w:cs="Sylfaen"/>
        </w:rPr>
        <w:t>მიუთითებენ</w:t>
      </w:r>
      <w:r>
        <w:rPr>
          <w:rFonts w:ascii="Times New Roman" w:hAnsi="Times New Roman" w:eastAsia="Times New Roman" w:cs="Times New Roman"/>
        </w:rPr>
        <w:t xml:space="preserve"> — </w:t>
      </w:r>
      <w:r>
        <w:rPr>
          <w:rFonts w:ascii="Sylfaen" w:hAnsi="Sylfaen" w:eastAsia="Sylfaen" w:cs="Sylfaen"/>
        </w:rPr>
        <w:t>იქნება</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გარეგანის</w:t>
      </w:r>
      <w:r>
        <w:rPr>
          <w:rFonts w:ascii="Times New Roman" w:hAnsi="Times New Roman" w:eastAsia="Times New Roman" w:cs="Times New Roman"/>
        </w:rPr>
        <w:t xml:space="preserve"> </w:t>
      </w:r>
      <w:r>
        <w:rPr>
          <w:rFonts w:ascii="Sylfaen" w:hAnsi="Sylfaen" w:eastAsia="Sylfaen" w:cs="Sylfaen"/>
        </w:rPr>
        <w:t>აჯანყება</w:t>
      </w:r>
      <w:r>
        <w:rPr>
          <w:rFonts w:ascii="Times New Roman" w:hAnsi="Times New Roman" w:eastAsia="Times New Roman" w:cs="Times New Roman"/>
        </w:rPr>
        <w:t xml:space="preserve"> </w:t>
      </w:r>
      <w:r>
        <w:rPr>
          <w:rFonts w:ascii="Sylfaen" w:hAnsi="Sylfaen" w:eastAsia="Sylfaen" w:cs="Sylfaen"/>
        </w:rPr>
        <w:t>სამხრეთის</w:t>
      </w:r>
      <w:r>
        <w:rPr>
          <w:rFonts w:ascii="Times New Roman" w:hAnsi="Times New Roman" w:eastAsia="Times New Roman" w:cs="Times New Roman"/>
        </w:rPr>
        <w:t xml:space="preserve"> </w:t>
      </w:r>
      <w:r>
        <w:rPr>
          <w:rFonts w:ascii="Sylfaen" w:hAnsi="Sylfaen" w:eastAsia="Sylfaen" w:cs="Sylfaen"/>
        </w:rPr>
        <w:t>შტატებთან</w:t>
      </w:r>
      <w:r>
        <w:rPr>
          <w:rFonts w:ascii="Times New Roman" w:hAnsi="Times New Roman" w:eastAsia="Times New Roman" w:cs="Times New Roman"/>
        </w:rPr>
        <w:t xml:space="preserve"> </w:t>
      </w:r>
      <w:r>
        <w:rPr>
          <w:rFonts w:ascii="Sylfaen" w:hAnsi="Sylfaen" w:eastAsia="Sylfaen" w:cs="Sylfaen"/>
        </w:rPr>
        <w:t>მიმართებით</w:t>
      </w:r>
      <w:r>
        <w:rPr>
          <w:rFonts w:ascii="Times New Roman" w:hAnsi="Times New Roman" w:eastAsia="Times New Roman" w:cs="Times New Roman"/>
        </w:rPr>
        <w:t xml:space="preserve">, </w:t>
      </w:r>
      <w:r>
        <w:rPr>
          <w:rFonts w:ascii="Sylfaen" w:hAnsi="Sylfaen" w:eastAsia="Sylfaen" w:cs="Sylfaen"/>
        </w:rPr>
        <w:t>თუ</w:t>
      </w:r>
      <w:r>
        <w:rPr>
          <w:rFonts w:ascii="Times New Roman" w:hAnsi="Times New Roman" w:eastAsia="Times New Roman" w:cs="Times New Roman"/>
        </w:rPr>
        <w:t xml:space="preserve"> </w:t>
      </w:r>
      <w:r>
        <w:rPr>
          <w:rFonts w:ascii="Sylfaen" w:hAnsi="Sylfaen" w:eastAsia="Sylfaen" w:cs="Sylfaen"/>
        </w:rPr>
        <w:t>შინაგანის</w:t>
      </w:r>
      <w:r>
        <w:rPr>
          <w:rFonts w:ascii="Times New Roman" w:hAnsi="Times New Roman" w:eastAsia="Times New Roman" w:cs="Times New Roman"/>
        </w:rPr>
        <w:t xml:space="preserve"> </w:t>
      </w:r>
      <w:r>
        <w:rPr>
          <w:rFonts w:ascii="Sylfaen" w:hAnsi="Sylfaen" w:eastAsia="Sylfaen" w:cs="Sylfaen"/>
        </w:rPr>
        <w:t>აჯანყება</w:t>
      </w:r>
      <w:r>
        <w:rPr>
          <w:rFonts w:ascii="Times New Roman" w:hAnsi="Times New Roman" w:eastAsia="Times New Roman" w:cs="Times New Roman"/>
        </w:rPr>
        <w:t xml:space="preserve"> </w:t>
      </w:r>
      <w:r>
        <w:rPr>
          <w:rFonts w:ascii="Sylfaen" w:hAnsi="Sylfaen" w:eastAsia="Sylfaen" w:cs="Sylfaen"/>
        </w:rPr>
        <w:t>პირველი</w:t>
      </w:r>
      <w:r>
        <w:rPr>
          <w:rFonts w:ascii="Times New Roman" w:hAnsi="Times New Roman" w:eastAsia="Times New Roman" w:cs="Times New Roman"/>
        </w:rPr>
        <w:t xml:space="preserve"> </w:t>
      </w:r>
      <w:r>
        <w:rPr>
          <w:rFonts w:ascii="Sylfaen" w:hAnsi="Sylfaen" w:eastAsia="Sylfaen" w:cs="Sylfaen"/>
        </w:rPr>
        <w:t>ფუძემდებლური</w:t>
      </w:r>
      <w:r>
        <w:rPr>
          <w:rFonts w:ascii="Times New Roman" w:hAnsi="Times New Roman" w:eastAsia="Times New Roman" w:cs="Times New Roman"/>
        </w:rPr>
        <w:t xml:space="preserve"> </w:t>
      </w:r>
      <w:r>
        <w:rPr>
          <w:rFonts w:ascii="Sylfaen" w:hAnsi="Sylfaen" w:eastAsia="Sylfaen" w:cs="Sylfaen"/>
        </w:rPr>
        <w:t>ჭეშმარიტების</w:t>
      </w:r>
      <w:r>
        <w:rPr>
          <w:rFonts w:ascii="Times New Roman" w:hAnsi="Times New Roman" w:eastAsia="Times New Roman" w:cs="Times New Roman"/>
        </w:rPr>
        <w:t xml:space="preserve"> </w:t>
      </w:r>
      <w:r>
        <w:rPr>
          <w:rFonts w:ascii="Sylfaen" w:hAnsi="Sylfaen" w:eastAsia="Sylfaen" w:cs="Sylfaen"/>
        </w:rPr>
        <w:t>უარყოფით</w:t>
      </w:r>
      <w:r>
        <w:rPr>
          <w:rFonts w:ascii="Times New Roman" w:hAnsi="Times New Roman" w:eastAsia="Times New Roman" w:cs="Times New Roman"/>
        </w:rPr>
        <w:t xml:space="preserve">. 1863 </w:t>
      </w:r>
      <w:r>
        <w:rPr>
          <w:rFonts w:ascii="Sylfaen" w:hAnsi="Sylfaen" w:eastAsia="Sylfaen" w:cs="Sylfaen"/>
        </w:rPr>
        <w:t>წელი</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ერთ</w:t>
      </w:r>
      <w:r>
        <w:rPr>
          <w:rFonts w:ascii="Times New Roman" w:hAnsi="Times New Roman" w:eastAsia="Times New Roman" w:cs="Times New Roman"/>
        </w:rPr>
        <w:t>-</w:t>
      </w:r>
      <w:r>
        <w:rPr>
          <w:rFonts w:ascii="Sylfaen" w:hAnsi="Sylfaen" w:eastAsia="Sylfaen" w:cs="Sylfaen"/>
        </w:rPr>
        <w:t>ერთი</w:t>
      </w:r>
      <w:r>
        <w:rPr>
          <w:rFonts w:ascii="Times New Roman" w:hAnsi="Times New Roman" w:eastAsia="Times New Roman" w:cs="Times New Roman"/>
        </w:rPr>
        <w:t xml:space="preserve"> </w:t>
      </w:r>
      <w:r>
        <w:rPr>
          <w:rFonts w:ascii="Sylfaen" w:hAnsi="Sylfaen" w:eastAsia="Sylfaen" w:cs="Sylfaen"/>
        </w:rPr>
        <w:t>მოვლენა</w:t>
      </w:r>
      <w:r>
        <w:rPr>
          <w:rFonts w:ascii="Times New Roman" w:hAnsi="Times New Roman" w:eastAsia="Times New Roman" w:cs="Times New Roman"/>
        </w:rPr>
        <w:t xml:space="preserve"> </w:t>
      </w:r>
      <w:r>
        <w:rPr>
          <w:rFonts w:ascii="Sylfaen" w:hAnsi="Sylfaen" w:eastAsia="Sylfaen" w:cs="Sylfaen"/>
        </w:rPr>
        <w:t>მეორმოცე</w:t>
      </w:r>
      <w:r>
        <w:rPr>
          <w:rFonts w:ascii="Times New Roman" w:hAnsi="Times New Roman" w:eastAsia="Times New Roman" w:cs="Times New Roman"/>
        </w:rPr>
        <w:t xml:space="preserve"> </w:t>
      </w:r>
      <w:r>
        <w:rPr>
          <w:rFonts w:ascii="Sylfaen" w:hAnsi="Sylfaen" w:eastAsia="Sylfaen" w:cs="Sylfaen"/>
        </w:rPr>
        <w:t>მუხლის</w:t>
      </w:r>
      <w:r>
        <w:rPr>
          <w:rFonts w:ascii="Times New Roman" w:hAnsi="Times New Roman" w:eastAsia="Times New Roman" w:cs="Times New Roman"/>
        </w:rPr>
        <w:t xml:space="preserve"> </w:t>
      </w:r>
      <w:r>
        <w:rPr>
          <w:rFonts w:ascii="Sylfaen" w:hAnsi="Sylfaen" w:eastAsia="Sylfaen" w:cs="Sylfaen"/>
        </w:rPr>
        <w:t>ისტორიის</w:t>
      </w:r>
      <w:r>
        <w:rPr>
          <w:rFonts w:ascii="Times New Roman" w:hAnsi="Times New Roman" w:eastAsia="Times New Roman" w:cs="Times New Roman"/>
        </w:rPr>
        <w:t xml:space="preserve"> </w:t>
      </w:r>
      <w:r>
        <w:rPr>
          <w:rFonts w:ascii="Sylfaen" w:hAnsi="Sylfaen" w:eastAsia="Sylfaen" w:cs="Sylfaen"/>
        </w:rPr>
        <w:t>ფარგლებში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ისეთ</w:t>
      </w:r>
      <w:r>
        <w:rPr>
          <w:rFonts w:ascii="Times New Roman" w:hAnsi="Times New Roman" w:eastAsia="Times New Roman" w:cs="Times New Roman"/>
        </w:rPr>
        <w:t xml:space="preserve"> </w:t>
      </w:r>
      <w:r>
        <w:rPr>
          <w:rFonts w:ascii="Sylfaen" w:hAnsi="Sylfaen" w:eastAsia="Sylfaen" w:cs="Sylfaen"/>
        </w:rPr>
        <w:t>საზღვრულ</w:t>
      </w:r>
      <w:r>
        <w:rPr>
          <w:rFonts w:ascii="Times New Roman" w:hAnsi="Times New Roman" w:eastAsia="Times New Roman" w:cs="Times New Roman"/>
        </w:rPr>
        <w:t xml:space="preserve"> </w:t>
      </w:r>
      <w:r>
        <w:rPr>
          <w:rFonts w:ascii="Sylfaen" w:hAnsi="Sylfaen" w:eastAsia="Sylfaen" w:cs="Sylfaen"/>
        </w:rPr>
        <w:t>ნიშნულს</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მადლის</w:t>
      </w:r>
      <w:r>
        <w:rPr>
          <w:rFonts w:ascii="Times New Roman" w:hAnsi="Times New Roman" w:eastAsia="Times New Roman" w:cs="Times New Roman"/>
        </w:rPr>
        <w:t xml:space="preserve"> </w:t>
      </w:r>
      <w:r>
        <w:rPr>
          <w:rFonts w:ascii="Sylfaen" w:hAnsi="Sylfaen" w:eastAsia="Sylfaen" w:cs="Sylfaen"/>
        </w:rPr>
        <w:t>დახურვასთან</w:t>
      </w:r>
      <w:r>
        <w:rPr>
          <w:rFonts w:ascii="Times New Roman" w:hAnsi="Times New Roman" w:eastAsia="Times New Roman" w:cs="Times New Roman"/>
        </w:rPr>
        <w:t xml:space="preserve"> </w:t>
      </w:r>
      <w:r>
        <w:rPr>
          <w:rFonts w:ascii="Sylfaen" w:hAnsi="Sylfaen" w:eastAsia="Sylfaen" w:cs="Sylfaen"/>
        </w:rPr>
        <w:t>დაკავშირებულ</w:t>
      </w:r>
      <w:r>
        <w:rPr>
          <w:rFonts w:ascii="Times New Roman" w:hAnsi="Times New Roman" w:eastAsia="Times New Roman" w:cs="Times New Roman"/>
        </w:rPr>
        <w:t xml:space="preserve"> </w:t>
      </w:r>
      <w:r>
        <w:rPr>
          <w:rFonts w:ascii="Sylfaen" w:hAnsi="Sylfaen" w:eastAsia="Sylfaen" w:cs="Sylfaen"/>
        </w:rPr>
        <w:t>მოვლენებს</w:t>
      </w:r>
      <w:r>
        <w:rPr>
          <w:rFonts w:ascii="Times New Roman" w:hAnsi="Times New Roman" w:eastAsia="Times New Roman" w:cs="Times New Roman"/>
        </w:rPr>
        <w:t xml:space="preserve">“ </w:t>
      </w:r>
      <w:r>
        <w:rPr>
          <w:rFonts w:ascii="Sylfaen" w:hAnsi="Sylfaen" w:eastAsia="Sylfaen" w:cs="Sylfaen"/>
        </w:rPr>
        <w:t>შეადგენს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1863 s’accorde avec le commencement de quarante années dans le désert pour l’ancien Israël littéral. À la fin des quarante années, Josué conduisit l’ancien Israël dans la Terre promise; ils firent tomber Jéricho et prononcèrent une malédiction sur quiconque rebâtirait Jéricho. En 1863, la direction de l’adventisme laodicéen rebâtit Jéricho. 1863 est représentée dans le commencement et dans la fin des quarante années dans le désert. 1863 est un repère prophétique qui relie l’histoire des lignes externes et internes de l’histoire du verset quarante. Il y a la septième Église, « une Église jugée », comme le signifie le mot « Laodicée », entrant dans une période représentée par toute une génération mourant dans le désert. Au même moment, le premier président républicain commence l’œuvre d’affranchissement des esclaves, typifiant ainsi les derniers présidents républicains qui mettront en œuvre la loi martiale dans une période de crise conduisant à ce que l’inspiration appelle « la ruine nationale ».</w:t>
      </w:r>
    </w:p>
    <w:p>
      <w:pPr>
        <w:pStyle w:val="ArticleBody"/>
        <w:jc w:val="left"/>
      </w:pPr>
      <w:r>
        <w:rPr>
          <w:rFonts w:ascii="Times New Roman" w:hAnsi="Times New Roman" w:eastAsia="Times New Roman" w:cs="Times New Roman"/>
        </w:rPr>
        <w:t>Dans les balises prophétiques du commencement sont représentées les balises prophétiques de la fin, et les événements liés à la clôture du jugement furent préfigurés par les événements liés à l’ouverture du jugement. La rébellion à Kadès, consistant à rejeter le message de Josué et de Caleb au début des quarante années, préfigurait la rébellion de Moïse frappant le Rocher à Kadès à la fin des quarante années. 1863 désigne la loi dominicale, où Laodicée est vomie de la bouche du Seigneur, où les vingt-cinq anciens à Jérusalem se prosternent devant le soleil dans Ézéchiel chapitre huit, et où Silo est répété sur ceux qui se confient dans les paroles mensongères : « Le temple de l’Éternel, c’est nous. »</w:t>
      </w:r>
    </w:p>
    <w:p>
      <w:pPr>
        <w:pStyle w:val="ArticleBody"/>
        <w:jc w:val="left"/>
      </w:pPr>
      <w:r>
        <w:rPr>
          <w:rFonts w:ascii="Times New Roman" w:hAnsi="Times New Roman" w:eastAsia="Times New Roman" w:cs="Times New Roman"/>
        </w:rPr>
        <w:t>Mă voi continua acest studiu despre Panium în articolul următor.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نمبر بارہ</dc:title>
  <dc:subject>Daniyẹli 11:40 ati Awọn Ṣiṣí Mẹ́ta ti Àsọtẹ́lẹ̀</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