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Numéro dix-neuf</w:t>
      </w:r>
    </w:p>
    <w:p>
      <w:pPr>
        <w:pStyle w:val="ArticleSubtitle"/>
        <w:jc w:val="left"/>
      </w:pPr>
      <w:r>
        <w:rPr>
          <w:rFonts w:ascii="Arial" w:hAnsi="Arial" w:eastAsia="Arial" w:cs="Arial"/>
        </w:rPr>
        <w:t>Les Grands : Antiochus, Constantin et le Dernier Président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Nirmala UI" w:hAnsi="Nirmala UI" w:eastAsia="Nirmala UI" w:cs="Nirmala UI"/>
        </w:rPr>
        <w:t>डैनियल</w:t>
      </w:r>
      <w:r>
        <w:rPr>
          <w:rFonts w:ascii="Times New Roman" w:hAnsi="Times New Roman" w:eastAsia="Times New Roman" w:cs="Times New Roman"/>
        </w:rPr>
        <w:t xml:space="preserve"> 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मूलभूत</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अनुप्रयोगों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1996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*The Time of the End* </w:t>
      </w:r>
      <w:r>
        <w:rPr>
          <w:rFonts w:ascii="Nirmala UI" w:hAnsi="Nirmala UI" w:eastAsia="Nirmala UI" w:cs="Nirmala UI"/>
        </w:rPr>
        <w:t>पत्रिका</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1831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संशोधन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जोसाया</w:t>
      </w:r>
      <w:r>
        <w:rPr>
          <w:rFonts w:ascii="Times New Roman" w:hAnsi="Times New Roman" w:eastAsia="Times New Roman" w:cs="Times New Roman"/>
        </w:rPr>
        <w:t xml:space="preserve"> </w:t>
      </w:r>
      <w:r>
        <w:rPr>
          <w:rFonts w:ascii="Nirmala UI" w:hAnsi="Nirmala UI" w:eastAsia="Nirmala UI" w:cs="Nirmala UI"/>
        </w:rPr>
        <w:t>लिच</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संशोधित</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सैमुएल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प्रचारित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द्विगुण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सदैव</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अनसील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31 </w:t>
      </w:r>
      <w:r>
        <w:rPr>
          <w:rFonts w:ascii="Nirmala UI" w:hAnsi="Nirmala UI" w:eastAsia="Nirmala UI" w:cs="Nirmala UI"/>
        </w:rPr>
        <w:t>दिसंबर</w:t>
      </w:r>
      <w:r>
        <w:rPr>
          <w:rFonts w:ascii="Times New Roman" w:hAnsi="Times New Roman" w:eastAsia="Times New Roman" w:cs="Times New Roman"/>
        </w:rPr>
        <w:t xml:space="preserve">, 2023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हुआ।</w:t>
      </w:r>
    </w:p>
    <w:p>
      <w:pPr>
        <w:pStyle w:val="ArticleBody"/>
        <w:jc w:val="left"/>
      </w:pPr>
      <w:r>
        <w:rPr>
          <w:rFonts w:ascii="Nirmala UI" w:hAnsi="Nirmala UI" w:eastAsia="Nirmala UI" w:cs="Nirmala UI"/>
        </w:rPr>
        <w:t>সেরার</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পত্রিকায়</w:t>
      </w:r>
      <w:r>
        <w:rPr>
          <w:rFonts w:ascii="Times New Roman" w:hAnsi="Times New Roman" w:eastAsia="Times New Roman" w:cs="Times New Roman"/>
        </w:rPr>
        <w:t xml:space="preserve"> </w:t>
      </w:r>
      <w:r>
        <w:rPr>
          <w:rFonts w:ascii="Nirmala UI" w:hAnsi="Nirmala UI" w:eastAsia="Nirmala UI" w:cs="Nirmala UI"/>
        </w:rPr>
        <w:t>আমেরিকার</w:t>
      </w:r>
      <w:r>
        <w:rPr>
          <w:rFonts w:ascii="Times New Roman" w:hAnsi="Times New Roman" w:eastAsia="Times New Roman" w:cs="Times New Roman"/>
        </w:rPr>
        <w:t xml:space="preserve"> </w:t>
      </w:r>
      <w:r>
        <w:rPr>
          <w:rFonts w:ascii="Nirmala UI" w:hAnsi="Nirmala UI" w:eastAsia="Nirmala UI" w:cs="Nirmala UI"/>
        </w:rPr>
        <w:t>ভবিষ্যৎ</w:t>
      </w:r>
      <w:r>
        <w:rPr>
          <w:rFonts w:ascii="Times New Roman" w:hAnsi="Times New Roman" w:eastAsia="Times New Roman" w:cs="Times New Roman"/>
        </w:rPr>
        <w:t xml:space="preserve"> </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সারসংক্ষেপ</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এগারোর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ছয়টি</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সেরার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পত্রিকাটি</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জনসমক্ষে</w:t>
      </w:r>
      <w:r>
        <w:rPr>
          <w:rFonts w:ascii="Times New Roman" w:hAnsi="Times New Roman" w:eastAsia="Times New Roman" w:cs="Times New Roman"/>
        </w:rPr>
        <w:t xml:space="preserve"> </w:t>
      </w:r>
      <w:r>
        <w:rPr>
          <w:rFonts w:ascii="Nirmala UI" w:hAnsi="Nirmala UI" w:eastAsia="Nirmala UI" w:cs="Nirmala UI"/>
        </w:rPr>
        <w:t>লিপিবদ্ধ</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দেখেনি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পত্রিকাটির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সাম্যবাদ</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ক্যাথলিক</w:t>
      </w:r>
      <w:r>
        <w:rPr>
          <w:rFonts w:ascii="Times New Roman" w:hAnsi="Times New Roman" w:eastAsia="Times New Roman" w:cs="Times New Roman"/>
        </w:rPr>
        <w:t xml:space="preserve"> </w:t>
      </w:r>
      <w:r>
        <w:rPr>
          <w:rFonts w:ascii="Nirmala UI" w:hAnsi="Nirmala UI" w:eastAsia="Nirmala UI" w:cs="Nirmala UI"/>
        </w:rPr>
        <w:t>প্রভাবাধীন</w:t>
      </w:r>
      <w:r>
        <w:rPr>
          <w:rFonts w:ascii="Times New Roman" w:hAnsi="Times New Roman" w:eastAsia="Times New Roman" w:cs="Times New Roman"/>
        </w:rPr>
        <w:t xml:space="preserve"> </w:t>
      </w:r>
      <w:r>
        <w:rPr>
          <w:rFonts w:ascii="Nirmala UI" w:hAnsi="Nirmala UI" w:eastAsia="Nirmala UI" w:cs="Nirmala UI"/>
        </w:rPr>
        <w:t>গির্জাসমূহের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সংগ্রাম</w:t>
      </w:r>
      <w:r>
        <w:rPr>
          <w:rFonts w:ascii="Times New Roman" w:hAnsi="Times New Roman" w:eastAsia="Times New Roman" w:cs="Times New Roman"/>
        </w:rPr>
        <w:t xml:space="preserve">, </w:t>
      </w:r>
      <w:r>
        <w:rPr>
          <w:rFonts w:ascii="Nirmala UI" w:hAnsi="Nirmala UI" w:eastAsia="Nirmala UI" w:cs="Nirmala UI"/>
        </w:rPr>
        <w:t>বিশেষত</w:t>
      </w:r>
      <w:r>
        <w:rPr>
          <w:rFonts w:ascii="Times New Roman" w:hAnsi="Times New Roman" w:eastAsia="Times New Roman" w:cs="Times New Roman"/>
        </w:rPr>
        <w:t xml:space="preserve"> </w:t>
      </w:r>
      <w:r>
        <w:rPr>
          <w:rFonts w:ascii="Nirmala UI" w:hAnsi="Nirmala UI" w:eastAsia="Nirmala UI" w:cs="Nirmala UI"/>
        </w:rPr>
        <w:t>ইউক্রেনে।</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সময়পর্বের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সংঘর্ষই</w:t>
      </w:r>
      <w:r>
        <w:rPr>
          <w:rFonts w:ascii="Times New Roman" w:hAnsi="Times New Roman" w:eastAsia="Times New Roman" w:cs="Times New Roman"/>
        </w:rPr>
        <w:t xml:space="preserve"> </w:t>
      </w:r>
      <w:r>
        <w:rPr>
          <w:rFonts w:ascii="Nirmala UI" w:hAnsi="Nirmala UI" w:eastAsia="Nirmala UI" w:cs="Nirmala UI"/>
        </w:rPr>
        <w:t>পুতিনের</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পতনের</w:t>
      </w:r>
      <w:r>
        <w:rPr>
          <w:rFonts w:ascii="Times New Roman" w:hAnsi="Times New Roman" w:eastAsia="Times New Roman" w:cs="Times New Roman"/>
        </w:rPr>
        <w:t xml:space="preserve"> </w:t>
      </w:r>
      <w:r>
        <w:rPr>
          <w:rFonts w:ascii="Nirmala UI" w:hAnsi="Nirmala UI" w:eastAsia="Nirmala UI" w:cs="Nirmala UI"/>
        </w:rPr>
        <w:t>প্রেক্ষাপট</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টলেমি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উজ্জিয়াহর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মন্দিরটি</w:t>
      </w:r>
      <w:r>
        <w:rPr>
          <w:rFonts w:ascii="Times New Roman" w:hAnsi="Times New Roman" w:eastAsia="Times New Roman" w:cs="Times New Roman"/>
        </w:rPr>
        <w:t xml:space="preserve"> </w:t>
      </w:r>
      <w:r>
        <w:rPr>
          <w:rFonts w:ascii="Nirmala UI" w:hAnsi="Nirmala UI" w:eastAsia="Nirmala UI" w:cs="Nirmala UI"/>
        </w:rPr>
        <w:t>উজ্জিয়াহর</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টলেমির</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পুতিন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জেলেনস্কি</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মন্দিরকে</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উপায়ে</w:t>
      </w:r>
      <w:r>
        <w:rPr>
          <w:rFonts w:ascii="Times New Roman" w:hAnsi="Times New Roman" w:eastAsia="Times New Roman" w:cs="Times New Roman"/>
        </w:rPr>
        <w:t xml:space="preserve"> </w:t>
      </w:r>
      <w:r>
        <w:rPr>
          <w:rFonts w:ascii="Nirmala UI" w:hAnsi="Nirmala UI" w:eastAsia="Nirmala UI" w:cs="Nirmala UI"/>
        </w:rPr>
        <w:t>অপবিত্র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মিশরীয়</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অন্যজন</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ইহুদি</w:t>
      </w:r>
      <w:r>
        <w:rPr>
          <w:rFonts w:ascii="Times New Roman" w:hAnsi="Times New Roman" w:eastAsia="Times New Roman" w:cs="Times New Roman"/>
        </w:rPr>
        <w:t xml:space="preserve"> </w:t>
      </w:r>
      <w:r>
        <w:rPr>
          <w:rFonts w:ascii="Nirmala UI" w:hAnsi="Nirmala UI" w:eastAsia="Nirmala UI" w:cs="Nirmala UI"/>
        </w:rPr>
        <w:t>হিসেবে।</w:t>
      </w:r>
    </w:p>
    <w:p>
      <w:pPr>
        <w:pStyle w:val="ArticleBody"/>
        <w:jc w:val="left"/>
      </w:pPr>
      <w:r>
        <w:rPr>
          <w:rFonts w:ascii="Times New Roman" w:hAnsi="Times New Roman" w:eastAsia="Times New Roman" w:cs="Times New Roman"/>
        </w:rPr>
        <w:t>Eklezia, které v roce 1989 zápasila proti králi jihu, byla katolická církev. A proč by ne? Ateismus Francie zasadil v roce 1798 králi severu smrtelnou ránu, proč by tedy papežství neoplatilo dlouhotrvající pronásledování katolické církve ze strany ateismu, zvláště na Ukrajině? Ještě významnější je, že toto jasné svědectví o Ukrajině pocházelo z publikace z roku 1996, která citovala světské historiky o dějinách roku 1989. Nyní, když Pán odpečeťuje skryté dějiny čtyřicátého verše, poukázal na zápas mezi dvěma pravoslavnými církvemi, aby poskytl prorocký a historický kontext bitvy u Rafie a jejích následků, a potřebné poznatky již zahrnul do časopisu The Time of the End, který vyšel před třiceti lety.</w:t>
      </w:r>
    </w:p>
    <w:p>
      <w:pPr>
        <w:pStyle w:val="ArticleBody"/>
        <w:jc w:val="left"/>
      </w:pPr>
      <w:r>
        <w:rPr>
          <w:rFonts w:ascii="Times New Roman" w:hAnsi="Times New Roman" w:eastAsia="Times New Roman" w:cs="Times New Roman"/>
        </w:rPr>
        <w:t>La chute de Napoléon correspond à la chute progressive de Lénine, de Staline et du système de l’Union soviétique. Lorsque le royaume prophétique du sud transféra sa capitale en Russie, il y eut deux grandes révolutions en 1917. La première est ce qu’on appelle la révolution russe, lorsque le tsar fut renversé; puis, la même année, suivit la révolution bolchevique, qui conduisit à la guerre civile de 1917 à 1922. En 1922, l’Union soviétique fut constituée.</w:t>
      </w:r>
    </w:p>
    <w:p>
      <w:pPr>
        <w:pStyle w:val="ArticleBody"/>
        <w:jc w:val="left"/>
      </w:pPr>
      <w:r>
        <w:rPr>
          <w:rFonts w:ascii="Times New Roman" w:hAnsi="Times New Roman" w:eastAsia="Times New Roman" w:cs="Times New Roman"/>
        </w:rPr>
        <w:t>Ang pagsisimula ng Russia bilang espirituwal na hari ng timog ay kumatawan sa isang rebolusyong may dalawang hakbang na humantong sa digmaang sibil, at pagkatapos ay sa pagbuo ng isang kompederasyon ng mga bansa. Ang pagbagsak ng Unyong Sobyet ay naganap din sa dalawang hakbang, na nagsimula sa pagpapabagsak ng Berlin Wall noong Nobyembre 9, 1989, na siya namang humantong sa pagbuwag ng Unyong Sobyet noong Disyembre 31, 1991. Bilang huling pinuno ng Russia, ang hari ng timog, si Vladimir Putin ay tinipong anyo ng unang pinuno ng Russia—si Vladimir Lenin.</w:t>
      </w:r>
    </w:p>
    <w:p>
      <w:pPr>
        <w:pStyle w:val="ArticleBody"/>
        <w:jc w:val="left"/>
      </w:pPr>
      <w:r>
        <w:rPr>
          <w:rFonts w:ascii="Times New Roman" w:hAnsi="Times New Roman" w:eastAsia="Times New Roman" w:cs="Times New Roman"/>
        </w:rPr>
        <w:t>Vladimir significa “um grande líder”, e Putin significa “o caminho”. Lenin significa “um grande rio”, mas Vladimir Lenin escolheu o nome Lenin para ocultar o seu verdadeiro nome, que era Vladimir Ilyich Ulyanov. Ilyich significa “filho de Elias”, e Ulyanov significa “jovem filho de Elias”.</w:t>
      </w:r>
    </w:p>
    <w:p>
      <w:pPr>
        <w:pStyle w:val="ArticleBody"/>
        <w:jc w:val="left"/>
      </w:pPr>
      <w:r>
        <w:rPr>
          <w:rFonts w:ascii="Times New Roman" w:hAnsi="Times New Roman" w:eastAsia="Times New Roman" w:cs="Times New Roman"/>
        </w:rPr>
        <w:t>Le grand dirigeant russe sur le chemin, dans l’histoire représentée par la bataille de Raphia en 217 av. J.-C., était typifié par le premier dirigeant de la Russie, lequel, en tant que Vladimir Lenin, était le grand dirigeant du puissant fleuve, mais qui cacha son nom. Un nom est un symbole de caractère, et le fait que Vladimir ait caché ses deux noms représente un caractère qui choisit un grand fleuve de pensée politique, plutôt qu’un caractère représenté par Élie, lequel signifie « Dieu est Jéhovah ». La racine de l’athéisme est la négation de Dieu, et l’athéisme est une caractéristique majeure du roi du sud. Le deuxième et le troisième prénom de Lenin mettent l’accent sur Élie et son fils, et la fin de la Russie en tant que roi du sud est représentée par Ptolémée IV, qui fut victorieux à la bataille de Raphia, mais lorsque Antiochus revint en 200 av. J.-C. à la bataille de Panium, le fils de cinq ans de Ptolémée régnait alors. Les deux noms originels de Lenin identifient Élie et son fils, et s’alignent sur Ptolémée et son fils. Élie et le message adressé à ses enfants apparaissent dans les derniers jours, juste avant « le grand et redoutable jour de l’Éternel » ; c’est là aussi que se situent les batailles de Raphia et de Panium.</w:t>
      </w:r>
    </w:p>
    <w:p>
      <w:pPr>
        <w:pStyle w:val="ArticleScripture"/>
        <w:jc w:val="left"/>
      </w:pP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भेजूँगा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फेरेगा</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4:5, 6.</w:t>
      </w:r>
    </w:p>
    <w:p>
      <w:pPr>
        <w:pStyle w:val="ArticleBody"/>
        <w:jc w:val="left"/>
      </w:pPr>
      <w:r>
        <w:rPr>
          <w:rFonts w:ascii="Nirmala UI" w:hAnsi="Nirmala UI" w:eastAsia="Nirmala UI" w:cs="Nirmala UI"/>
        </w:rPr>
        <w:t>यज्जियाह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11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यज्जियाह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11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15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250-</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457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207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लड़ाइयों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चतुर्थ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221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204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250-</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64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313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313 </w:t>
      </w:r>
      <w:r>
        <w:rPr>
          <w:rFonts w:ascii="Nirmala UI" w:hAnsi="Nirmala UI" w:eastAsia="Nirmala UI" w:cs="Nirmala UI"/>
        </w:rPr>
        <w:t>से</w:t>
      </w:r>
      <w:r>
        <w:rPr>
          <w:rFonts w:ascii="Times New Roman" w:hAnsi="Times New Roman" w:eastAsia="Times New Roman" w:cs="Times New Roman"/>
        </w:rPr>
        <w:t xml:space="preserve"> 321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330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कॉन्स्टैन्टीन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p>
    <w:p>
      <w:pPr>
        <w:pStyle w:val="ArticleBody"/>
        <w:jc w:val="left"/>
      </w:pPr>
      <w:r>
        <w:rPr>
          <w:rFonts w:ascii="Times New Roman" w:hAnsi="Times New Roman" w:eastAsia="Times New Roman" w:cs="Times New Roman"/>
        </w:rPr>
        <w:t>Dans un avenir très proche, Poutine et la Russie vaincront l’Ukraine, et les pas de Ptolémée et d’Ozias commenceront à se répéter dans l’histoire représentée par le verset douze. Les deux témoins bibliques situent la crise finale de Poutine dans une crise entre l’Église et l’État. Leur rébellion s’est manifestée au temple de Jérusalem, identifiant ainsi le temple et la religion d’Ozias comme le point de référence prophétique.</w:t>
      </w:r>
    </w:p>
    <w:p>
      <w:pPr>
        <w:pStyle w:val="ArticleBody"/>
        <w:jc w:val="left"/>
      </w:pPr>
      <w:r>
        <w:rPr>
          <w:rFonts w:ascii="Times New Roman" w:hAnsi="Times New Roman" w:eastAsia="Times New Roman" w:cs="Times New Roman"/>
        </w:rPr>
        <w:t>زەلێنسکی، کە واتای ناوی «سەوز»ە، بووکەشوشەی بێڕۆکراتە گڵۆبالیستەکانی یەکێتیی ئەوروپا و ڕێکخراوی نەتەوە یەکگرتووەکانە؛ ئەوانەی ئەجێندای گڵۆبالیستییان بە باشی لە لایەن بزووتنەوەی سیاسیی سەوز، کە دایک‌زەوی دەپەرستن، نوێنەرایەتی دەکرێت. گونجاوە کە زەلێنسکی ئەکتەر بووبێت، چونکە بە ئاشکرا نوێنەری هێزەکانی دیکەیە، و واتای ناوی، «سەوز»، ئەو فەلسەفەی سیاسییە دەناسێنێت کە جووڵەکانی لەسەر تەختەی شەترەنجی مێژووی مرۆڤایەتی ڕێبەری دەکات. ماتدان لە نزیکەوەیە بۆ زەلێنسکی.</w:t>
      </w:r>
    </w:p>
    <w:p>
      <w:pPr>
        <w:pStyle w:val="ArticleBody"/>
        <w:jc w:val="left"/>
      </w:pPr>
      <w:r>
        <w:rPr>
          <w:rFonts w:ascii="Times New Roman" w:hAnsi="Times New Roman" w:eastAsia="Times New Roman" w:cs="Times New Roman"/>
        </w:rPr>
        <w:t>Bua histuria final, la rebellió da Uzziah e Ptolemy vegn anc ina giada reproducida, dentant Ptolemy (Putin) è mort quatter onns avant la battaglia da Panium, e l’ultim regent dal retg dal sid è represchentà tras in uffant da tschintg onns che vegn manegià d’ina seria da regents corrupts e nuncumpetents.</w:t>
      </w:r>
    </w:p>
    <w:p>
      <w:pPr>
        <w:pStyle w:val="ArticleBody"/>
        <w:jc w:val="left"/>
      </w:pPr>
      <w:r>
        <w:rPr>
          <w:rFonts w:ascii="Times New Roman" w:hAnsi="Times New Roman" w:eastAsia="Times New Roman" w:cs="Times New Roman"/>
        </w:rPr>
        <w:t>بطلیموس پنجم در زمانی که در سال ۲۰۴ ق.م. به تخت سلطنت نشست—پس از مرگ رازآلود پدرش—تنها حدود ۵ تا ۶ سال داشت، و پادشاهی بطلمیوسی در دوران سلطنت او بر اثر رشته‌ای از نیابت‌های سلطنتیِ نالایق یا فاسد فلج شده بود. نیابت آغازین از ۲۰۴ تا ۲۰۲ ق.م. ادامه یافت، پس از آنکه مرگ بطلیموس چهارم پنهان نگاه داشته شد و مادر او، آرسینویه سوم، به قتل رسید. محبوبان دربار، سوسیبیوس، وزیر دیرینِ بطلیموس چهارم، و آگاتوکلس، برادرِ آگاتوکلئا، معشوقهٔ بطلیموس چهارم، خود را نایب‌السلطنه اعلام کردند. آنان وصیت‌نامه‌ای را جعل کردند یا ارائه دادند که بر پایهٔ آن خود را سرپرستان پادشاه معرفی می‌کرد، پادشاه خردسال را تحت مراقبت آگاتوکلئا و خاندان او قرار دادند، و رقیبان بالقوه را تصفیه کردند. سوسیبیوس بخش عمده‌ای از ادارهٔ امور در آغاز کار را بر عهده داشت.</w:t>
      </w:r>
    </w:p>
    <w:p>
      <w:pPr>
        <w:pStyle w:val="ArticleBody"/>
        <w:jc w:val="left"/>
      </w:pPr>
      <w:r>
        <w:rPr>
          <w:rFonts w:ascii="Times New Roman" w:hAnsi="Times New Roman" w:eastAsia="Times New Roman" w:cs="Times New Roman"/>
        </w:rPr>
        <w:t>Egy fordulat Kr. e. 202 körül következett be, amikor Agathoklész lett a meghatározó régens, ám kicsapongása és hűtlen kormányzása miatt széles körű gyűlölet övezte. Alexandriában népfelkelés tört ki, amelynek során a csőcselék kegyetlenül meglincselte őt, miközben a gyermek-király ezt névlegesen jóváhagyta. Az ezt követő régensek Tlepolemosz, Peluszion kormányzója, majd Arisztomenész voltak. Mire Kr. e. 200-ban sor került a paniumi csatára, a királyság e váltakozó régensek és udvari tanácsadók sorozatának fennhatósága alatt állt.</w:t>
      </w:r>
    </w:p>
    <w:p>
      <w:pPr>
        <w:pStyle w:val="ArticleBody"/>
        <w:jc w:val="left"/>
      </w:pPr>
      <w:r>
        <w:rPr>
          <w:rFonts w:ascii="Times New Roman" w:hAnsi="Times New Roman" w:eastAsia="Times New Roman" w:cs="Times New Roman"/>
        </w:rPr>
        <w:t>في معركة بانيوم كانت القوات البطلمية تُقاد في الميدان على يد القائد سكوباس الأيتولي، وهو قائد مرتزقة عُيِّن في ظل الوصاية، لا على يد بطليموس الخامس نفسه. ولم يكن للملك الفتي أي سلطان حقيقي؛ إذ إن القرارات، والاستراتيجية العسكرية، والضعف العام للمملكة، كانت جميعها نابعة من شلل الأوصياء، والثورات الداخلية (مثل الانتفاضات المصرية الوطنية)، ومكائد البلاط. وقد أتاح هذا الاضطراب لأنطيوخس الثالث الكبير أن يهزم سكوباس هزيمة حاسمة في بانيوم، وأن يستولي على جوف سورية، بما في ذلك اليهودية، انتزاعًا دائمًا من السيطرة البطلمية.</w:t>
      </w:r>
    </w:p>
    <w:p>
      <w:pPr>
        <w:pStyle w:val="ArticleBody"/>
        <w:jc w:val="left"/>
      </w:pPr>
      <w:r>
        <w:rPr>
          <w:rFonts w:ascii="Times New Roman" w:hAnsi="Times New Roman" w:eastAsia="Times New Roman" w:cs="Times New Roman"/>
        </w:rPr>
        <w:t>Les historiens évoquent la probabilité que la mort de Ptolémée IV ait été causée par un empoisonnement, ce qui relève également des conjectures historiques concernant Vladimir Lénine, Joseph Staline, ainsi que la reine du sud, Cléopâtre. Poutine l’emporte dans la guerre d’Ukraine, mais sa chute commence ensuite avec son désir d’instaurer de nouveau la relation de contrôle que l’Union soviétique exerçait autrefois sur l’Église ukrainienne, laquelle, lorsqu’elle fut supprimée en 1989, constitua le symbole de la victoire du roi du nord sur le roi du sud.</w:t>
      </w:r>
    </w:p>
    <w:p>
      <w:pPr>
        <w:pStyle w:val="ArticleBody"/>
        <w:jc w:val="left"/>
      </w:pP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स्लाविक</w:t>
      </w:r>
      <w:r>
        <w:rPr>
          <w:rFonts w:ascii="Times New Roman" w:hAnsi="Times New Roman" w:eastAsia="Times New Roman" w:cs="Times New Roman"/>
        </w:rPr>
        <w:t xml:space="preserve"> </w:t>
      </w:r>
      <w:r>
        <w:rPr>
          <w:rFonts w:ascii="Nirmala UI" w:hAnsi="Nirmala UI" w:eastAsia="Nirmala UI" w:cs="Nirmala UI"/>
        </w:rPr>
        <w:t>रूढ़िवादिता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जन्मभूमि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व्लादिमीर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988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कॉन्स्टेंटिनोपल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मॉस्को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रूसी</w:t>
      </w:r>
      <w:r>
        <w:rPr>
          <w:rFonts w:ascii="Times New Roman" w:hAnsi="Times New Roman" w:eastAsia="Times New Roman" w:cs="Times New Roman"/>
        </w:rPr>
        <w:t xml:space="preserve"> </w:t>
      </w:r>
      <w:r>
        <w:rPr>
          <w:rFonts w:ascii="Nirmala UI" w:hAnsi="Nirmala UI" w:eastAsia="Nirmala UI" w:cs="Nirmala UI"/>
        </w:rPr>
        <w:t>भूमियों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उत्तराधिकारी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कैनोनिकल</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संरक्षक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p>
    <w:p>
      <w:pPr>
        <w:pStyle w:val="ArticleBody"/>
        <w:jc w:val="left"/>
      </w:pPr>
      <w:r>
        <w:rPr>
          <w:rFonts w:ascii="Nirmala UI" w:hAnsi="Nirmala UI" w:eastAsia="Nirmala UI" w:cs="Nirmala UI"/>
        </w:rPr>
        <w:t>પેટ્રિયાર્કેટે</w:t>
      </w:r>
      <w:r>
        <w:rPr>
          <w:rFonts w:ascii="Times New Roman" w:hAnsi="Times New Roman" w:eastAsia="Times New Roman" w:cs="Times New Roman"/>
        </w:rPr>
        <w:t xml:space="preserve"> </w:t>
      </w:r>
      <w:r>
        <w:rPr>
          <w:rFonts w:ascii="Nirmala UI" w:hAnsi="Nirmala UI" w:eastAsia="Nirmala UI" w:cs="Nirmala UI"/>
        </w:rPr>
        <w:t>હંમેશાં</w:t>
      </w:r>
      <w:r>
        <w:rPr>
          <w:rFonts w:ascii="Times New Roman" w:hAnsi="Times New Roman" w:eastAsia="Times New Roman" w:cs="Times New Roman"/>
        </w:rPr>
        <w:t xml:space="preserve"> </w:t>
      </w:r>
      <w:r>
        <w:rPr>
          <w:rFonts w:ascii="Nirmala UI" w:hAnsi="Nirmala UI" w:eastAsia="Nirmala UI" w:cs="Nirmala UI"/>
        </w:rPr>
        <w:t>યુક્રેનને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પ્રજા</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સૂત્ર</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રશિયાથી</w:t>
      </w:r>
      <w:r>
        <w:rPr>
          <w:rFonts w:ascii="Times New Roman" w:hAnsi="Times New Roman" w:eastAsia="Times New Roman" w:cs="Times New Roman"/>
        </w:rPr>
        <w:t xml:space="preserve"> </w:t>
      </w:r>
      <w:r>
        <w:rPr>
          <w:rFonts w:ascii="Nirmala UI" w:hAnsi="Nirmala UI" w:eastAsia="Nirmala UI" w:cs="Nirmala UI"/>
        </w:rPr>
        <w:t>આધ્યાત્મિક</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અવિભાજ્ય</w:t>
      </w:r>
      <w:r>
        <w:rPr>
          <w:rFonts w:ascii="Times New Roman" w:hAnsi="Times New Roman" w:eastAsia="Times New Roman" w:cs="Times New Roman"/>
        </w:rPr>
        <w:t xml:space="preserve"> </w:t>
      </w:r>
      <w:r>
        <w:rPr>
          <w:rFonts w:ascii="Nirmala UI" w:hAnsi="Nirmala UI" w:eastAsia="Nirmala UI" w:cs="Nirmala UI"/>
        </w:rPr>
        <w:t>માન્યું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વાક્યપ્રયોગ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પુટિને</w:t>
      </w:r>
      <w:r>
        <w:rPr>
          <w:rFonts w:ascii="Times New Roman" w:hAnsi="Times New Roman" w:eastAsia="Times New Roman" w:cs="Times New Roman"/>
        </w:rPr>
        <w:t xml:space="preserve"> </w:t>
      </w:r>
      <w:r>
        <w:rPr>
          <w:rFonts w:ascii="Nirmala UI" w:hAnsi="Nirmala UI" w:eastAsia="Nirmala UI" w:cs="Nirmala UI"/>
        </w:rPr>
        <w:t>પોતે</w:t>
      </w:r>
      <w:r>
        <w:rPr>
          <w:rFonts w:ascii="Times New Roman" w:hAnsi="Times New Roman" w:eastAsia="Times New Roman" w:cs="Times New Roman"/>
        </w:rPr>
        <w:t xml:space="preserve"> </w:t>
      </w:r>
      <w:r>
        <w:rPr>
          <w:rFonts w:ascii="Nirmala UI" w:hAnsi="Nirmala UI" w:eastAsia="Nirmala UI" w:cs="Nirmala UI"/>
        </w:rPr>
        <w:t>વારંવાર</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યુક્રેન</w:t>
      </w:r>
      <w:r>
        <w:rPr>
          <w:rFonts w:ascii="Times New Roman" w:hAnsi="Times New Roman" w:eastAsia="Times New Roman" w:cs="Times New Roman"/>
        </w:rPr>
        <w:t xml:space="preserve">, </w:t>
      </w:r>
      <w:r>
        <w:rPr>
          <w:rFonts w:ascii="Nirmala UI" w:hAnsi="Nirmala UI" w:eastAsia="Nirmala UI" w:cs="Nirmala UI"/>
        </w:rPr>
        <w:t>ખાસ</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2014/2022 </w:t>
      </w:r>
      <w:r>
        <w:rPr>
          <w:rFonts w:ascii="Nirmala UI" w:hAnsi="Nirmala UI" w:eastAsia="Nirmala UI" w:cs="Nirmala UI"/>
        </w:rPr>
        <w:t>પછીથી</w:t>
      </w:r>
      <w:r>
        <w:rPr>
          <w:rFonts w:ascii="Times New Roman" w:hAnsi="Times New Roman" w:eastAsia="Times New Roman" w:cs="Times New Roman"/>
        </w:rPr>
        <w:t xml:space="preserve">, </w:t>
      </w:r>
      <w:r>
        <w:rPr>
          <w:rFonts w:ascii="Nirmala UI" w:hAnsi="Nirmala UI" w:eastAsia="Nirmala UI" w:cs="Nirmala UI"/>
        </w:rPr>
        <w:t>મોસ્કોની</w:t>
      </w:r>
      <w:r>
        <w:rPr>
          <w:rFonts w:ascii="Times New Roman" w:hAnsi="Times New Roman" w:eastAsia="Times New Roman" w:cs="Times New Roman"/>
        </w:rPr>
        <w:t xml:space="preserve"> </w:t>
      </w:r>
      <w:r>
        <w:rPr>
          <w:rFonts w:ascii="Nirmala UI" w:hAnsi="Nirmala UI" w:eastAsia="Nirmala UI" w:cs="Nirmala UI"/>
        </w:rPr>
        <w:t>દેખરેખને</w:t>
      </w:r>
      <w:r>
        <w:rPr>
          <w:rFonts w:ascii="Times New Roman" w:hAnsi="Times New Roman" w:eastAsia="Times New Roman" w:cs="Times New Roman"/>
        </w:rPr>
        <w:t xml:space="preserve"> </w:t>
      </w:r>
      <w:r>
        <w:rPr>
          <w:rFonts w:ascii="Nirmala UI" w:hAnsi="Nirmala UI" w:eastAsia="Nirmala UI" w:cs="Nirmala UI"/>
        </w:rPr>
        <w:t>સાચી</w:t>
      </w:r>
      <w:r>
        <w:rPr>
          <w:rFonts w:ascii="Times New Roman" w:hAnsi="Times New Roman" w:eastAsia="Times New Roman" w:cs="Times New Roman"/>
        </w:rPr>
        <w:t xml:space="preserve"> </w:t>
      </w:r>
      <w:r>
        <w:rPr>
          <w:rFonts w:ascii="Nirmala UI" w:hAnsi="Nirmala UI" w:eastAsia="Nirmala UI" w:cs="Nirmala UI"/>
        </w:rPr>
        <w:t>આધ્યાત્મિક</w:t>
      </w:r>
      <w:r>
        <w:rPr>
          <w:rFonts w:ascii="Times New Roman" w:hAnsi="Times New Roman" w:eastAsia="Times New Roman" w:cs="Times New Roman"/>
        </w:rPr>
        <w:t xml:space="preserve"> </w:t>
      </w:r>
      <w:r>
        <w:rPr>
          <w:rFonts w:ascii="Nirmala UI" w:hAnsi="Nirmala UI" w:eastAsia="Nirmala UI" w:cs="Nirmala UI"/>
        </w:rPr>
        <w:t>માતૃત્વતા</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વસાહતી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સામ્રાજ્યવાદી</w:t>
      </w:r>
      <w:r>
        <w:rPr>
          <w:rFonts w:ascii="Times New Roman" w:hAnsi="Times New Roman" w:eastAsia="Times New Roman" w:cs="Times New Roman"/>
        </w:rPr>
        <w:t xml:space="preserve"> </w:t>
      </w:r>
      <w:r>
        <w:rPr>
          <w:rFonts w:ascii="Nirmala UI" w:hAnsi="Nirmala UI" w:eastAsia="Nirmala UI" w:cs="Nirmala UI"/>
        </w:rPr>
        <w:t>પ્રભુત્વ</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વધુને</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ફેબ્રુઆરી</w:t>
      </w:r>
      <w:r>
        <w:rPr>
          <w:rFonts w:ascii="Times New Roman" w:hAnsi="Times New Roman" w:eastAsia="Times New Roman" w:cs="Times New Roman"/>
        </w:rPr>
        <w:t xml:space="preserve"> 2026 </w:t>
      </w:r>
      <w:r>
        <w:rPr>
          <w:rFonts w:ascii="Nirmala UI" w:hAnsi="Nirmala UI" w:eastAsia="Nirmala UI" w:cs="Nirmala UI"/>
        </w:rPr>
        <w:t>સુધીમાં</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પરસ્પર</w:t>
      </w:r>
      <w:r>
        <w:rPr>
          <w:rFonts w:ascii="Times New Roman" w:hAnsi="Times New Roman" w:eastAsia="Times New Roman" w:cs="Times New Roman"/>
        </w:rPr>
        <w:t xml:space="preserve"> </w:t>
      </w:r>
      <w:r>
        <w:rPr>
          <w:rFonts w:ascii="Nirmala UI" w:hAnsi="Nirmala UI" w:eastAsia="Nirmala UI" w:cs="Nirmala UI"/>
        </w:rPr>
        <w:t>સ્પર્ધારત</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ઑર્થોડોક્સ</w:t>
      </w:r>
      <w:r>
        <w:rPr>
          <w:rFonts w:ascii="Times New Roman" w:hAnsi="Times New Roman" w:eastAsia="Times New Roman" w:cs="Times New Roman"/>
        </w:rPr>
        <w:t xml:space="preserve"> </w:t>
      </w:r>
      <w:r>
        <w:rPr>
          <w:rFonts w:ascii="Nirmala UI" w:hAnsi="Nirmala UI" w:eastAsia="Nirmala UI" w:cs="Nirmala UI"/>
        </w:rPr>
        <w:t>માળખાં</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એમાંનું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યુક્રેનની</w:t>
      </w:r>
      <w:r>
        <w:rPr>
          <w:rFonts w:ascii="Times New Roman" w:hAnsi="Times New Roman" w:eastAsia="Times New Roman" w:cs="Times New Roman"/>
        </w:rPr>
        <w:t xml:space="preserve"> </w:t>
      </w:r>
      <w:r>
        <w:rPr>
          <w:rFonts w:ascii="Nirmala UI" w:hAnsi="Nirmala UI" w:eastAsia="Nirmala UI" w:cs="Nirmala UI"/>
        </w:rPr>
        <w:t>ઑર્થોડોક્સ</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2019</w:t>
      </w:r>
      <w:r>
        <w:rPr>
          <w:rFonts w:ascii="Nirmala UI" w:hAnsi="Nirmala UI" w:eastAsia="Nirmala UI" w:cs="Nirmala UI"/>
        </w:rPr>
        <w:t>થી</w:t>
      </w:r>
      <w:r>
        <w:rPr>
          <w:rFonts w:ascii="Times New Roman" w:hAnsi="Times New Roman" w:eastAsia="Times New Roman" w:cs="Times New Roman"/>
        </w:rPr>
        <w:t xml:space="preserve"> </w:t>
      </w:r>
      <w:r>
        <w:rPr>
          <w:rFonts w:ascii="Nirmala UI" w:hAnsi="Nirmala UI" w:eastAsia="Nirmala UI" w:cs="Nirmala UI"/>
        </w:rPr>
        <w:t>કોન્સ્ટાન્ટિનોપલના</w:t>
      </w:r>
      <w:r>
        <w:rPr>
          <w:rFonts w:ascii="Times New Roman" w:hAnsi="Times New Roman" w:eastAsia="Times New Roman" w:cs="Times New Roman"/>
        </w:rPr>
        <w:t xml:space="preserve"> </w:t>
      </w:r>
      <w:r>
        <w:rPr>
          <w:rFonts w:ascii="Nirmala UI" w:hAnsi="Nirmala UI" w:eastAsia="Nirmala UI" w:cs="Nirmala UI"/>
        </w:rPr>
        <w:t>એક્યુમેનિકલ</w:t>
      </w:r>
      <w:r>
        <w:rPr>
          <w:rFonts w:ascii="Times New Roman" w:hAnsi="Times New Roman" w:eastAsia="Times New Roman" w:cs="Times New Roman"/>
        </w:rPr>
        <w:t xml:space="preserve"> </w:t>
      </w:r>
      <w:r>
        <w:rPr>
          <w:rFonts w:ascii="Nirmala UI" w:hAnsi="Nirmala UI" w:eastAsia="Nirmala UI" w:cs="Nirmala UI"/>
        </w:rPr>
        <w:t>પેટ્રિયાર્ક</w:t>
      </w:r>
      <w:r>
        <w:rPr>
          <w:rFonts w:ascii="Times New Roman" w:hAnsi="Times New Roman" w:eastAsia="Times New Roman" w:cs="Times New Roman"/>
        </w:rPr>
        <w:t xml:space="preserve"> </w:t>
      </w:r>
      <w:r>
        <w:rPr>
          <w:rFonts w:ascii="Nirmala UI" w:hAnsi="Nirmala UI" w:eastAsia="Nirmala UI" w:cs="Nirmala UI"/>
        </w:rPr>
        <w:t>બર્થોલોમ્યુથી</w:t>
      </w:r>
      <w:r>
        <w:rPr>
          <w:rFonts w:ascii="Times New Roman" w:hAnsi="Times New Roman" w:eastAsia="Times New Roman" w:cs="Times New Roman"/>
        </w:rPr>
        <w:t xml:space="preserve"> </w:t>
      </w:r>
      <w:r>
        <w:rPr>
          <w:rFonts w:ascii="Nirmala UI" w:hAnsi="Nirmala UI" w:eastAsia="Nirmala UI" w:cs="Nirmala UI"/>
        </w:rPr>
        <w:t>સ્વતંત્ર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કીવમાં</w:t>
      </w:r>
      <w:r>
        <w:rPr>
          <w:rFonts w:ascii="Times New Roman" w:hAnsi="Times New Roman" w:eastAsia="Times New Roman" w:cs="Times New Roman"/>
        </w:rPr>
        <w:t xml:space="preserve"> </w:t>
      </w:r>
      <w:r>
        <w:rPr>
          <w:rFonts w:ascii="Nirmala UI" w:hAnsi="Nirmala UI" w:eastAsia="Nirmala UI" w:cs="Nirmala UI"/>
        </w:rPr>
        <w:t>યુક્રેનની</w:t>
      </w:r>
      <w:r>
        <w:rPr>
          <w:rFonts w:ascii="Times New Roman" w:hAnsi="Times New Roman" w:eastAsia="Times New Roman" w:cs="Times New Roman"/>
        </w:rPr>
        <w:t xml:space="preserve"> </w:t>
      </w:r>
      <w:r>
        <w:rPr>
          <w:rFonts w:ascii="Nirmala UI" w:hAnsi="Nirmala UI" w:eastAsia="Nirmala UI" w:cs="Nirmala UI"/>
        </w:rPr>
        <w:t>ઑર્થોડોક્સ</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ખરેખર</w:t>
      </w:r>
      <w:r>
        <w:rPr>
          <w:rFonts w:ascii="Times New Roman" w:hAnsi="Times New Roman" w:eastAsia="Times New Roman" w:cs="Times New Roman"/>
        </w:rPr>
        <w:t xml:space="preserve"> </w:t>
      </w:r>
      <w:r>
        <w:rPr>
          <w:rFonts w:ascii="Nirmala UI" w:hAnsi="Nirmala UI" w:eastAsia="Nirmala UI" w:cs="Nirmala UI"/>
        </w:rPr>
        <w:t>રાષ્ટ્રીય</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માનવામાં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Nirmala UI" w:hAnsi="Nirmala UI" w:eastAsia="Nirmala UI" w:cs="Nirmala UI"/>
        </w:rPr>
        <w:t>भाचा</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ऑर्थोडॉक्स</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ऑर्थोडॉक्स</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ऑर्थोडॉक्स</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ऑर्थोडॉक्स</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ज़ेलेंस्की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वेटिकन</w:t>
      </w:r>
      <w:r>
        <w:rPr>
          <w:rFonts w:ascii="Times New Roman" w:hAnsi="Times New Roman" w:eastAsia="Times New Roman" w:cs="Times New Roman"/>
        </w:rPr>
        <w:t xml:space="preserve"> </w:t>
      </w:r>
      <w:r>
        <w:rPr>
          <w:rFonts w:ascii="Nirmala UI" w:hAnsi="Nirmala UI" w:eastAsia="Nirmala UI" w:cs="Nirmala UI"/>
        </w:rPr>
        <w:t>ज़ेलेंस्की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बारहवें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سێرکى ئۆرتودۆکسىی ئۆکراین لە ڕووی مێژووییەوە بە پەیکەری مەسکۆوە پەیوەست بوو. دوای داگیرکاریی ساڵی 2022، سێرکى ئۆرتودۆکسىی ئۆکراین لە مانگی ئایاری 2022دا خۆسەربەخۆیی تەواوی خۆی ڕاگەیاند، بەڵام لێکۆڵینەوەکانی دەوڵەتی ئۆکراین (DESS) بەردەوام بانگەشەیان کردووە کە لە ڕووی کانونی و یاساییەوە هێشتا بە مەسکۆوە پەیوەستە. ئۆکراین لە ئابی 2024دا یاسایەکی پەسەند کرد (بە واژۆی زێلێنسکی) کە هەر پەیکەرێکی ئایینیی پەیوەست بە سێرکى ئۆرتودۆکسىی ڕووسیا (دەوڵەتی “داگیرکەر”) قەدەغە دەکات. فەرمان بە سێرکى ئۆرتودۆکسىی ئۆکراین کراوە کە پەیوەندییەکانی بە تەواوی ببڕێت، یان ڕووبەڕووی هەڵوەشاندنەوەی بە فەرمانی دادگا بۆ میترۆپۆلیسی کییڤ ببێتەوە. تا کۆتایی 2025 و سەرەتای 2026، هێشتا پەلامارەکان، گواستنەوەی پەڕیشەکان بۆ سێرکى ئۆرتودۆکسىی ئۆکراین (زیاتر لە 1,300 دانە لە 2022ەوە)، کەیسە دادگاییەکان، و ئاگادارکردنەوەکانی پسپۆڕانی نەتەوە یەکگرتووەکان لەسەر نیگەرانییەکانی ئازادیی ئایین سەبارەت بە سێرکى ئۆرتودۆکسىی ئۆکراین بەردەوامن.</w:t>
      </w:r>
    </w:p>
    <w:p>
      <w:pPr>
        <w:pStyle w:val="ArticleBody"/>
        <w:jc w:val="left"/>
      </w:pPr>
      <w:r>
        <w:rPr>
          <w:rFonts w:ascii="Times New Roman" w:hAnsi="Times New Roman" w:eastAsia="Times New Roman" w:cs="Times New Roman"/>
        </w:rPr>
        <w:t>Le Vatican s’est publiquement opposé à toute dissolution forcée de l’Église orthodoxe ukrainienne. La Russie et Poutine présentent cela comme une persécution manifeste de l’orthodoxie canonique et ont fait de la protection des « églises orthodoxes russes » une exigence explicite dans toute négociation de paix. La propagande russe associe constamment l’Église orthodoxe ukrainienne ainsi que les attaques de l’État ukrainien contre elle au « nazisme » et les présente comme faisant partie de leur justification de la « dénazification ».</w:t>
      </w:r>
    </w:p>
    <w:p>
      <w:pPr>
        <w:pStyle w:val="ArticleBody"/>
        <w:jc w:val="left"/>
      </w:pPr>
      <w:r>
        <w:rPr>
          <w:rFonts w:ascii="Times New Roman" w:hAnsi="Times New Roman" w:eastAsia="Times New Roman" w:cs="Times New Roman"/>
        </w:rPr>
        <w:t>Путин самонадеянно «войдёт в храм» и заявит о полном духовном владычестве над украинским православием, стремясь вновь подчинить всю церковную структуру Украины Москве и требуя признания себя законным духовным главой русского православного мира.</w:t>
      </w:r>
    </w:p>
    <w:p>
      <w:pPr>
        <w:pStyle w:val="ArticleBody"/>
        <w:jc w:val="left"/>
      </w:pPr>
      <w:r>
        <w:rPr>
          <w:rFonts w:ascii="Times New Roman" w:hAnsi="Times New Roman" w:eastAsia="Times New Roman" w:cs="Times New Roman"/>
        </w:rPr>
        <w:t>Hiki ndicho kifani sambamba hasa na Ptolemy kuingia Patakatifu pa Patakatifu, ilhali Uzia ni Zelenskyy akitafuta kufukiza uvumba. Uasi wa Ptolemy ulikuwa katika Patakatifu pa Patakatifu, na wa Uzia ulikuwa katika patakatifu. Mfalme wa kusini, akiwa amejaa ari kwa ushindi wa “mpakani,” akiukomesha utawala wa nguvu-wakala wa Unazi, kisha akivuka mipaka na kuingia mahali palipo mali ya upeo wa dini pekee. Kisha kutakuja kushushwa kwa ghafla kwa majaliwa ya Mungu, naye Putin atatoweka jukwaani (kama Ptolemy IV alivyokufa mwaka 204 KK). Baada ya ombwe la mamlaka la ‘awamu ya warithi dhaifu,’ mfalme wa kaskazini atarejea kwa nguvu zaidi na kushinda katika vita ya kisasa ya Panium katika aya ya 15.</w:t>
      </w:r>
    </w:p>
    <w:p>
      <w:pPr>
        <w:pStyle w:val="ArticleHeading"/>
        <w:jc w:val="left"/>
      </w:pPr>
      <w:r>
        <w:rPr>
          <w:rFonts w:ascii="Arial" w:hAnsi="Arial" w:eastAsia="Arial" w:cs="Arial"/>
        </w:rPr>
        <w:t>Dix-sept</w:t>
      </w:r>
    </w:p>
    <w:p>
      <w:pPr>
        <w:pStyle w:val="ArticleBody"/>
        <w:jc w:val="left"/>
      </w:pPr>
      <w:r>
        <w:rPr>
          <w:rFonts w:ascii="Times New Roman" w:hAnsi="Times New Roman" w:eastAsia="Times New Roman" w:cs="Times New Roman"/>
        </w:rPr>
        <w:t>Seventeen years apparaît à trois reprises dans l’histoire, là où les batailles de Raphia et de Panium se rejoignent, ligne sur ligne. Les dix-sept années qui vont de l’édit de Milan, où les trônes oriental et occidental de l’empire furent réunis par le mariage, jusqu’au moment où le royaume fut divisé et divorça en 330. Les dix-sept années, à leur commencement comme à leur terme, sont des balises pour deux autres périodes prophétiques apparentées. En commençant avec Néron, en l’an 64, se trouve marquée une période de persécution qui prit fin dans l’histoire de Constantin le Grand. La transition entre la période de persécution de Néron et le compromis représenté par Constantin identifie la transition de l’Église de Smyrne à l’Église de Pergame. 313 et l’édit de Milan marquent la fin de l’Église de Smyrne, et la fin de la période de dix-sept ans est l’an 330, qui fut l’accomplissement de la prophétie des trois cent soixante ans de Daniel 11:24.</w:t>
      </w:r>
    </w:p>
    <w:p>
      <w:pPr>
        <w:pStyle w:val="ArticleScripture"/>
        <w:jc w:val="left"/>
      </w:pPr>
      <w:r>
        <w:rPr>
          <w:rFonts w:ascii="Times New Roman" w:hAnsi="Times New Roman" w:eastAsia="Times New Roman" w:cs="Times New Roman"/>
        </w:rPr>
        <w:t>Izy dia hiditra amim-pilaminana eny amin’ny tany matavy indrindra amin’ny faritany; ary hataony izay tsy nataon’ny rainy, na ny rain’ny rainy; haparitany eo aminy ny babo sy ny fandrobana ary ny harena; eny, hamolavola ny tetiny hanoherana ny fiarovana mafy izy, mandritra ny fotoana iray. Daniela 11:24.</w:t>
      </w:r>
    </w:p>
    <w:p>
      <w:pPr>
        <w:pStyle w:val="ArticleBody"/>
        <w:jc w:val="left"/>
      </w:pPr>
      <w:r>
        <w:rPr>
          <w:rFonts w:ascii="Times New Roman" w:hAnsi="Times New Roman" w:eastAsia="Times New Roman" w:cs="Times New Roman"/>
        </w:rPr>
        <w:t>Ang labingpitong taon mula 313 at sa Kautusan ng Milan ay nagsisimula sa katuparan ng isang propesiya at nagtatapos sa katuparan ng isa pang propesiya. Ang unang katuparang panghula na nagmamarka ng pasimula ay tumutukoy sa paglipat mula sa iglesya ng Smyrna tungo sa iglesya ng Pergamos, at ang propesiyang nagmamarka sa katapusan ng labingpitong taong iyon ay tumutukoy sa pagkakahati ng Roma sa Silangang Roma at Kanlurang Roma. Ang labingpitong taon ay nakikilala sa pamamagitan ng kasaysayang panghula, hindi sa pamamagitan ng anumang natatanging proklamasyong labingpitong taon. Ang alpha ng pagkakabukod ng ikalawang iglesya mula sa ikatlong iglesya ay nakaayon sa pagkakahati ng imperyo sa silangan at kanluran sa katuparan ng propesiya ng panahong 360 taon. Itinatatag ng dalawang propesiyang iyon ang isang yugto ng labingpitong taon, at kinakailangang maitatag ang mga iyon bilang isang lehitimong panahong panghula batay sa patotoo ng dalawa o tatlo, kung ang labingpito ay isang balidong sagisag na panghula.</w:t>
      </w:r>
    </w:p>
    <w:p>
      <w:pPr>
        <w:pStyle w:val="ArticleBody"/>
        <w:jc w:val="left"/>
      </w:pPr>
      <w:r>
        <w:rPr>
          <w:rFonts w:ascii="Times New Roman" w:hAnsi="Times New Roman" w:eastAsia="Times New Roman" w:cs="Times New Roman"/>
        </w:rPr>
        <w:t>Tubuhudu mashahidi hao katika kipindi kingine cha miaka 250 kilichoanza mwaka 457 KK. Katika tarehe hiyo, unabii wa miaka 2,300 wa Danieli 8:14 ulianza. Mwaka 457 KK ni mwanzo wa kinabii, na alama ya njia ya kinabii iliyothibitishwa. Kuongeza miaka 250 kuelekea wakati ujao hukufikisha mwaka 207 KK, ambao ni historia iliyo kati ya vita vya Raphia na Panium. Vita vya Raphia na Panium haviwezi kutenganishwa, kwa maana vyote viwili vilipiganwa na Antioko Mkuu. Tangu vita vya Raphia mwaka 217 KK hadi vita vya Panium mwaka 200 KK ni miaka kumi na saba. Unabii wa miaka 2,300 hutambulisha badiliko la kipindi cha utawala mwanzoni, wakati amri ya tatu iliporejesha enzi kuu ya taifa ya Yuda, na kisha mwishoni kulikuwa na badiliko la kipindi cha utawala wakati Kristo alihama kutoka Patakatifu kwenda Patakatifu pa Patakatifu. Mwaka 207 KK unawakilisha badiliko la kipindi cha utawala wa Misri juu ya Uyahudi, kuelekea kipindi cha utawala wa Waseleukia juu ya nchi ya utukufu. Kipindi cha utawala wa Waseleukia juu ya nchi ya utukufu kilizalisha uasi wa Wamakabayo mwaka 167 KK.</w:t>
      </w:r>
    </w:p>
    <w:p>
      <w:pPr>
        <w:pStyle w:val="ArticleBody"/>
        <w:jc w:val="left"/>
      </w:pPr>
      <w:r>
        <w:rPr>
          <w:rFonts w:ascii="Times New Roman" w:hAnsi="Times New Roman" w:eastAsia="Times New Roman" w:cs="Times New Roman"/>
        </w:rPr>
        <w:t>250-</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नीरो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Constantine the GREAT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लड़ाइयों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250 </w:t>
      </w:r>
      <w:r>
        <w:rPr>
          <w:rFonts w:ascii="Nirmala UI" w:hAnsi="Nirmala UI" w:eastAsia="Nirmala UI" w:cs="Nirmala UI"/>
        </w:rPr>
        <w:t>वर्ष</w:t>
      </w:r>
      <w:r>
        <w:rPr>
          <w:rFonts w:ascii="Times New Roman" w:hAnsi="Times New Roman" w:eastAsia="Times New Roman" w:cs="Times New Roman"/>
        </w:rPr>
        <w:t xml:space="preserve"> Antiochus the GREAT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Ptolemy IV </w:t>
      </w:r>
      <w:r>
        <w:rPr>
          <w:rFonts w:ascii="Nirmala UI" w:hAnsi="Nirmala UI" w:eastAsia="Nirmala UI" w:cs="Nirmala UI"/>
        </w:rPr>
        <w:t>ने</w:t>
      </w:r>
      <w:r>
        <w:rPr>
          <w:rFonts w:ascii="Times New Roman" w:hAnsi="Times New Roman" w:eastAsia="Times New Roman" w:cs="Times New Roman"/>
        </w:rPr>
        <w:t xml:space="preserve"> Antiochus the Great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Ptolemy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250-</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शासक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the GREAT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250-</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सूचक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सूचक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États-Unis li bin koumansé le 4 Jiyè 1776, é 250 an pli tar sa mennen zòt ziska le 4 Jiyè 2026, kan Donald Trump, ki koni kouma sa enn ki pe rod fer l’Amérique vinn “gran”, pou selebre sa 250 an-la. 2026, parey kouma 250 an depi 457 av. J.-C., fini o milye l’histoire bann batailles modernes de Raphia ek Panium, ki koni kouma la guerre d’Ukraine ek la Troisième Guerre mondiale. Le règne d’un roi du sud, la période de la première loi du dimanche, ek la période depi la bataille de Raphia ziska Panium, fourni trois périodes de dix-sept ans ki tou reliés ar la même histoire prophétique. Trois périodes de 250 ans arrivent toutes ensemble dan les mêmes histoires prophétiques. Ces trois périodes de 250 ans établissent trois lignes de vérité prophétique avec une histoire associée à Donald Trump, représenté soit comme Constantin le Grand, soit comme Antiochus le Grand.</w:t>
      </w:r>
    </w:p>
    <w:p>
      <w:pPr>
        <w:pStyle w:val="ArticleBody"/>
        <w:jc w:val="left"/>
      </w:pPr>
      <w:r>
        <w:rPr>
          <w:rFonts w:ascii="Times New Roman" w:hAnsi="Times New Roman" w:eastAsia="Times New Roman" w:cs="Times New Roman"/>
        </w:rPr>
        <w:t>Les trois périodes de 250 ans offrent trois illustrations différentes, mais complémentaires, des derniers jours. La période de Néron met en évidence les dix-sept années d’une histoire de compromis qui correspondent parfaitement aux caractéristiques prophétiques de la formation de l’image de la bête.</w:t>
      </w:r>
    </w:p>
    <w:p>
      <w:pPr>
        <w:pStyle w:val="ArticleScripture"/>
        <w:jc w:val="left"/>
      </w:pPr>
      <w:r>
        <w:rPr>
          <w:rFonts w:ascii="Times New Roman" w:hAnsi="Times New Roman" w:eastAsia="Times New Roman" w:cs="Times New Roman"/>
        </w:rPr>
        <w:t>“Seigneur te a mostrate me clarmente que le imagine del bestia essera formate ante que le probation se clude; nam illo debe esser le grande prova pro le populo de Deo, per le qual lor destino eterne essera decidite. Tuo position es un tal confusion de inconsistentias que solmente pauc personas essera decipite.</w:t>
      </w:r>
    </w:p>
    <w:p>
      <w:pPr>
        <w:pStyle w:val="ArticleScripture"/>
        <w:jc w:val="left"/>
      </w:pPr>
      <w:r>
        <w:rPr>
          <w:rFonts w:ascii="Times New Roman" w:hAnsi="Times New Roman" w:eastAsia="Times New Roman" w:cs="Times New Roman"/>
        </w:rPr>
        <w:t>“Dalam Wahyu 13 pokok ini dikemukakan dengan jelas; [Wahyu 13:11–17, dikutip].”</w:t>
      </w:r>
    </w:p>
    <w:p>
      <w:pPr>
        <w:pStyle w:val="ArticleScripture"/>
        <w:jc w:val="left"/>
      </w:pPr>
      <w:r>
        <w:rPr>
          <w:rFonts w:ascii="Times New Roman" w:hAnsi="Times New Roman" w:eastAsia="Times New Roman" w:cs="Times New Roman"/>
        </w:rPr>
        <w:t>“Ceci est l’épreuve que le peuple de Dieu doit subir avant d’être scellé. Tous ceux qui auront prouvé leur fidélité à Dieu en observant sa loi et en refusant d’accepter un faux sabbat se rangeront sous la bannière du Seigneur Dieu Jéhovah et recevront le sceau du Dieu vivant. Ceux qui abandonnent la vérité d’origine céleste et acceptent le sabbat du dimanche recevront la marque de la bête.” Manuscript Releases, volume 15, 15.</w:t>
      </w:r>
    </w:p>
    <w:p>
      <w:pPr>
        <w:pStyle w:val="ArticleBody"/>
        <w:jc w:val="left"/>
      </w:pPr>
      <w:r>
        <w:rPr>
          <w:rFonts w:ascii="Times New Roman" w:hAnsi="Times New Roman" w:eastAsia="Times New Roman" w:cs="Times New Roman"/>
        </w:rPr>
        <w:t>L’image de la bête est l’union de l’Église et de l’État, l’Église exerçant la prééminence dans cette relation. Le compromis de Constantin, dans sa tentative de réunir le paganisme et le christianisme, est l’exemple classique du compromis des derniers jours.</w:t>
      </w:r>
    </w:p>
    <w:p>
      <w:pPr>
        <w:pStyle w:val="ArticleScripture"/>
        <w:jc w:val="left"/>
      </w:pPr>
      <w:r>
        <w:rPr>
          <w:rFonts w:ascii="Times New Roman" w:hAnsi="Times New Roman" w:eastAsia="Times New Roman" w:cs="Times New Roman"/>
        </w:rPr>
        <w:t>«در جنبش‌هایی که اکنون در ایالات متحده برای تأمین حمایت دولت از نهادها و رسوم کلیسا در جریان است، پروتستان‌ها در پیِ پای پاپ‌گرایان گام برمی‌دارند. بلکه بیش از این، آنان در را برای پاپیّت می‌گشایند تا در آمریکای پروتستان، برتری‌ای را که در دنیای قدیم از دست داده است، باز یابد. و آنچه به این جنبش اهمیت بیشتری می‌بخشد، این واقعیت است که مقصود اصلیِ مورد نظر، تحمیلِ رعایتِ یکشنبه است—رسمی که از روم سرچشمه گرفته و او آن را نشانهٔ اقتدار خویش می‌شمارد. این روحِ پاپیّت است—روحِ همنوایی با رسوم دنیوی، و حرمت نهادن به سنت‌های بشری فراتر از احکام خدا—که در کلیساهای پروتستان نفوذ می‌کند و آنان را به انجام همان کارِ برکشیدنِ یکشنبه رهبری می‌نماید که پاپیّت پیش از ایشان انجام داده است.»</w:t>
      </w:r>
    </w:p>
    <w:p>
      <w:pPr>
        <w:pStyle w:val="ArticleScripture"/>
        <w:jc w:val="left"/>
      </w:pPr>
      <w:r>
        <w:rPr>
          <w:rFonts w:ascii="Times New Roman" w:hAnsi="Times New Roman" w:eastAsia="Times New Roman" w:cs="Times New Roman"/>
        </w:rPr>
        <w:t>“Si le lecteur veut comprendre les agents qui seront employés dans le conflit imminent, il n’a qu’à retracer le récit des moyens que Rome a employés, dans les siècles passés, pour atteindre le même objectif. S’il veut savoir comment les papistes et les protestants unis traiteront ceux qui rejettent leurs dogmes, qu’il considère l’esprit que Rome a manifesté à l’égard du sabbat et de ses défenseurs. »</w:t>
      </w:r>
    </w:p>
    <w:p>
      <w:pPr>
        <w:pStyle w:val="ArticleScripture"/>
        <w:jc w:val="left"/>
      </w:pPr>
      <w:r>
        <w:rPr>
          <w:rFonts w:ascii="Times New Roman" w:hAnsi="Times New Roman" w:eastAsia="Times New Roman" w:cs="Times New Roman"/>
        </w:rPr>
        <w:t>“Décrets royaux, conciles généraux et ordonnances ecclésiastiques appuyées par le pouvoir séculier furent les étapes par lesquelles la fête païenne parvint à sa position d’honneur dans le monde chrétien. La première mesure publique imposant l’observance du dimanche fut la loi promulguée par Constantin. (A.D. 321) Cet édit prescrivait aux habitants des villes de se reposer en « le vénérable jour du soleil », mais permettait aux gens de la campagne de poursuivre leurs travaux agricoles. Bien qu’il fût, en réalité, un statut païen, il fut appliqué par l’empereur après son acceptation nominale du christianisme.” The Great Controversy, 574.</w:t>
      </w:r>
    </w:p>
    <w:p>
      <w:pPr>
        <w:pStyle w:val="ArticleBody"/>
        <w:jc w:val="left"/>
      </w:pPr>
      <w:r>
        <w:rPr>
          <w:rFonts w:ascii="Times New Roman" w:hAnsi="Times New Roman" w:eastAsia="Times New Roman" w:cs="Times New Roman"/>
        </w:rPr>
        <w:t>Die fortschreitende Kompromissbereitschaft, die zum Sonntagsgesetz führte und wiederum zu ihm führen wird, wird durch den siebzehnjährigen Zeitraum von 313 bis 330 dargestellt, wobei das erste Sonntagsgesetz von 321 den Mittelpunkt dieser Geschichte bildet. Am Anfang stand eine Vermählung von Ost und West, und am Ende die Scheidung von Ost und West. Das erste Sonntagsgesetz ist die mittlere Wegmarke, die die Rebellion darstellt, so wie der dreizehnte Buchstabe des hebräischen Alphabets, wenn ihm der erste Buchstabe vorangestellt und ihm der zweiundzwanzigste und letzte Buchstabe des Alphabets nachgestellt wird, das hebräische Wort für Wahrheit bildet. Die Vermählung am Anfang und die Scheidung am Ende kennzeichnen den Alpha-Buchstaben in Übereinstimmung mit dem Omega-Buchstaben. Der Zeitraum von 250 Jahren, der mit Nero begann, trägt die Signatur Christi, und er spricht zu einem Thema gegenwärtiger Wahrheit in den letzten Tagen.</w:t>
      </w:r>
    </w:p>
    <w:p>
      <w:pPr>
        <w:pStyle w:val="ArticleBody"/>
        <w:jc w:val="left"/>
      </w:pPr>
      <w:r>
        <w:rPr>
          <w:rFonts w:ascii="Times New Roman" w:hAnsi="Times New Roman" w:eastAsia="Times New Roman" w:cs="Times New Roman"/>
        </w:rPr>
        <w:t>457 BC-</w:t>
      </w:r>
      <w:r>
        <w:rPr>
          <w:rFonts w:ascii="Nirmala UI" w:hAnsi="Nirmala UI" w:eastAsia="Nirmala UI" w:cs="Nirmala UI"/>
        </w:rPr>
        <w:t>നോടു</w:t>
      </w:r>
      <w:r>
        <w:rPr>
          <w:rFonts w:ascii="Times New Roman" w:hAnsi="Times New Roman" w:eastAsia="Times New Roman" w:cs="Times New Roman"/>
        </w:rPr>
        <w:t xml:space="preserve"> </w:t>
      </w:r>
      <w:r>
        <w:rPr>
          <w:rFonts w:ascii="Nirmala UI" w:hAnsi="Nirmala UI" w:eastAsia="Nirmala UI" w:cs="Nirmala UI"/>
        </w:rPr>
        <w:t>ആരംഭിക്കുന്ന</w:t>
      </w:r>
      <w:r>
        <w:rPr>
          <w:rFonts w:ascii="Times New Roman" w:hAnsi="Times New Roman" w:eastAsia="Times New Roman" w:cs="Times New Roman"/>
        </w:rPr>
        <w:t xml:space="preserve"> 250-</w:t>
      </w:r>
      <w:r>
        <w:rPr>
          <w:rFonts w:ascii="Nirmala UI" w:hAnsi="Nirmala UI" w:eastAsia="Nirmala UI" w:cs="Nirmala UI"/>
        </w:rPr>
        <w:t>വർഷകാലം</w:t>
      </w:r>
      <w:r>
        <w:rPr>
          <w:rFonts w:ascii="Times New Roman" w:hAnsi="Times New Roman" w:eastAsia="Times New Roman" w:cs="Times New Roman"/>
        </w:rPr>
        <w:t xml:space="preserve">, </w:t>
      </w:r>
      <w:r>
        <w:rPr>
          <w:rFonts w:ascii="Nirmala UI" w:hAnsi="Nirmala UI" w:eastAsia="Nirmala UI" w:cs="Nirmala UI"/>
        </w:rPr>
        <w:t>റാഫിയയിൽ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പാനിയം</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വരുന്ന</w:t>
      </w:r>
      <w:r>
        <w:rPr>
          <w:rFonts w:ascii="Times New Roman" w:hAnsi="Times New Roman" w:eastAsia="Times New Roman" w:cs="Times New Roman"/>
        </w:rPr>
        <w:t xml:space="preserve"> </w:t>
      </w:r>
      <w:r>
        <w:rPr>
          <w:rFonts w:ascii="Nirmala UI" w:hAnsi="Nirmala UI" w:eastAsia="Nirmala UI" w:cs="Nirmala UI"/>
        </w:rPr>
        <w:t>പതിനേഴ്</w:t>
      </w:r>
      <w:r>
        <w:rPr>
          <w:rFonts w:ascii="Times New Roman" w:hAnsi="Times New Roman" w:eastAsia="Times New Roman" w:cs="Times New Roman"/>
        </w:rPr>
        <w:t xml:space="preserve"> </w:t>
      </w:r>
      <w:r>
        <w:rPr>
          <w:rFonts w:ascii="Nirmala UI" w:hAnsi="Nirmala UI" w:eastAsia="Nirmala UI" w:cs="Nirmala UI"/>
        </w:rPr>
        <w:t>വർഷകാലത്തിനുള്ളിൽ</w:t>
      </w:r>
      <w:r>
        <w:rPr>
          <w:rFonts w:ascii="Times New Roman" w:hAnsi="Times New Roman" w:eastAsia="Times New Roman" w:cs="Times New Roman"/>
        </w:rPr>
        <w:t xml:space="preserve"> </w:t>
      </w:r>
      <w:r>
        <w:rPr>
          <w:rFonts w:ascii="Nirmala UI" w:hAnsi="Nirmala UI" w:eastAsia="Nirmala UI" w:cs="Nirmala UI"/>
        </w:rPr>
        <w:t>നിലകൊള്ളുന്ന</w:t>
      </w:r>
      <w:r>
        <w:rPr>
          <w:rFonts w:ascii="Times New Roman" w:hAnsi="Times New Roman" w:eastAsia="Times New Roman" w:cs="Times New Roman"/>
        </w:rPr>
        <w:t xml:space="preserve"> </w:t>
      </w:r>
      <w:r>
        <w:rPr>
          <w:rFonts w:ascii="Nirmala UI" w:hAnsi="Nirmala UI" w:eastAsia="Nirmala UI" w:cs="Nirmala UI"/>
        </w:rPr>
        <w:t>ആന്റിയോകസ്</w:t>
      </w:r>
      <w:r>
        <w:rPr>
          <w:rFonts w:ascii="Times New Roman" w:hAnsi="Times New Roman" w:eastAsia="Times New Roman" w:cs="Times New Roman"/>
        </w:rPr>
        <w:t xml:space="preserve"> </w:t>
      </w:r>
      <w:r>
        <w:rPr>
          <w:rFonts w:ascii="Nirmala UI" w:hAnsi="Nirmala UI" w:eastAsia="Nirmala UI" w:cs="Nirmala UI"/>
        </w:rPr>
        <w:t>ദി</w:t>
      </w:r>
      <w:r>
        <w:rPr>
          <w:rFonts w:ascii="Times New Roman" w:hAnsi="Times New Roman" w:eastAsia="Times New Roman" w:cs="Times New Roman"/>
        </w:rPr>
        <w:t xml:space="preserve"> </w:t>
      </w:r>
      <w:r>
        <w:rPr>
          <w:rFonts w:ascii="Nirmala UI" w:hAnsi="Nirmala UI" w:eastAsia="Nirmala UI" w:cs="Nirmala UI"/>
        </w:rPr>
        <w:t>ഗ്രേറ്റ്</w:t>
      </w:r>
      <w:r>
        <w:rPr>
          <w:rFonts w:ascii="Times New Roman" w:hAnsi="Times New Roman" w:eastAsia="Times New Roman" w:cs="Times New Roman"/>
        </w:rPr>
        <w:t xml:space="preserve"> </w:t>
      </w:r>
      <w:r>
        <w:rPr>
          <w:rFonts w:ascii="Nirmala UI" w:hAnsi="Nirmala UI" w:eastAsia="Nirmala UI" w:cs="Nirmala UI"/>
        </w:rPr>
        <w:t>പ്രതിനിധാനം</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രാജ്യകാര്യകലത്തെ</w:t>
      </w:r>
      <w:r>
        <w:rPr>
          <w:rFonts w:ascii="Times New Roman" w:hAnsi="Times New Roman" w:eastAsia="Times New Roman" w:cs="Times New Roman"/>
        </w:rPr>
        <w:t xml:space="preserve"> </w:t>
      </w:r>
      <w:r>
        <w:rPr>
          <w:rFonts w:ascii="Nirmala UI" w:hAnsi="Nirmala UI" w:eastAsia="Nirmala UI" w:cs="Nirmala UI"/>
        </w:rPr>
        <w:t>ഊന്നിപ്പറയുന്നു</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രാജ്യകാര്യകലമായി</w:t>
      </w:r>
      <w:r>
        <w:rPr>
          <w:rFonts w:ascii="Times New Roman" w:hAnsi="Times New Roman" w:eastAsia="Times New Roman" w:cs="Times New Roman"/>
        </w:rPr>
        <w:t xml:space="preserve"> </w:t>
      </w:r>
      <w:r>
        <w:rPr>
          <w:rFonts w:ascii="Nirmala UI" w:hAnsi="Nirmala UI" w:eastAsia="Nirmala UI" w:cs="Nirmala UI"/>
        </w:rPr>
        <w:t>മനസ്സിലാക്കുന്നു</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457 BC-</w:t>
      </w:r>
      <w:r>
        <w:rPr>
          <w:rFonts w:ascii="Nirmala UI" w:hAnsi="Nirmala UI" w:eastAsia="Nirmala UI" w:cs="Nirmala UI"/>
        </w:rPr>
        <w:t>ൽ</w:t>
      </w:r>
      <w:r>
        <w:rPr>
          <w:rFonts w:ascii="Times New Roman" w:hAnsi="Times New Roman" w:eastAsia="Times New Roman" w:cs="Times New Roman"/>
        </w:rPr>
        <w:t xml:space="preserve"> 2,300 </w:t>
      </w:r>
      <w:r>
        <w:rPr>
          <w:rFonts w:ascii="Nirmala UI" w:hAnsi="Nirmala UI" w:eastAsia="Nirmala UI" w:cs="Nirmala UI"/>
        </w:rPr>
        <w:t>വർഷങ്ങളുടെ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പ്രവചനവും</w:t>
      </w:r>
      <w:r>
        <w:rPr>
          <w:rFonts w:ascii="Times New Roman" w:hAnsi="Times New Roman" w:eastAsia="Times New Roman" w:cs="Times New Roman"/>
        </w:rPr>
        <w:t xml:space="preserve"> </w:t>
      </w:r>
      <w:r>
        <w:rPr>
          <w:rFonts w:ascii="Nirmala UI" w:hAnsi="Nirmala UI" w:eastAsia="Nirmala UI" w:cs="Nirmala UI"/>
        </w:rPr>
        <w:t>ആരംഭിച്ചിരുന്നു</w:t>
      </w:r>
      <w:r>
        <w:rPr>
          <w:rFonts w:ascii="Times New Roman" w:hAnsi="Times New Roman" w:eastAsia="Times New Roman" w:cs="Times New Roman"/>
        </w:rPr>
        <w:t xml:space="preserve">. 2,300 </w:t>
      </w:r>
      <w:r>
        <w:rPr>
          <w:rFonts w:ascii="Nirmala UI" w:hAnsi="Nirmala UI" w:eastAsia="Nirmala UI" w:cs="Nirmala UI"/>
        </w:rPr>
        <w:t>വർഷങ്ങൾ</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വീണ്ടെടുപ്പുപണിയെ</w:t>
      </w:r>
      <w:r>
        <w:rPr>
          <w:rFonts w:ascii="Times New Roman" w:hAnsi="Times New Roman" w:eastAsia="Times New Roman" w:cs="Times New Roman"/>
        </w:rPr>
        <w:t xml:space="preserve"> </w:t>
      </w:r>
      <w:r>
        <w:rPr>
          <w:rFonts w:ascii="Nirmala UI" w:hAnsi="Nirmala UI" w:eastAsia="Nirmala UI" w:cs="Nirmala UI"/>
        </w:rPr>
        <w:t>സംബന്ധിച്ചു</w:t>
      </w:r>
      <w:r>
        <w:rPr>
          <w:rFonts w:ascii="Times New Roman" w:hAnsi="Times New Roman" w:eastAsia="Times New Roman" w:cs="Times New Roman"/>
        </w:rPr>
        <w:t xml:space="preserve"> </w:t>
      </w:r>
      <w:r>
        <w:rPr>
          <w:rFonts w:ascii="Nirmala UI" w:hAnsi="Nirmala UI" w:eastAsia="Nirmala UI" w:cs="Nirmala UI"/>
        </w:rPr>
        <w:t>സംസാരിക്കുന്ന</w:t>
      </w:r>
      <w:r>
        <w:rPr>
          <w:rFonts w:ascii="Times New Roman" w:hAnsi="Times New Roman" w:eastAsia="Times New Roman" w:cs="Times New Roman"/>
        </w:rPr>
        <w:t xml:space="preserve"> </w:t>
      </w:r>
      <w:r>
        <w:rPr>
          <w:rFonts w:ascii="Nirmala UI" w:hAnsi="Nirmala UI" w:eastAsia="Nirmala UI" w:cs="Nirmala UI"/>
        </w:rPr>
        <w:t>പ്രവചനത്തിന്റെ</w:t>
      </w:r>
      <w:r>
        <w:rPr>
          <w:rFonts w:ascii="Times New Roman" w:hAnsi="Times New Roman" w:eastAsia="Times New Roman" w:cs="Times New Roman"/>
        </w:rPr>
        <w:t xml:space="preserve"> </w:t>
      </w:r>
      <w:r>
        <w:rPr>
          <w:rFonts w:ascii="Nirmala UI" w:hAnsi="Nirmala UI" w:eastAsia="Nirmala UI" w:cs="Nirmala UI"/>
        </w:rPr>
        <w:t>ആന്തരിക</w:t>
      </w:r>
      <w:r>
        <w:rPr>
          <w:rFonts w:ascii="Times New Roman" w:hAnsi="Times New Roman" w:eastAsia="Times New Roman" w:cs="Times New Roman"/>
        </w:rPr>
        <w:t xml:space="preserve"> </w:t>
      </w:r>
      <w:r>
        <w:rPr>
          <w:rFonts w:ascii="Nirmala UI" w:hAnsi="Nirmala UI" w:eastAsia="Nirmala UI" w:cs="Nirmala UI"/>
        </w:rPr>
        <w:t>രേഖയാണ്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സഭകാര്യകലത്തിന്റെ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പ്രതീകത്തോടു</w:t>
      </w:r>
      <w:r>
        <w:rPr>
          <w:rFonts w:ascii="Times New Roman" w:hAnsi="Times New Roman" w:eastAsia="Times New Roman" w:cs="Times New Roman"/>
        </w:rPr>
        <w:t xml:space="preserve"> </w:t>
      </w:r>
      <w:r>
        <w:rPr>
          <w:rFonts w:ascii="Nirmala UI" w:hAnsi="Nirmala UI" w:eastAsia="Nirmala UI" w:cs="Nirmala UI"/>
        </w:rPr>
        <w:t>യോജിച്ചുനിൽക്കുന്നു</w:t>
      </w:r>
      <w:r>
        <w:rPr>
          <w:rFonts w:ascii="Times New Roman" w:hAnsi="Times New Roman" w:eastAsia="Times New Roman" w:cs="Times New Roman"/>
        </w:rPr>
        <w:t xml:space="preserve">. </w:t>
      </w:r>
      <w:r>
        <w:rPr>
          <w:rFonts w:ascii="Nirmala UI" w:hAnsi="Nirmala UI" w:eastAsia="Nirmala UI" w:cs="Nirmala UI"/>
        </w:rPr>
        <w:t>നീറോവിനോടു</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250-</w:t>
      </w:r>
      <w:r>
        <w:rPr>
          <w:rFonts w:ascii="Nirmala UI" w:hAnsi="Nirmala UI" w:eastAsia="Nirmala UI" w:cs="Nirmala UI"/>
        </w:rPr>
        <w:t>വർഷകാലത്തിനെപ്പോലെ</w:t>
      </w:r>
      <w:r>
        <w:rPr>
          <w:rFonts w:ascii="Times New Roman" w:hAnsi="Times New Roman" w:eastAsia="Times New Roman" w:cs="Times New Roman"/>
        </w:rPr>
        <w:t xml:space="preserve"> </w:t>
      </w:r>
      <w:r>
        <w:rPr>
          <w:rFonts w:ascii="Nirmala UI" w:hAnsi="Nirmala UI" w:eastAsia="Nirmala UI" w:cs="Nirmala UI"/>
        </w:rPr>
        <w:t>അല്ലാതെ</w:t>
      </w:r>
      <w:r>
        <w:rPr>
          <w:rFonts w:ascii="Times New Roman" w:hAnsi="Times New Roman" w:eastAsia="Times New Roman" w:cs="Times New Roman"/>
        </w:rPr>
        <w:t>, 457 BC-</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ആരംഭിക്കുന്ന</w:t>
      </w:r>
      <w:r>
        <w:rPr>
          <w:rFonts w:ascii="Times New Roman" w:hAnsi="Times New Roman" w:eastAsia="Times New Roman" w:cs="Times New Roman"/>
        </w:rPr>
        <w:t xml:space="preserve"> </w:t>
      </w:r>
      <w:r>
        <w:rPr>
          <w:rFonts w:ascii="Nirmala UI" w:hAnsi="Nirmala UI" w:eastAsia="Nirmala UI" w:cs="Nirmala UI"/>
        </w:rPr>
        <w:t>കാലഘട്ടം</w:t>
      </w:r>
      <w:r>
        <w:rPr>
          <w:rFonts w:ascii="Times New Roman" w:hAnsi="Times New Roman" w:eastAsia="Times New Roman" w:cs="Times New Roman"/>
        </w:rPr>
        <w:t xml:space="preserve"> </w:t>
      </w:r>
      <w:r>
        <w:rPr>
          <w:rFonts w:ascii="Nirmala UI" w:hAnsi="Nirmala UI" w:eastAsia="Nirmala UI" w:cs="Nirmala UI"/>
        </w:rPr>
        <w:t>അമേരിക്കയെ</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w:t>
      </w:r>
      <w:r>
        <w:rPr>
          <w:rFonts w:ascii="Nirmala UI" w:hAnsi="Nirmala UI" w:eastAsia="Nirmala UI" w:cs="Nirmala UI"/>
        </w:rPr>
        <w:t>ലോകത്തെയും</w:t>
      </w:r>
      <w:r>
        <w:rPr>
          <w:rFonts w:ascii="Times New Roman" w:hAnsi="Times New Roman" w:eastAsia="Times New Roman" w:cs="Times New Roman"/>
        </w:rPr>
        <w:t xml:space="preserve">, </w:t>
      </w:r>
      <w:r>
        <w:rPr>
          <w:rFonts w:ascii="Nirmala UI" w:hAnsi="Nirmala UI" w:eastAsia="Nirmala UI" w:cs="Nirmala UI"/>
        </w:rPr>
        <w:t>മഹത്താക്കാൻ</w:t>
      </w:r>
      <w:r>
        <w:rPr>
          <w:rFonts w:ascii="Times New Roman" w:hAnsi="Times New Roman" w:eastAsia="Times New Roman" w:cs="Times New Roman"/>
        </w:rPr>
        <w:t xml:space="preserve"> </w:t>
      </w:r>
      <w:r>
        <w:rPr>
          <w:rFonts w:ascii="Nirmala UI" w:hAnsi="Nirmala UI" w:eastAsia="Nirmala UI" w:cs="Nirmala UI"/>
        </w:rPr>
        <w:t>ശ്രമിക്കുന്ന</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പ്രസിഡന്റിന്റെ</w:t>
      </w:r>
      <w:r>
        <w:rPr>
          <w:rFonts w:ascii="Times New Roman" w:hAnsi="Times New Roman" w:eastAsia="Times New Roman" w:cs="Times New Roman"/>
        </w:rPr>
        <w:t xml:space="preserve"> </w:t>
      </w:r>
      <w:r>
        <w:rPr>
          <w:rFonts w:ascii="Nirmala UI" w:hAnsi="Nirmala UI" w:eastAsia="Nirmala UI" w:cs="Nirmala UI"/>
        </w:rPr>
        <w:t>രാഷ്ട്രീയപങ്കിനെയാണ്</w:t>
      </w:r>
      <w:r>
        <w:rPr>
          <w:rFonts w:ascii="Times New Roman" w:hAnsi="Times New Roman" w:eastAsia="Times New Roman" w:cs="Times New Roman"/>
        </w:rPr>
        <w:t xml:space="preserve"> </w:t>
      </w:r>
      <w:r>
        <w:rPr>
          <w:rFonts w:ascii="Nirmala UI" w:hAnsi="Nirmala UI" w:eastAsia="Nirmala UI" w:cs="Nirmala UI"/>
        </w:rPr>
        <w:t>അഭിസംബോധന</w:t>
      </w:r>
      <w:r>
        <w:rPr>
          <w:rFonts w:ascii="Times New Roman" w:hAnsi="Times New Roman" w:eastAsia="Times New Roman" w:cs="Times New Roman"/>
        </w:rPr>
        <w:t xml:space="preserve"> </w:t>
      </w:r>
      <w:r>
        <w:rPr>
          <w:rFonts w:ascii="Nirmala UI" w:hAnsi="Nirmala UI" w:eastAsia="Nirmala UI" w:cs="Nirmala UI"/>
        </w:rPr>
        <w:t>ചെയ്യുന്നത്</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ആയിരം</w:t>
      </w:r>
      <w:r>
        <w:rPr>
          <w:rFonts w:ascii="Times New Roman" w:hAnsi="Times New Roman" w:eastAsia="Times New Roman" w:cs="Times New Roman"/>
        </w:rPr>
        <w:t xml:space="preserve"> </w:t>
      </w:r>
      <w:r>
        <w:rPr>
          <w:rFonts w:ascii="Nirmala UI" w:hAnsi="Nirmala UI" w:eastAsia="Nirmala UI" w:cs="Nirmala UI"/>
        </w:rPr>
        <w:t>വർഷത്തെ</w:t>
      </w:r>
      <w:r>
        <w:rPr>
          <w:rFonts w:ascii="Times New Roman" w:hAnsi="Times New Roman" w:eastAsia="Times New Roman" w:cs="Times New Roman"/>
        </w:rPr>
        <w:t xml:space="preserve"> </w:t>
      </w:r>
      <w:r>
        <w:rPr>
          <w:rFonts w:ascii="Nirmala UI" w:hAnsi="Nirmala UI" w:eastAsia="Nirmala UI" w:cs="Nirmala UI"/>
        </w:rPr>
        <w:t>സമാധാനത്തിന്റെ</w:t>
      </w:r>
      <w:r>
        <w:rPr>
          <w:rFonts w:ascii="Times New Roman" w:hAnsi="Times New Roman" w:eastAsia="Times New Roman" w:cs="Times New Roman"/>
        </w:rPr>
        <w:t xml:space="preserve"> </w:t>
      </w:r>
      <w:r>
        <w:rPr>
          <w:rFonts w:ascii="Nirmala UI" w:hAnsi="Nirmala UI" w:eastAsia="Nirmala UI" w:cs="Nirmala UI"/>
        </w:rPr>
        <w:t>സ്വർണ്ണയുഗമെന്ന</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കത്തോലിക്കാ</w:t>
      </w:r>
      <w:r>
        <w:rPr>
          <w:rFonts w:ascii="Times New Roman" w:hAnsi="Times New Roman" w:eastAsia="Times New Roman" w:cs="Times New Roman"/>
        </w:rPr>
        <w:t xml:space="preserve"> </w:t>
      </w:r>
      <w:r>
        <w:rPr>
          <w:rFonts w:ascii="Nirmala UI" w:hAnsi="Nirmala UI" w:eastAsia="Nirmala UI" w:cs="Nirmala UI"/>
        </w:rPr>
        <w:t>ആശയം</w:t>
      </w:r>
      <w:r>
        <w:rPr>
          <w:rFonts w:ascii="Times New Roman" w:hAnsi="Times New Roman" w:eastAsia="Times New Roman" w:cs="Times New Roman"/>
        </w:rPr>
        <w:t xml:space="preserve"> </w:t>
      </w:r>
      <w:r>
        <w:rPr>
          <w:rFonts w:ascii="Nirmala UI" w:hAnsi="Nirmala UI" w:eastAsia="Nirmala UI" w:cs="Nirmala UI"/>
        </w:rPr>
        <w:t>പ്രചരിപ്പിച്ചുകൊണ്ടിരിക്കെ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Leta 250 tsa United States, e leng sebata sa lefatshe sa Tshenolo kgaolo ya leshome le metso e meraro, di supa pheletso ya mmuso wa botshelela wa boporofeta ba Baebele, o fedelang moo o qadileng teng, hara ntwa. Bafenyi ba histori ke bona ba hlalosang tlaleho ya histori e bolokilweng. Ba-Democrat ba fuputswang matla ke drakone ya ba-globalist ba nka moferefere wa jwale e le phetohelo, athe ba-Republican ba buang haholo empa ba sa etse letho ba nka histori ena ya jwale e le ntwa ya lehae. Ba-Democrat ke baemedi ba drakone ya boporofeta ba Baebele, mme ba-Republican ba emetswe e le Baprotestanta ba bakgelohi, kapa ka mantswe a Johanne ho Tshenolo kgaolo ya leshome le metso e tsheletseng, ke moporofeta wa bohata. United States e qadile ka ntwa ya phetohelo, mme e fela ka ntwa ya phetohelo. Mokga wa Republican o qadile ka ntwa ya lehae, mme o fela ka ntwa ya lehae. Ba-Republican ba bona ntwa ya lehae eo ba-Democrat ba e bitsang phetohelo.</w:t>
      </w:r>
    </w:p>
    <w:p>
      <w:pPr>
        <w:pStyle w:val="ArticleBody"/>
        <w:jc w:val="left"/>
      </w:pPr>
      <w:r>
        <w:rPr>
          <w:rFonts w:ascii="Times New Roman" w:hAnsi="Times New Roman" w:eastAsia="Times New Roman" w:cs="Times New Roman"/>
        </w:rPr>
        <w:t>Trump, als der letzte republikanische Präsident, besitzt die prophetischen Merkmale des ersten republikanischen Präsidenten, der in der äußeren Geschichte des Bürgerkriegs auftrat. Lincolns äußerer Bürgerkrieg war zugleich die innere Geschichte der Prophezeiung Jesajas in Kapitel sieben, Vers acht, die im Jahr 1863 endete, eben in dem Jahr der Emanzipationsproklamation. Die Unterscheidung zwischen den beiden Parteien ist ein vorrangiger und grundlegender prophetischer Grundsatz. Er begann mit Kain und Abel, die zur Zeit Christi durch die Sadduzäer und die Pharisäer dargestellt wurden, zwei Klassen Kains, die einen Abel ermorden sollten.</w:t>
      </w:r>
    </w:p>
    <w:p>
      <w:pPr>
        <w:pStyle w:val="ArticleBody"/>
        <w:jc w:val="left"/>
      </w:pP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सदूकी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r>
        <w:rPr>
          <w:rFonts w:ascii="Nirmala UI" w:hAnsi="Nirmala UI" w:eastAsia="Nirmala UI" w:cs="Nirmala UI"/>
        </w:rPr>
        <w:t>भिन्न</w:t>
      </w:r>
      <w:r>
        <w:rPr>
          <w:rFonts w:ascii="Times New Roman" w:hAnsi="Times New Roman" w:eastAsia="Times New Roman" w:cs="Times New Roman"/>
        </w:rPr>
        <w:t>-</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पक्षपाती</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फरीसियों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सदूकियों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फरीसियों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पंथ</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परिदृश्य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नियंत्रण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डेमोक्रेट</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सबके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p>
    <w:p>
      <w:pPr>
        <w:pStyle w:val="ArticleBody"/>
        <w:jc w:val="left"/>
      </w:pPr>
      <w:r>
        <w:rPr>
          <w:rFonts w:ascii="Times New Roman" w:hAnsi="Times New Roman" w:eastAsia="Times New Roman" w:cs="Times New Roman"/>
        </w:rPr>
        <w:t>Chini ya jua hakuna jambo jipya, na vyama viwili vya siasa katika Marekani ni sehemu ya mandhari ya unabii kwa kadiri ileile ambayo Mafarisayo na Masadukayo walikuwa. Bila shaka zipo sambamba nyingine nyingi katika mstari huu wa unabii, lakini ni pale tu unapoona uhusiano wa kiunabii wa mamlaka zile mbili zisizo takatifu, ambazo, ijapokuwa ni maadui, huungana dhidi ya utakatifu, ndipo unapomwona Ptolemy na Uzia katika nuru iliyo sawa. Wafalme wote wawili wa kusini walijaribu kutoa dhabihu katika hekalu lilelile, lakini Ptolemy, kutoka Misri, anawakilisha mamlaka ya joka—Democrats. Uzia, akiwa mfalme wa Yudea, ndiye kiongozi wa nchi ya utukufu, ambaye ni Uprotestanti ulioasi, au nabii wa uongo—the Republicans.</w:t>
      </w:r>
    </w:p>
    <w:p>
      <w:pPr>
        <w:pStyle w:val="ArticleBody"/>
        <w:jc w:val="left"/>
      </w:pPr>
      <w:r>
        <w:rPr>
          <w:rFonts w:ascii="Times New Roman" w:hAnsi="Times New Roman" w:eastAsia="Times New Roman" w:cs="Times New Roman"/>
        </w:rPr>
        <w:t>Le lien entre le dragon et le faux prophète est classiquement représenté au mont Carmel. Sur cette montagne, Achab représentait le dragon, et les prophètes de Baal et d’Astarté de Jézabel représentaient les faux prophètes qui se dressaient contre Élie. La bête qu’est Jézabel demeurait encore en arrière-plan, à Samarie. Le dragon uni au faux prophète fut aussi représenté par l’union de la Rome païenne et des Juifs à la croix, comme le sera l’union des Démocrates et des Républicains lors de la loi dominicale. Les éléments d’une puissance unifiée sont représentés par les Démocrates et les Républicains au sein de la corne républicaine de la bête de la terre. Ces deux pouvoirs politiques impies sont représentés par Caïn, et la lignée d’Abel possède elle aussi une division double.</w:t>
      </w:r>
    </w:p>
    <w:p>
      <w:pPr>
        <w:pStyle w:val="ArticleBody"/>
        <w:jc w:val="left"/>
      </w:pP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आहिलकी</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रेखाक</w:t>
      </w:r>
      <w:r>
        <w:rPr>
          <w:rFonts w:ascii="Times New Roman" w:hAnsi="Times New Roman" w:eastAsia="Times New Roman" w:cs="Times New Roman"/>
        </w:rPr>
        <w:t xml:space="preserve"> </w:t>
      </w:r>
      <w:r>
        <w:rPr>
          <w:rFonts w:ascii="Nirmala UI" w:hAnsi="Nirmala UI" w:eastAsia="Nirmala UI" w:cs="Nirmala UI"/>
        </w:rPr>
        <w:t>संबंधमे</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कहल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आओर</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वर्गक</w:t>
      </w:r>
      <w:r>
        <w:rPr>
          <w:rFonts w:ascii="Times New Roman" w:hAnsi="Times New Roman" w:eastAsia="Times New Roman" w:cs="Times New Roman"/>
        </w:rPr>
        <w:t xml:space="preserve"> </w:t>
      </w:r>
      <w:r>
        <w:rPr>
          <w:rFonts w:ascii="Nirmala UI" w:hAnsi="Nirmala UI" w:eastAsia="Nirmala UI" w:cs="Nirmala UI"/>
        </w:rPr>
        <w:t>कुँवारीसभ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सींगक</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प्रगति</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शुद्धीकरणक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श्रृंखलाद्वारा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सार्दिसक</w:t>
      </w:r>
      <w:r>
        <w:rPr>
          <w:rFonts w:ascii="Times New Roman" w:hAnsi="Times New Roman" w:eastAsia="Times New Roman" w:cs="Times New Roman"/>
        </w:rPr>
        <w:t xml:space="preserve"> </w:t>
      </w:r>
      <w:r>
        <w:rPr>
          <w:rFonts w:ascii="Nirmala UI" w:hAnsi="Nirmala UI" w:eastAsia="Nirmala UI" w:cs="Nirmala UI"/>
        </w:rPr>
        <w:t>कलीसियासँ</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भविष्यवाणीमे</w:t>
      </w:r>
      <w:r>
        <w:rPr>
          <w:rFonts w:ascii="Times New Roman" w:hAnsi="Times New Roman" w:eastAsia="Times New Roman" w:cs="Times New Roman"/>
        </w:rPr>
        <w:t xml:space="preserve"> </w:t>
      </w:r>
      <w:r>
        <w:rPr>
          <w:rFonts w:ascii="Nirmala UI" w:hAnsi="Nirmala UI" w:eastAsia="Nirmala UI" w:cs="Nirmala UI"/>
        </w:rPr>
        <w:t>छैठम</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बनल।</w:t>
      </w:r>
      <w:r>
        <w:rPr>
          <w:rFonts w:ascii="Times New Roman" w:hAnsi="Times New Roman" w:eastAsia="Times New Roman" w:cs="Times New Roman"/>
        </w:rPr>
        <w:t xml:space="preserve"> </w:t>
      </w:r>
      <w:r>
        <w:rPr>
          <w:rFonts w:ascii="Nirmala UI" w:hAnsi="Nirmala UI" w:eastAsia="Nirmala UI" w:cs="Nirmala UI"/>
        </w:rPr>
        <w:t>सार्दिस</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होएबाक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1798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सम्प्रदायसभ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कलीसियासँ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पहिनेसँ</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एण्टिओकमे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मसीहीसभ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कहल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p>
    <w:p>
      <w:pPr>
        <w:pStyle w:val="ArticleScripture"/>
        <w:jc w:val="left"/>
      </w:pPr>
      <w:r>
        <w:rPr>
          <w:rFonts w:ascii="Times New Roman" w:hAnsi="Times New Roman" w:eastAsia="Times New Roman" w:cs="Times New Roman"/>
        </w:rPr>
        <w:t>«Անտիոքիայում էր, որ աշակերտները նախ կոչվեցին քրիստոնյաներ։ Այդ անունը նրանց տրվեց, որովհետև Քրիստոսը նրանց քարոզության, նրանց ուսուցման և նրանց խոսակցության գլխավոր թեման էր։ Անընդհատ նրանք վերհիշում էին այն դեպքերը, որ տեղի էին ունեցել Նրա երկրային ծառայության օրերին, երբ Նրա աշակերտները օրհնված էին Նրա անձնական ներկայությամբ։ Անհոգնաբար նրանք կանգ էին առնում Նրա ուսմունքների և Նրա բժշկության հրաշքների վրա։ Դողդոջուն շուրթերով և արցունքալից աչքերով նրանք խոսում էին պարտեզում Նրա տառապանքի, Նրա մատնության, դատաստանի և մահապատժի մասին, այն համբերատարության և խոնարհության մասին, որով Նա կրել էր այն նախատինքն ու տանջանքները, որ Իր վրա էին դրել Իր թշնամիները, և այն աստվածային գթության մասին, որով Նա աղոթել էր Իրեն հալածողների համար։ Նրա հարությունը և համբարձումը, և երկնքում Նրա գործը՝ որպես ընկած մարդու Բարեխոսի, այն թեմաներն էին, որոնց վրա նրանք ուրախությամբ սիրում էին կանգ առնել։ Իրավամբ կարող էին հեթանոսները նրանց քրիստոնյաներ կոչել, որովհետև նրանք քարոզում էին Քրիստոսին և Իր միջոցով էին իրենց աղոթքները հասցնում Աստծուն։»</w:t>
      </w:r>
    </w:p>
    <w:p>
      <w:pPr>
        <w:pStyle w:val="ArticleScripture"/>
        <w:jc w:val="left"/>
      </w:pPr>
      <w:r>
        <w:rPr>
          <w:rFonts w:ascii="Times New Roman" w:hAnsi="Times New Roman" w:eastAsia="Times New Roman" w:cs="Times New Roman"/>
        </w:rPr>
        <w:t>“Füür där Naame het Gott ihne dr Naame vo Christe gee. Das isch e chünigleche Naame, gee all dene, wo sich Christus aaschlüüssed. Vo däm Naame het Jakobus spööter gschribe: ‘Unterdrücked euch nid di Riiche und ziehed si euch nid vor d’Gricht? Lästered si nid dä würdige Naame, mit däm ihr gnennt sind?’ Jakobus 2:6, 7. Und Petrus het erklärt: ‘Wenn öpper als Christ liidet, söll er sich nid schäme; vielmehr söll er Gott dessentwäge verherrliche.’ ‘Wenn ihr um des Naames Christi wille gschmäht werded, glückselig sind ihr; denn dr Geist vo dr Herrlichkeit und vo Gott ruht uf euch.’ 1 Petrus 4:16, 14.” Taten der Apostel, 157.</w:t>
      </w:r>
    </w:p>
    <w:p>
      <w:pPr>
        <w:pStyle w:val="ArticleBody"/>
        <w:jc w:val="left"/>
      </w:pPr>
      <w:r>
        <w:rPr>
          <w:rFonts w:ascii="Times New Roman" w:hAnsi="Times New Roman" w:eastAsia="Times New Roman" w:cs="Times New Roman"/>
        </w:rPr>
        <w:t>Kanisa la Efeso lilipewa jina la Kikristo, ambalo lilipelekea kanisa lililoteswa la Smirna, na hilo likafuatwa na kanisa la maafikiano katika historia ya Pergamo. Upapa ulipochukua kiti cha enzi, utengano ulilitambulisha kanisa la kweli la Mungu kuwa ndilo kanisa lililo jangwani. Kanisa la Kirumi lilikuwa Thiatira. Mwishoni mwa kipindi cha jangwani cha miaka elfu moja mia mbili sitini, kanisa la Uprotestanti likatokea, na tangu wakati huo na kuendelea pembe ya Kiprotestanti inawakilishwa kwa mfululizo wa kimungu wa majaribu na utakaso.</w:t>
      </w:r>
    </w:p>
    <w:p>
      <w:pPr>
        <w:pStyle w:val="ArticleBody"/>
        <w:jc w:val="left"/>
      </w:pPr>
      <w:r>
        <w:rPr>
          <w:rFonts w:ascii="Times New Roman" w:hAnsi="Times New Roman" w:eastAsia="Times New Roman" w:cs="Times New Roman"/>
        </w:rPr>
        <w:t>پروتستانتیسم در سال 1517، هنگامی آغاز شد که مارتین لوتر نود و پنج تز خود را بر در کوبید، و «23» سال بعد، در سال 1540، فرقهٔ یسوعی آغاز گردید. در سال 2013، نود و پنجمین و آخرین ارائهٔ جداول حبقوق بر در کوبیده شد، و در 13 مارس 2013، نخستین پاپ یسوعی بر مسند نشست. مارتین لوتر نیز در همان تاریخ به‌وسیلهٔ پاپ لئو تکفیر شد. خود دانید…</w:t>
      </w:r>
    </w:p>
    <w:p>
      <w:pPr>
        <w:pStyle w:val="ArticleBody"/>
        <w:jc w:val="left"/>
      </w:pPr>
      <w:r>
        <w:rPr>
          <w:rFonts w:ascii="Times New Roman" w:hAnsi="Times New Roman" w:eastAsia="Times New Roman" w:cs="Times New Roman"/>
        </w:rPr>
        <w:t>Em 1798, a igreja de Sardes professava sustentar o nome de “Protestante”, mas, ao regressar a Roma, já deixava de sustentar o seu nome. Quando o Adventismo Milerita tomou a tocha do Protestantismo em 1844, representou uma repreensão contra Jeroboão, o primeiro rei de Israel, uma nação cujos membros eram parentes de sangue da tribo de Judá, onde Deus havia colocado o Seu templo. Jeroboão estabeleceu uma falsificação, baseada na religião que representava a antiga servidão da sua nação. Ele repetiu a rebelião fundamental de Arão ao erguer a imagem de uma besta, com todo o significado profético associado à narrativa. Mas, no seu serviço de dedicação, o Adventismo Milerita repreendeu a sua recusa em continuar a dirigir a verdadeira adoração ao santuário onde Deus habita. Jeroboão queria que o foco da adoração estivesse em Betel e Dã, representando aqueles de Sardes, em 1844, que se recusaram a seguir Cristo para o Lugar Santíssimo.</w:t>
      </w:r>
    </w:p>
    <w:p>
      <w:pPr>
        <w:pStyle w:val="ArticleBody"/>
        <w:jc w:val="left"/>
      </w:pPr>
      <w:r>
        <w:rPr>
          <w:rFonts w:ascii="Times New Roman" w:hAnsi="Times New Roman" w:eastAsia="Times New Roman" w:cs="Times New Roman"/>
        </w:rPr>
        <w:t>Millerite Adventism, tahkhawmna chungchanga lo dik lo an ni tih Miller-a thuchah an hnawl avanga pho lan tawh an ni zawng zawngte’n an zirtîrna thutakte hman tûra lo thlangin, an hnawlna tihfel tûrin Rome sakhua lamah kîr lehna a thlang a. Seven times hrilhlâwkna thuchah an hnawlna chu tihfel tûrin, chû miho chu an theology zirtîrtute anga an chhawr a. Millerite Adventism chuan, zâwlnei thuâwih lo ang khân, Pathian hruaina zui lovin anmahni kawng an thlang. Hrilhlâwkna chanchina Protestant Reformation aṭanga lo kal zêlah, fim leh âtlam nghâk tûr hmeichhiate fiahna leh tihthianghlimna zawng zawngah, âtlamte’n an thlan tâk kawng chu, i chhuahchhuah tawh ram biakna lamah kîr lehna kawng a ni a; an sawi angin, “kawng zawng zawng chu Rome-ah a hruai.” Jeremiah-a kawng hlui lo ni lo chu.</w:t>
      </w:r>
    </w:p>
    <w:p>
      <w:pPr>
        <w:pStyle w:val="ArticleBody"/>
        <w:jc w:val="left"/>
      </w:pPr>
      <w:r>
        <w:rPr>
          <w:rFonts w:ascii="Times New Roman" w:hAnsi="Times New Roman" w:eastAsia="Times New Roman" w:cs="Times New Roman"/>
        </w:rPr>
        <w:t>Reformasi Protestan telah dilambangkan oleh kembalinya Musa ke Mesir untuk menuntun umat Allah masuk ke Tanah Perjanjian. Setelah keluar dari negeri perbudakan, Allah bermaksud memberikan hukum-Nya kepada umat pilihan-Nya. Dalam garis Musa dan Reformasi Protestan, pemberontakan dinyatakan segera setelah pembebasan. Allah menguji Sardis, suatu umat yang mengaku mempunyai nama bahwa mereka hidup, tetapi mereka mati pada waktu pekabaran William Miller. Dua penyucian terjadi pada tahun 1844; yang pertama ialah penyucian gereja Sardis, yang telah mengaku sebagai Protestan, tetapi terbukti mati; dan kemudian kaum Millerit disucikan pada tahun yang sama, sebagai penggenapan perumpamaan tentang sepuluh gadis.</w:t>
      </w:r>
    </w:p>
    <w:p>
      <w:pPr>
        <w:pStyle w:val="ArticleBody"/>
        <w:jc w:val="left"/>
      </w:pPr>
      <w:r>
        <w:rPr>
          <w:rFonts w:ascii="Times New Roman" w:hAnsi="Times New Roman" w:eastAsia="Times New Roman" w:cs="Times New Roman"/>
        </w:rPr>
        <w:t>The Democrats and Republicans represent two political classes that together make up the Republican horn on the earth beast of Revelation thirteen. The wise and foolish virgins are two religious classes that together make up the Protestant horn on the earth beast. The wise virgins possess the first name given at Antioch. The wise virgins are Christians, but they are also Philadelphians who have the promise of receiving a name.</w:t>
      </w:r>
    </w:p>
    <w:p>
      <w:pPr>
        <w:pStyle w:val="ArticleScripture"/>
        <w:jc w:val="left"/>
      </w:pPr>
      <w:r>
        <w:rPr>
          <w:rFonts w:ascii="Times New Roman" w:hAnsi="Times New Roman" w:eastAsia="Times New Roman" w:cs="Times New Roman"/>
        </w:rPr>
        <w:t>Celui qui vaincra, je ferai de lui une colonne dans le temple de mon Dieu, et il n’en sortira plus; j’écrirai sur lui le nom de mon Dieu, et le nom de la cité de mon Dieu, la nouvelle Jérusalem, qui descend du ciel d’auprès de mon Dieu; et j’écrirai sur lui mon nom nouveau. Apocalypse 3:12.</w:t>
      </w:r>
    </w:p>
    <w:p>
      <w:pPr>
        <w:pStyle w:val="ArticleBody"/>
        <w:jc w:val="left"/>
      </w:pPr>
      <w:r>
        <w:rPr>
          <w:rFonts w:ascii="Sylfaen" w:hAnsi="Sylfaen" w:eastAsia="Sylfaen" w:cs="Sylfaen"/>
        </w:rPr>
        <w:t>პირველად</w:t>
      </w:r>
      <w:r>
        <w:rPr>
          <w:rFonts w:ascii="Times New Roman" w:hAnsi="Times New Roman" w:eastAsia="Times New Roman" w:cs="Times New Roman"/>
        </w:rPr>
        <w:t xml:space="preserve"> </w:t>
      </w:r>
      <w:r>
        <w:rPr>
          <w:rFonts w:ascii="Sylfaen" w:hAnsi="Sylfaen" w:eastAsia="Sylfaen" w:cs="Sylfaen"/>
        </w:rPr>
        <w:t>ღმერთმა</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ხალხს</w:t>
      </w:r>
      <w:r>
        <w:rPr>
          <w:rFonts w:ascii="Times New Roman" w:hAnsi="Times New Roman" w:eastAsia="Times New Roman" w:cs="Times New Roman"/>
        </w:rPr>
        <w:t xml:space="preserve"> </w:t>
      </w:r>
      <w:r>
        <w:rPr>
          <w:rFonts w:ascii="Sylfaen" w:hAnsi="Sylfaen" w:eastAsia="Sylfaen" w:cs="Sylfaen"/>
        </w:rPr>
        <w:t>ქრისტიანი</w:t>
      </w:r>
      <w:r>
        <w:rPr>
          <w:rFonts w:ascii="Times New Roman" w:hAnsi="Times New Roman" w:eastAsia="Times New Roman" w:cs="Times New Roman"/>
        </w:rPr>
        <w:t xml:space="preserve"> </w:t>
      </w:r>
      <w:r>
        <w:rPr>
          <w:rFonts w:ascii="Sylfaen" w:hAnsi="Sylfaen" w:eastAsia="Sylfaen" w:cs="Sylfaen"/>
        </w:rPr>
        <w:t>ანტიოქიაში</w:t>
      </w:r>
      <w:r>
        <w:rPr>
          <w:rFonts w:ascii="Times New Roman" w:hAnsi="Times New Roman" w:eastAsia="Times New Roman" w:cs="Times New Roman"/>
        </w:rPr>
        <w:t xml:space="preserve"> </w:t>
      </w:r>
      <w:r>
        <w:rPr>
          <w:rFonts w:ascii="Sylfaen" w:hAnsi="Sylfaen" w:eastAsia="Sylfaen" w:cs="Sylfaen"/>
        </w:rPr>
        <w:t>უწოდა</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ისტორია</w:t>
      </w:r>
      <w:r>
        <w:rPr>
          <w:rFonts w:ascii="Times New Roman" w:hAnsi="Times New Roman" w:eastAsia="Times New Roman" w:cs="Times New Roman"/>
        </w:rPr>
        <w:t xml:space="preserve">, </w:t>
      </w:r>
      <w:r>
        <w:rPr>
          <w:rFonts w:ascii="Sylfaen" w:hAnsi="Sylfaen" w:eastAsia="Sylfaen" w:cs="Sylfaen"/>
        </w:rPr>
        <w:t>რომელშიც</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ორმოცდაოთხი</w:t>
      </w:r>
      <w:r>
        <w:rPr>
          <w:rFonts w:ascii="Times New Roman" w:hAnsi="Times New Roman" w:eastAsia="Times New Roman" w:cs="Times New Roman"/>
        </w:rPr>
        <w:t xml:space="preserve"> </w:t>
      </w:r>
      <w:r>
        <w:rPr>
          <w:rFonts w:ascii="Sylfaen" w:hAnsi="Sylfaen" w:eastAsia="Sylfaen" w:cs="Sylfaen"/>
        </w:rPr>
        <w:t>ათასის</w:t>
      </w:r>
      <w:r>
        <w:rPr>
          <w:rFonts w:ascii="Times New Roman" w:hAnsi="Times New Roman" w:eastAsia="Times New Roman" w:cs="Times New Roman"/>
        </w:rPr>
        <w:t xml:space="preserve"> </w:t>
      </w:r>
      <w:r>
        <w:rPr>
          <w:rFonts w:ascii="Sylfaen" w:hAnsi="Sylfaen" w:eastAsia="Sylfaen" w:cs="Sylfaen"/>
        </w:rPr>
        <w:t>ლაოდიკიური</w:t>
      </w:r>
      <w:r>
        <w:rPr>
          <w:rFonts w:ascii="Times New Roman" w:hAnsi="Times New Roman" w:eastAsia="Times New Roman" w:cs="Times New Roman"/>
        </w:rPr>
        <w:t xml:space="preserve"> </w:t>
      </w:r>
      <w:r>
        <w:rPr>
          <w:rFonts w:ascii="Sylfaen" w:hAnsi="Sylfaen" w:eastAsia="Sylfaen" w:cs="Sylfaen"/>
        </w:rPr>
        <w:t>მოძრაობა</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ორმოცდაოთხი</w:t>
      </w:r>
      <w:r>
        <w:rPr>
          <w:rFonts w:ascii="Times New Roman" w:hAnsi="Times New Roman" w:eastAsia="Times New Roman" w:cs="Times New Roman"/>
        </w:rPr>
        <w:t xml:space="preserve"> </w:t>
      </w:r>
      <w:r>
        <w:rPr>
          <w:rFonts w:ascii="Sylfaen" w:hAnsi="Sylfaen" w:eastAsia="Sylfaen" w:cs="Sylfaen"/>
        </w:rPr>
        <w:t>ათასის</w:t>
      </w:r>
      <w:r>
        <w:rPr>
          <w:rFonts w:ascii="Times New Roman" w:hAnsi="Times New Roman" w:eastAsia="Times New Roman" w:cs="Times New Roman"/>
        </w:rPr>
        <w:t xml:space="preserve"> </w:t>
      </w:r>
      <w:r>
        <w:rPr>
          <w:rFonts w:ascii="Sylfaen" w:hAnsi="Sylfaen" w:eastAsia="Sylfaen" w:cs="Sylfaen"/>
        </w:rPr>
        <w:t>ფილადელფიურ</w:t>
      </w:r>
      <w:r>
        <w:rPr>
          <w:rFonts w:ascii="Times New Roman" w:hAnsi="Times New Roman" w:eastAsia="Times New Roman" w:cs="Times New Roman"/>
        </w:rPr>
        <w:t xml:space="preserve"> </w:t>
      </w:r>
      <w:r>
        <w:rPr>
          <w:rFonts w:ascii="Sylfaen" w:hAnsi="Sylfaen" w:eastAsia="Sylfaen" w:cs="Sylfaen"/>
        </w:rPr>
        <w:t>მოძრაობად</w:t>
      </w:r>
      <w:r>
        <w:rPr>
          <w:rFonts w:ascii="Times New Roman" w:hAnsi="Times New Roman" w:eastAsia="Times New Roman" w:cs="Times New Roman"/>
        </w:rPr>
        <w:t xml:space="preserve"> </w:t>
      </w:r>
      <w:r>
        <w:rPr>
          <w:rFonts w:ascii="Sylfaen" w:hAnsi="Sylfaen" w:eastAsia="Sylfaen" w:cs="Sylfaen"/>
        </w:rPr>
        <w:t>იცვლება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აგრეთვე</w:t>
      </w:r>
      <w:r>
        <w:rPr>
          <w:rFonts w:ascii="Times New Roman" w:hAnsi="Times New Roman" w:eastAsia="Times New Roman" w:cs="Times New Roman"/>
        </w:rPr>
        <w:t xml:space="preserve"> </w:t>
      </w:r>
      <w:r>
        <w:rPr>
          <w:rFonts w:ascii="Sylfaen" w:hAnsi="Sylfaen" w:eastAsia="Sylfaen" w:cs="Sylfaen"/>
        </w:rPr>
        <w:t>ანტიოქე</w:t>
      </w:r>
      <w:r>
        <w:rPr>
          <w:rFonts w:ascii="Times New Roman" w:hAnsi="Times New Roman" w:eastAsia="Times New Roman" w:cs="Times New Roman"/>
        </w:rPr>
        <w:t xml:space="preserve"> </w:t>
      </w:r>
      <w:r>
        <w:rPr>
          <w:rFonts w:ascii="Sylfaen" w:hAnsi="Sylfaen" w:eastAsia="Sylfaen" w:cs="Sylfaen"/>
        </w:rPr>
        <w:t>დიდის</w:t>
      </w:r>
      <w:r>
        <w:rPr>
          <w:rFonts w:ascii="Times New Roman" w:hAnsi="Times New Roman" w:eastAsia="Times New Roman" w:cs="Times New Roman"/>
        </w:rPr>
        <w:t xml:space="preserve"> </w:t>
      </w:r>
      <w:r>
        <w:rPr>
          <w:rFonts w:ascii="Sylfaen" w:hAnsi="Sylfaen" w:eastAsia="Sylfaen" w:cs="Sylfaen"/>
        </w:rPr>
        <w:t>ისტორია</w:t>
      </w:r>
      <w:r>
        <w:rPr>
          <w:rFonts w:ascii="Times New Roman" w:hAnsi="Times New Roman" w:eastAsia="Times New Roman" w:cs="Times New Roman"/>
        </w:rPr>
        <w:t xml:space="preserve">, </w:t>
      </w:r>
      <w:r>
        <w:rPr>
          <w:rFonts w:ascii="Sylfaen" w:hAnsi="Sylfaen" w:eastAsia="Sylfaen" w:cs="Sylfaen"/>
        </w:rPr>
        <w:t>რომლის</w:t>
      </w:r>
      <w:r>
        <w:rPr>
          <w:rFonts w:ascii="Times New Roman" w:hAnsi="Times New Roman" w:eastAsia="Times New Roman" w:cs="Times New Roman"/>
        </w:rPr>
        <w:t xml:space="preserve"> </w:t>
      </w:r>
      <w:r>
        <w:rPr>
          <w:rFonts w:ascii="Sylfaen" w:hAnsi="Sylfaen" w:eastAsia="Sylfaen" w:cs="Sylfaen"/>
        </w:rPr>
        <w:t>სახელიც</w:t>
      </w:r>
      <w:r>
        <w:rPr>
          <w:rFonts w:ascii="Times New Roman" w:hAnsi="Times New Roman" w:eastAsia="Times New Roman" w:cs="Times New Roman"/>
        </w:rPr>
        <w:t xml:space="preserve"> </w:t>
      </w:r>
      <w:r>
        <w:rPr>
          <w:rFonts w:ascii="Sylfaen" w:hAnsi="Sylfaen" w:eastAsia="Sylfaen" w:cs="Sylfaen"/>
        </w:rPr>
        <w:t>ქალაქ</w:t>
      </w:r>
      <w:r>
        <w:rPr>
          <w:rFonts w:ascii="Times New Roman" w:hAnsi="Times New Roman" w:eastAsia="Times New Roman" w:cs="Times New Roman"/>
        </w:rPr>
        <w:t xml:space="preserve"> </w:t>
      </w:r>
      <w:r>
        <w:rPr>
          <w:rFonts w:ascii="Sylfaen" w:hAnsi="Sylfaen" w:eastAsia="Sylfaen" w:cs="Sylfaen"/>
        </w:rPr>
        <w:t>ანტიოქიას</w:t>
      </w:r>
      <w:r>
        <w:rPr>
          <w:rFonts w:ascii="Times New Roman" w:hAnsi="Times New Roman" w:eastAsia="Times New Roman" w:cs="Times New Roman"/>
        </w:rPr>
        <w:t xml:space="preserve"> </w:t>
      </w:r>
      <w:r>
        <w:rPr>
          <w:rFonts w:ascii="Sylfaen" w:hAnsi="Sylfaen" w:eastAsia="Sylfaen" w:cs="Sylfaen"/>
        </w:rPr>
        <w:t>ეწოდა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ორას</w:t>
      </w:r>
      <w:r>
        <w:rPr>
          <w:rFonts w:ascii="Times New Roman" w:hAnsi="Times New Roman" w:eastAsia="Times New Roman" w:cs="Times New Roman"/>
        </w:rPr>
        <w:t xml:space="preserve"> </w:t>
      </w:r>
      <w:r>
        <w:rPr>
          <w:rFonts w:ascii="Sylfaen" w:hAnsi="Sylfaen" w:eastAsia="Sylfaen" w:cs="Sylfaen"/>
        </w:rPr>
        <w:t>ორმოცდაათწლიანი</w:t>
      </w:r>
      <w:r>
        <w:rPr>
          <w:rFonts w:ascii="Times New Roman" w:hAnsi="Times New Roman" w:eastAsia="Times New Roman" w:cs="Times New Roman"/>
        </w:rPr>
        <w:t xml:space="preserve"> </w:t>
      </w:r>
      <w:r>
        <w:rPr>
          <w:rFonts w:ascii="Sylfaen" w:hAnsi="Sylfaen" w:eastAsia="Sylfaen" w:cs="Sylfaen"/>
        </w:rPr>
        <w:t>პერიოდის</w:t>
      </w:r>
      <w:r>
        <w:rPr>
          <w:rFonts w:ascii="Times New Roman" w:hAnsi="Times New Roman" w:eastAsia="Times New Roman" w:cs="Times New Roman"/>
        </w:rPr>
        <w:t xml:space="preserve"> </w:t>
      </w:r>
      <w:r>
        <w:rPr>
          <w:rFonts w:ascii="Sylfaen" w:hAnsi="Sylfaen" w:eastAsia="Sylfaen" w:cs="Sylfaen"/>
        </w:rPr>
        <w:t>ბოლოს</w:t>
      </w:r>
      <w:r>
        <w:rPr>
          <w:rFonts w:ascii="Times New Roman" w:hAnsi="Times New Roman" w:eastAsia="Times New Roman" w:cs="Times New Roman"/>
        </w:rPr>
        <w:t xml:space="preserve">, </w:t>
      </w:r>
      <w:r>
        <w:rPr>
          <w:rFonts w:ascii="Sylfaen" w:hAnsi="Sylfaen" w:eastAsia="Sylfaen" w:cs="Sylfaen"/>
        </w:rPr>
        <w:t>რაფიასა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პანიუმის</w:t>
      </w:r>
      <w:r>
        <w:rPr>
          <w:rFonts w:ascii="Times New Roman" w:hAnsi="Times New Roman" w:eastAsia="Times New Roman" w:cs="Times New Roman"/>
        </w:rPr>
        <w:t xml:space="preserve"> </w:t>
      </w:r>
      <w:r>
        <w:rPr>
          <w:rFonts w:ascii="Sylfaen" w:hAnsi="Sylfaen" w:eastAsia="Sylfaen" w:cs="Sylfaen"/>
        </w:rPr>
        <w:t>ბრძოლებს</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le prochain article, nous poursuivrons ces considérations.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Numéro dix-neuf</dc:title>
  <dc:subject>Les Grands : Antiochus, Constantin et le Dernier Président</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