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Avertissements parallèles - Numéro un</w:t>
      </w:r>
    </w:p>
    <w:p>
      <w:pPr>
        <w:pStyle w:val="ArticleSubtitle"/>
        <w:jc w:val="left"/>
      </w:pPr>
      <w:r>
        <w:rPr>
          <w:rFonts w:ascii="Arial" w:hAnsi="Arial" w:eastAsia="Arial" w:cs="Arial"/>
        </w:rPr>
        <w:t>Ufunuo wa Yesu Kristo: Kuelewa Onyo la Mwisho kwa Wanadamu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Microsoft YaHei" w:hAnsi="Microsoft YaHei" w:eastAsia="Microsoft YaHei" w:cs="Microsoft YaHei"/>
        </w:rPr>
        <w:t>当</w:t>
      </w:r>
      <w:r>
        <w:rPr>
          <w:rFonts w:ascii="Times New Roman" w:hAnsi="Times New Roman" w:eastAsia="Times New Roman" w:cs="Times New Roman"/>
        </w:rPr>
        <w:t>“</w:t>
      </w:r>
      <w:r>
        <w:rPr>
          <w:rFonts w:ascii="Microsoft YaHei" w:hAnsi="Microsoft YaHei" w:eastAsia="Microsoft YaHei" w:cs="Microsoft YaHei"/>
        </w:rPr>
        <w:t>时候近了</w:t>
      </w:r>
      <w:r>
        <w:rPr>
          <w:rFonts w:ascii="Times New Roman" w:hAnsi="Times New Roman" w:eastAsia="Times New Roman" w:cs="Times New Roman"/>
        </w:rPr>
        <w:t>”</w:t>
      </w:r>
      <w:r>
        <w:rPr>
          <w:rFonts w:ascii="Microsoft YaHei" w:hAnsi="Microsoft YaHei" w:eastAsia="Microsoft YaHei" w:cs="Microsoft YaHei"/>
        </w:rPr>
        <w:t>之时</w:t>
      </w:r>
      <w:r>
        <w:rPr>
          <w:rFonts w:ascii="Times New Roman" w:hAnsi="Times New Roman" w:eastAsia="Times New Roman" w:cs="Times New Roman"/>
        </w:rPr>
        <w:t>,“</w:t>
      </w:r>
      <w:r>
        <w:rPr>
          <w:rFonts w:ascii="Microsoft YaHei" w:hAnsi="Microsoft YaHei" w:eastAsia="Microsoft YaHei" w:cs="Microsoft YaHei"/>
        </w:rPr>
        <w:t>耶稣基督的启示</w:t>
      </w:r>
      <w:r>
        <w:rPr>
          <w:rFonts w:ascii="Times New Roman" w:hAnsi="Times New Roman" w:eastAsia="Times New Roman" w:cs="Times New Roman"/>
        </w:rPr>
        <w:t>”</w:t>
      </w:r>
      <w:r>
        <w:rPr>
          <w:rFonts w:ascii="Microsoft YaHei" w:hAnsi="Microsoft YaHei" w:eastAsia="Microsoft YaHei" w:cs="Microsoft YaHei"/>
        </w:rPr>
        <w:t>便向上帝的子民开启</w:t>
      </w:r>
      <w:r>
        <w:rPr>
          <w:rFonts w:ascii="Times New Roman" w:hAnsi="Times New Roman" w:eastAsia="Times New Roman" w:cs="Times New Roman"/>
        </w:rPr>
        <w:t>.</w:t>
      </w:r>
      <w:r>
        <w:rPr>
          <w:rFonts w:ascii="Microsoft YaHei" w:hAnsi="Microsoft YaHei" w:eastAsia="Microsoft YaHei" w:cs="Microsoft YaHei"/>
        </w:rPr>
        <w:t>那给人类最后的警告信息</w:t>
      </w:r>
      <w:r>
        <w:rPr>
          <w:rFonts w:ascii="Times New Roman" w:hAnsi="Times New Roman" w:eastAsia="Times New Roman" w:cs="Times New Roman"/>
        </w:rPr>
        <w:t>,</w:t>
      </w:r>
      <w:r>
        <w:rPr>
          <w:rFonts w:ascii="Microsoft YaHei" w:hAnsi="Microsoft YaHei" w:eastAsia="Microsoft YaHei" w:cs="Microsoft YaHei"/>
        </w:rPr>
        <w:t>是在人类恩典时期结束之前发出的</w:t>
      </w:r>
      <w:r>
        <w:rPr>
          <w:rFonts w:ascii="Times New Roman" w:hAnsi="Times New Roman" w:eastAsia="Times New Roman" w:cs="Times New Roman"/>
        </w:rPr>
        <w:t>;</w:t>
      </w:r>
      <w:r>
        <w:rPr>
          <w:rFonts w:ascii="Microsoft YaHei" w:hAnsi="Microsoft YaHei" w:eastAsia="Microsoft YaHei" w:cs="Microsoft YaHei"/>
        </w:rPr>
        <w:t>而这最后的信息</w:t>
      </w:r>
      <w:r>
        <w:rPr>
          <w:rFonts w:ascii="Times New Roman" w:hAnsi="Times New Roman" w:eastAsia="Times New Roman" w:cs="Times New Roman"/>
        </w:rPr>
        <w:t>,</w:t>
      </w:r>
      <w:r>
        <w:rPr>
          <w:rFonts w:ascii="Microsoft YaHei" w:hAnsi="Microsoft YaHei" w:eastAsia="Microsoft YaHei" w:cs="Microsoft YaHei"/>
        </w:rPr>
        <w:t>在圣经若干预言线索中都有所表征</w:t>
      </w:r>
      <w:r>
        <w:rPr>
          <w:rFonts w:ascii="Times New Roman" w:hAnsi="Times New Roman" w:eastAsia="Times New Roman" w:cs="Times New Roman"/>
        </w:rPr>
        <w:t>.</w:t>
      </w:r>
      <w:r>
        <w:rPr>
          <w:rFonts w:ascii="Microsoft YaHei" w:hAnsi="Microsoft YaHei" w:eastAsia="Microsoft YaHei" w:cs="Microsoft YaHei"/>
        </w:rPr>
        <w:t>在</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w:t>
      </w:r>
      <w:r>
        <w:rPr>
          <w:rFonts w:ascii="Microsoft YaHei" w:hAnsi="Microsoft YaHei" w:eastAsia="Microsoft YaHei" w:cs="Microsoft YaHei"/>
        </w:rPr>
        <w:t>第十四章中</w:t>
      </w:r>
      <w:r>
        <w:rPr>
          <w:rFonts w:ascii="Times New Roman" w:hAnsi="Times New Roman" w:eastAsia="Times New Roman" w:cs="Times New Roman"/>
        </w:rPr>
        <w:t>,</w:t>
      </w:r>
      <w:r>
        <w:rPr>
          <w:rFonts w:ascii="Microsoft YaHei" w:hAnsi="Microsoft YaHei" w:eastAsia="Microsoft YaHei" w:cs="Microsoft YaHei"/>
        </w:rPr>
        <w:t>这最后的警告信息由三位天使来表征</w:t>
      </w:r>
      <w:r>
        <w:rPr>
          <w:rFonts w:ascii="Times New Roman" w:hAnsi="Times New Roman" w:eastAsia="Times New Roman" w:cs="Times New Roman"/>
        </w:rPr>
        <w:t>.</w:t>
      </w:r>
    </w:p>
    <w:p>
      <w:pPr>
        <w:pStyle w:val="ArticleScripture"/>
        <w:jc w:val="left"/>
      </w:pP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आकाश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उड़ते</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रहनेवालों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भाषा</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अनन्त</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उपासना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बनाया।</w:t>
      </w:r>
    </w:p>
    <w:p>
      <w:pPr>
        <w:pStyle w:val="ArticleScripture"/>
        <w:jc w:val="left"/>
      </w:pPr>
      <w:r>
        <w:rPr>
          <w:rFonts w:ascii="Times New Roman" w:hAnsi="Times New Roman" w:eastAsia="Times New Roman" w:cs="Times New Roman"/>
        </w:rPr>
        <w:t>Na mwingine malaika akafuata, akisema, Babeli umeanguka, umeanguka, mji ule mkuu, kwa sababu umewanywesha mataifa yote divai ya ghadhabu ya uasherati wake.</w:t>
      </w:r>
    </w:p>
    <w:p>
      <w:pPr>
        <w:pStyle w:val="ArticleScripture"/>
        <w:jc w:val="left"/>
      </w:pPr>
      <w:r>
        <w:rPr>
          <w:rFonts w:ascii="Times New Roman" w:hAnsi="Times New Roman" w:eastAsia="Times New Roman" w:cs="Times New Roman"/>
        </w:rPr>
        <w:t>Le troisième ange les suivit, en disant d’une voix forte : Si quelqu’un adore la bête et son image, et reçoit une marque sur son front ou sur sa main, il boira, lui aussi, du vin de la colère de Dieu, versé sans mélange dans la coupe de son indignation ; et il sera tourmenté dans le feu et le soufre, devant les saints anges et devant l’Agneau. Et la fumée de leur tourment monte aux siècles des siècles ; et ils n’ont de repos ni jour ni nuit, ceux qui adorent la bête et son image, et quiconque reçoit la marque de son nom. C’est ici la persévérance des saints ; c’est ici que sont ceux qui gardent les commandements de Dieu et la foi de Jésus. Apocalypse 14:6–12.</w:t>
      </w:r>
    </w:p>
    <w:p>
      <w:pPr>
        <w:pStyle w:val="ArticleBody"/>
        <w:jc w:val="left"/>
      </w:pPr>
      <w:r>
        <w:rPr>
          <w:rFonts w:ascii="Times New Roman" w:hAnsi="Times New Roman" w:eastAsia="Times New Roman" w:cs="Times New Roman"/>
        </w:rPr>
        <w:t>Dans le chapitre dix-huit de l’Apocalypse, le même message annonce la chute de Babylone.</w:t>
      </w:r>
    </w:p>
    <w:p>
      <w:pPr>
        <w:pStyle w:val="ArticleScripture"/>
        <w:jc w:val="left"/>
      </w:pPr>
      <w:r>
        <w:rPr>
          <w:rFonts w:ascii="Times New Roman" w:hAnsi="Times New Roman" w:eastAsia="Times New Roman" w:cs="Times New Roman"/>
        </w:rPr>
        <w:t>Na baada ya mambo hayo nikamwona malaika mwingine akishuka kutoka mbinguni, mwenye mamlaka makuu; nayo nchi ikaangaziwa kwa utukufu wake. Akalia kwa nguvu kwa sauti kuu, akisema, Umeanguka, umeanguka Babeli ule mkuu, nao umekuwa makao ya mashetani, na ngome ya kila roho mchafu, na tundu la kila ndege mchafu na mwenye kuchukiza. Kwa maana mataifa yote yamekunywa divai ya ghadhabu ya uasherati wake, na wafalme wa nchi wamefanya uasherati naye, nao wafanyabiashara wa nchi wamepata utajiri kwa wingi wa anasa zake. Nikasikia sauti nyingine kutoka mbinguni, ikisema, Tokeni kwake, enyi watu wangu, msije mkashiriki dhambi zake, wala msipokee mapigo yake. Kwa maana dhambi zake zimefika hata mbinguni, naye Mungu ameyakumbuka maovu yake. Ufunuo 18:1–5.</w:t>
      </w:r>
    </w:p>
    <w:p>
      <w:pPr>
        <w:pStyle w:val="ArticleBody"/>
        <w:jc w:val="left"/>
      </w:pPr>
      <w:r>
        <w:rPr>
          <w:rFonts w:ascii="Times New Roman" w:hAnsi="Times New Roman" w:eastAsia="Times New Roman" w:cs="Times New Roman"/>
        </w:rPr>
        <w:t>Tawiita w’obunnabbi obw’ebyafaayo, oba tuyinza okugamba nti, ennyiriri y’ebibaddewo emuukiikirirwa malayika ayakira ensi n’ekitiibwa kye mu ssuula ey’e kkumi n’omunaana, emuukiikirira ebibaddewo ebireeta ku nkomerero y’omusango, enkomerero y’ekisera eky’okukkirizibwa, n’ebibonyoobonyo omusanvu eby’enkomerero. Ebyafaayo eby’obunnabbi ebimuukiikirirwa mu ssuula ey’e kkumi n’omunaana bigenda “mu ngeri efaanagana” n’olunyiriri lw’ebyafaayo eby’obunnabbi olumuukiikirirwa bamalayika basatu ab’omu ssuula ey’e kkumi n’ennya.</w:t>
      </w:r>
    </w:p>
    <w:p>
      <w:pPr>
        <w:pStyle w:val="ArticleScripture"/>
        <w:jc w:val="left"/>
      </w:pPr>
      <w:r>
        <w:rPr>
          <w:rFonts w:ascii="Times New Roman" w:hAnsi="Times New Roman" w:eastAsia="Times New Roman" w:cs="Times New Roman"/>
        </w:rPr>
        <w:t>’Imana yahaye ubutumwa bwo mu Ibyahishuwe 14 umwanya wabwo mu murongo w’ubuhanuzi, kandi umurimo wabwo ntuzahagarara kugeza ku iherezo ry’amateka y’iyi si. Ubutumwa bwa marayika wa mbere n’ubwa kabiri buracyari ukuri kw’iki gihe, kandi bugomba kugendana n’ubu bukurikira. Marayika wa gatatu atangaza umuburo we n’ijwi rirenga. “Nyuma y’ibyo,” ni ko Yohana yavuze ati, “nabonye undi marayika amanuka ava mu ijuru, afite ubushobozi bukomeye, kandi isi imurikirwa n’ubwiza bwe.” Muri uko kumurikirwa, umucyo w’ubutumwa uko ari butatu urahurizwa hamwe.” The 1888 Materials, 803, 804.</w:t>
      </w:r>
    </w:p>
    <w:p>
      <w:pPr>
        <w:pStyle w:val="ArticleBody"/>
        <w:jc w:val="left"/>
      </w:pPr>
      <w:r>
        <w:rPr>
          <w:rFonts w:ascii="Times New Roman" w:hAnsi="Times New Roman" w:eastAsia="Times New Roman" w:cs="Times New Roman"/>
        </w:rPr>
        <w:t>Angels atọ nke isi nke iri na anọ, ndị na-efe n’etiti eluigwe, na-anọchi anya ozi zuru ụwa ọnụ nke na-ejedebe na akara nke anụ ọhịa ahụ na mmechi nke oge amara. N’isi nke iri na asatọ, ebube nke mmụọ-ozi ahụ na-eme ka ụwa dum nwee ìhè, ma ozi ya kwa na-ejedebe na mmechi nke oge amara.</w:t>
      </w:r>
    </w:p>
    <w:p>
      <w:pPr>
        <w:pStyle w:val="ArticleBody"/>
        <w:jc w:val="left"/>
      </w:pPr>
      <w:r>
        <w:rPr>
          <w:rFonts w:ascii="Times New Roman" w:hAnsi="Times New Roman" w:eastAsia="Times New Roman" w:cs="Times New Roman"/>
        </w:rPr>
        <w:t>Le message qui est représenté symboliquement par trois anges au chapitre quatorze et qui est aussi représenté par l’ange qui descend au chapitre dix-huit constitue deux illustrations du même message d’avertissement. Il n’y a rien de redondant dans la Bible, rien d’inutile. Le fait que le message même soit identifié plus d’une fois par Jean met en relief l’importance du message et illustre la méthode divine d’enseignement qui est une règle biblique appelée « répéter et développer ». Le rapprochement de deux lignes de l’histoire prophétique révèle des vérités qui ne seraient reconnues dans aucune des deux lignes lorsqu’elles sont considérées séparément l’une de l’autre. Aujourd’hui, si l’on amenait devant un tribunal deux témoins d’un même événement pour déposer, ils pourraient fort bien donner des témoignages opposés en fonction de leur idéologie politique ou sociale. Il n’en est pas ainsi des témoins bibliques : ils sont toujours d’accord, et s’il vous paraît qu’ils ne s’accordent pas, alors c’est que vous considérez quelque chose de manière incorrecte.</w:t>
      </w:r>
    </w:p>
    <w:p>
      <w:pPr>
        <w:pStyle w:val="ArticleBody"/>
        <w:jc w:val="left"/>
      </w:pPr>
      <w:r>
        <w:rPr>
          <w:rFonts w:ascii="Nirmala UI" w:hAnsi="Nirmala UI" w:eastAsia="Nirmala UI" w:cs="Nirmala UI"/>
        </w:rPr>
        <w:t>ବର୍ତ୍ତମାନ</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ବିଚାର</w:t>
      </w:r>
      <w:r>
        <w:rPr>
          <w:rFonts w:ascii="Times New Roman" w:hAnsi="Times New Roman" w:eastAsia="Times New Roman" w:cs="Times New Roman"/>
        </w:rPr>
        <w:t xml:space="preserve"> </w:t>
      </w:r>
      <w:r>
        <w:rPr>
          <w:rFonts w:ascii="Nirmala UI" w:hAnsi="Nirmala UI" w:eastAsia="Nirmala UI" w:cs="Nirmala UI"/>
        </w:rPr>
        <w:t>କରୁଥିବା</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ଦୁଇଟି</w:t>
      </w:r>
      <w:r>
        <w:rPr>
          <w:rFonts w:ascii="Times New Roman" w:hAnsi="Times New Roman" w:eastAsia="Times New Roman" w:cs="Times New Roman"/>
        </w:rPr>
        <w:t xml:space="preserve"> </w:t>
      </w:r>
      <w:r>
        <w:rPr>
          <w:rFonts w:ascii="Nirmala UI" w:hAnsi="Nirmala UI" w:eastAsia="Nirmala UI" w:cs="Nirmala UI"/>
        </w:rPr>
        <w:t>ଦୃଷ୍ଟାନ୍ତ</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ଏକେଇ</w:t>
      </w:r>
      <w:r>
        <w:rPr>
          <w:rFonts w:ascii="Times New Roman" w:hAnsi="Times New Roman" w:eastAsia="Times New Roman" w:cs="Times New Roman"/>
        </w:rPr>
        <w:t xml:space="preserve"> </w:t>
      </w:r>
      <w:r>
        <w:rPr>
          <w:rFonts w:ascii="Nirmala UI" w:hAnsi="Nirmala UI" w:eastAsia="Nirmala UI" w:cs="Nirmala UI"/>
        </w:rPr>
        <w:t>ସଚେତନବାଣୀ</w:t>
      </w:r>
      <w:r>
        <w:rPr>
          <w:rFonts w:ascii="Times New Roman" w:hAnsi="Times New Roman" w:eastAsia="Times New Roman" w:cs="Times New Roman"/>
        </w:rPr>
        <w:t xml:space="preserve">, </w:t>
      </w:r>
      <w:r>
        <w:rPr>
          <w:rFonts w:ascii="Nirmala UI" w:hAnsi="Nirmala UI" w:eastAsia="Nirmala UI" w:cs="Nirmala UI"/>
        </w:rPr>
        <w:t>ଯାହାକୁ</w:t>
      </w:r>
      <w:r>
        <w:rPr>
          <w:rFonts w:ascii="Times New Roman" w:hAnsi="Times New Roman" w:eastAsia="Times New Roman" w:cs="Times New Roman"/>
        </w:rPr>
        <w:t xml:space="preserve"> </w:t>
      </w:r>
      <w:r>
        <w:rPr>
          <w:rFonts w:ascii="Nirmala UI" w:hAnsi="Nirmala UI" w:eastAsia="Nirmala UI" w:cs="Nirmala UI"/>
        </w:rPr>
        <w:t>ମଲାଖି</w:t>
      </w:r>
      <w:r>
        <w:rPr>
          <w:rFonts w:ascii="Times New Roman" w:hAnsi="Times New Roman" w:eastAsia="Times New Roman" w:cs="Times New Roman"/>
        </w:rPr>
        <w:t xml:space="preserve"> </w:t>
      </w:r>
      <w:r>
        <w:rPr>
          <w:rFonts w:ascii="Nirmala UI" w:hAnsi="Nirmala UI" w:eastAsia="Nirmala UI" w:cs="Nirmala UI"/>
        </w:rPr>
        <w:t>ପୁସ୍ତକ</w:t>
      </w:r>
      <w:r>
        <w:rPr>
          <w:rFonts w:ascii="Times New Roman" w:hAnsi="Times New Roman" w:eastAsia="Times New Roman" w:cs="Times New Roman"/>
        </w:rPr>
        <w:t xml:space="preserve"> </w:t>
      </w:r>
      <w:r>
        <w:rPr>
          <w:rFonts w:ascii="Nirmala UI" w:hAnsi="Nirmala UI" w:eastAsia="Nirmala UI" w:cs="Nirmala UI"/>
        </w:rPr>
        <w:t>ଭବିଷ୍ୟଦ୍ଦର୍ଶୀ</w:t>
      </w:r>
      <w:r>
        <w:rPr>
          <w:rFonts w:ascii="Times New Roman" w:hAnsi="Times New Roman" w:eastAsia="Times New Roman" w:cs="Times New Roman"/>
        </w:rPr>
        <w:t xml:space="preserve"> </w:t>
      </w:r>
      <w:r>
        <w:rPr>
          <w:rFonts w:ascii="Nirmala UI" w:hAnsi="Nirmala UI" w:eastAsia="Nirmala UI" w:cs="Nirmala UI"/>
        </w:rPr>
        <w:t>ଏଲୀୟଙ୍କର</w:t>
      </w:r>
      <w:r>
        <w:rPr>
          <w:rFonts w:ascii="Times New Roman" w:hAnsi="Times New Roman" w:eastAsia="Times New Roman" w:cs="Times New Roman"/>
        </w:rPr>
        <w:t xml:space="preserve"> </w:t>
      </w:r>
      <w:r>
        <w:rPr>
          <w:rFonts w:ascii="Nirmala UI" w:hAnsi="Nirmala UI" w:eastAsia="Nirmala UI" w:cs="Nirmala UI"/>
        </w:rPr>
        <w:t>ପୁନରାଗମନ</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ଉପସ୍ଥାପନ</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ତିନୋଟି</w:t>
      </w:r>
      <w:r>
        <w:rPr>
          <w:rFonts w:ascii="Times New Roman" w:hAnsi="Times New Roman" w:eastAsia="Times New Roman" w:cs="Times New Roman"/>
        </w:rPr>
        <w:t xml:space="preserve"> </w:t>
      </w:r>
      <w:r>
        <w:rPr>
          <w:rFonts w:ascii="Nirmala UI" w:hAnsi="Nirmala UI" w:eastAsia="Nirmala UI" w:cs="Nirmala UI"/>
        </w:rPr>
        <w:t>ସନ୍ଦେଶ</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ପରୀକ୍ଷାକାଳର</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ଆସେ</w:t>
      </w:r>
      <w:r>
        <w:rPr>
          <w:rFonts w:ascii="Times New Roman" w:hAnsi="Times New Roman" w:eastAsia="Times New Roman" w:cs="Times New Roman"/>
        </w:rPr>
        <w:t>—</w:t>
      </w:r>
      <w:r>
        <w:rPr>
          <w:rFonts w:ascii="Nirmala UI" w:hAnsi="Nirmala UI" w:eastAsia="Nirmala UI" w:cs="Nirmala UI"/>
        </w:rPr>
        <w:t>କାରଣ</w:t>
      </w:r>
      <w:r>
        <w:rPr>
          <w:rFonts w:ascii="Times New Roman" w:hAnsi="Times New Roman" w:eastAsia="Times New Roman" w:cs="Times New Roman"/>
        </w:rPr>
        <w:t xml:space="preserve"> </w:t>
      </w:r>
      <w:r>
        <w:rPr>
          <w:rFonts w:ascii="Nirmala UI" w:hAnsi="Nirmala UI" w:eastAsia="Nirmala UI" w:cs="Nirmala UI"/>
        </w:rPr>
        <w:t>ଭବିଷ୍ୟଦ୍ବାଣୀର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ତିନୋଟି</w:t>
      </w:r>
      <w:r>
        <w:rPr>
          <w:rFonts w:ascii="Times New Roman" w:hAnsi="Times New Roman" w:eastAsia="Times New Roman" w:cs="Times New Roman"/>
        </w:rPr>
        <w:t xml:space="preserve"> </w:t>
      </w:r>
      <w:r>
        <w:rPr>
          <w:rFonts w:ascii="Nirmala UI" w:hAnsi="Nirmala UI" w:eastAsia="Nirmala UI" w:cs="Nirmala UI"/>
        </w:rPr>
        <w:t>ଶ୍ରେଣୀରେ</w:t>
      </w:r>
      <w:r>
        <w:rPr>
          <w:rFonts w:ascii="Times New Roman" w:hAnsi="Times New Roman" w:eastAsia="Times New Roman" w:cs="Times New Roman"/>
        </w:rPr>
        <w:t xml:space="preserve"> </w:t>
      </w:r>
      <w:r>
        <w:rPr>
          <w:rFonts w:ascii="Nirmala UI" w:hAnsi="Nirmala UI" w:eastAsia="Nirmala UI" w:cs="Nirmala UI"/>
        </w:rPr>
        <w:t>ଅନ୍ତର୍ଭୁକ୍ତ</w:t>
      </w:r>
      <w:r>
        <w:rPr>
          <w:rFonts w:ascii="Times New Roman" w:hAnsi="Times New Roman" w:eastAsia="Times New Roman" w:cs="Times New Roman"/>
        </w:rPr>
        <w:t xml:space="preserve"> </w:t>
      </w:r>
      <w:r>
        <w:rPr>
          <w:rFonts w:ascii="Nirmala UI" w:hAnsi="Nirmala UI" w:eastAsia="Nirmala UI" w:cs="Nirmala UI"/>
        </w:rPr>
        <w:t>ସଚେତନବାଣୀ</w:t>
      </w:r>
      <w:r>
        <w:rPr>
          <w:rFonts w:ascii="Times New Roman" w:hAnsi="Times New Roman" w:eastAsia="Times New Roman" w:cs="Times New Roman"/>
        </w:rPr>
        <w:t xml:space="preserve"> </w:t>
      </w:r>
      <w:r>
        <w:rPr>
          <w:rFonts w:ascii="Nirmala UI" w:hAnsi="Nirmala UI" w:eastAsia="Nirmala UI" w:cs="Nirmala UI"/>
        </w:rPr>
        <w:t>କେବଳ</w:t>
      </w:r>
      <w:r>
        <w:rPr>
          <w:rFonts w:ascii="Times New Roman" w:hAnsi="Times New Roman" w:eastAsia="Times New Roman" w:cs="Times New Roman"/>
        </w:rPr>
        <w:t xml:space="preserve"> </w:t>
      </w:r>
      <w:r>
        <w:rPr>
          <w:rFonts w:ascii="Nirmala UI" w:hAnsi="Nirmala UI" w:eastAsia="Nirmala UI" w:cs="Nirmala UI"/>
        </w:rPr>
        <w:t>ପରୀକ୍ଷାକାଳର</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ଦିଆଯାଇନଥାଏ</w:t>
      </w:r>
      <w:r>
        <w:rPr>
          <w:rFonts w:ascii="Times New Roman" w:hAnsi="Times New Roman" w:eastAsia="Times New Roman" w:cs="Times New Roman"/>
        </w:rPr>
        <w:t xml:space="preserve">, </w:t>
      </w:r>
      <w:r>
        <w:rPr>
          <w:rFonts w:ascii="Nirmala UI" w:hAnsi="Nirmala UI" w:eastAsia="Nirmala UI" w:cs="Nirmala UI"/>
        </w:rPr>
        <w:t>ବରଂ</w:t>
      </w:r>
      <w:r>
        <w:rPr>
          <w:rFonts w:ascii="Times New Roman" w:hAnsi="Times New Roman" w:eastAsia="Times New Roman" w:cs="Times New Roman"/>
        </w:rPr>
        <w:t xml:space="preserve"> </w:t>
      </w:r>
      <w:r>
        <w:rPr>
          <w:rFonts w:ascii="Nirmala UI" w:hAnsi="Nirmala UI" w:eastAsia="Nirmala UI" w:cs="Nirmala UI"/>
        </w:rPr>
        <w:t>ପରୀକ୍ଷାକାଳର</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ହିଁ</w:t>
      </w:r>
      <w:r>
        <w:rPr>
          <w:rFonts w:ascii="Times New Roman" w:hAnsi="Times New Roman" w:eastAsia="Times New Roman" w:cs="Times New Roman"/>
        </w:rPr>
        <w:t xml:space="preserve"> </w:t>
      </w:r>
      <w:r>
        <w:rPr>
          <w:rFonts w:ascii="Nirmala UI" w:hAnsi="Nirmala UI" w:eastAsia="Nirmala UI" w:cs="Nirmala UI"/>
        </w:rPr>
        <w:t>ସେଗୁଡ଼ିକର</w:t>
      </w:r>
      <w:r>
        <w:rPr>
          <w:rFonts w:ascii="Times New Roman" w:hAnsi="Times New Roman" w:eastAsia="Times New Roman" w:cs="Times New Roman"/>
        </w:rPr>
        <w:t xml:space="preserve"> </w:t>
      </w:r>
      <w:r>
        <w:rPr>
          <w:rFonts w:ascii="Nirmala UI" w:hAnsi="Nirmala UI" w:eastAsia="Nirmala UI" w:cs="Nirmala UI"/>
        </w:rPr>
        <w:t>ନିଜସ୍ୱ</w:t>
      </w:r>
      <w:r>
        <w:rPr>
          <w:rFonts w:ascii="Times New Roman" w:hAnsi="Times New Roman" w:eastAsia="Times New Roman" w:cs="Times New Roman"/>
        </w:rPr>
        <w:t xml:space="preserve"> </w:t>
      </w:r>
      <w:r>
        <w:rPr>
          <w:rFonts w:ascii="Nirmala UI" w:hAnsi="Nirmala UI" w:eastAsia="Nirmala UI" w:cs="Nirmala UI"/>
        </w:rPr>
        <w:t>ସନ୍ଦର୍ଭବିନ୍ଦୁ</w:t>
      </w:r>
      <w:r>
        <w:rPr>
          <w:rFonts w:ascii="Times New Roman" w:hAnsi="Times New Roman" w:eastAsia="Times New Roman" w:cs="Times New Roman"/>
        </w:rPr>
        <w:t xml:space="preserve">, </w:t>
      </w:r>
      <w:r>
        <w:rPr>
          <w:rFonts w:ascii="Nirmala UI" w:hAnsi="Nirmala UI" w:eastAsia="Nirmala UI" w:cs="Nirmala UI"/>
        </w:rPr>
        <w:t>କିମ୍ବା</w:t>
      </w:r>
      <w:r>
        <w:rPr>
          <w:rFonts w:ascii="Times New Roman" w:hAnsi="Times New Roman" w:eastAsia="Times New Roman" w:cs="Times New Roman"/>
        </w:rPr>
        <w:t xml:space="preserve"> </w:t>
      </w:r>
      <w:r>
        <w:rPr>
          <w:rFonts w:ascii="Nirmala UI" w:hAnsi="Nirmala UI" w:eastAsia="Nirmala UI" w:cs="Nirmala UI"/>
        </w:rPr>
        <w:t>କହିଲେ</w:t>
      </w:r>
      <w:r>
        <w:rPr>
          <w:rFonts w:ascii="Times New Roman" w:hAnsi="Times New Roman" w:eastAsia="Times New Roman" w:cs="Times New Roman"/>
        </w:rPr>
        <w:t xml:space="preserve">, </w:t>
      </w:r>
      <w:r>
        <w:rPr>
          <w:rFonts w:ascii="Nirmala UI" w:hAnsi="Nirmala UI" w:eastAsia="Nirmala UI" w:cs="Nirmala UI"/>
        </w:rPr>
        <w:t>ପ୍ରତ୍ୟେକ</w:t>
      </w:r>
      <w:r>
        <w:rPr>
          <w:rFonts w:ascii="Times New Roman" w:hAnsi="Times New Roman" w:eastAsia="Times New Roman" w:cs="Times New Roman"/>
        </w:rPr>
        <w:t xml:space="preserve"> </w:t>
      </w:r>
      <w:r>
        <w:rPr>
          <w:rFonts w:ascii="Nirmala UI" w:hAnsi="Nirmala UI" w:eastAsia="Nirmala UI" w:cs="Nirmala UI"/>
        </w:rPr>
        <w:t>ସଚେତନବାଣୀର</w:t>
      </w:r>
      <w:r>
        <w:rPr>
          <w:rFonts w:ascii="Times New Roman" w:hAnsi="Times New Roman" w:eastAsia="Times New Roman" w:cs="Times New Roman"/>
        </w:rPr>
        <w:t xml:space="preserve"> </w:t>
      </w:r>
      <w:r>
        <w:rPr>
          <w:rFonts w:ascii="Nirmala UI" w:hAnsi="Nirmala UI" w:eastAsia="Nirmala UI" w:cs="Nirmala UI"/>
        </w:rPr>
        <w:t>ବିଷୟବସ୍ତୁ।</w:t>
      </w:r>
      <w:r>
        <w:rPr>
          <w:rFonts w:ascii="Times New Roman" w:hAnsi="Times New Roman" w:eastAsia="Times New Roman" w:cs="Times New Roman"/>
        </w:rPr>
        <w:t xml:space="preserve"> </w:t>
      </w:r>
      <w:r>
        <w:rPr>
          <w:rFonts w:ascii="Nirmala UI" w:hAnsi="Nirmala UI" w:eastAsia="Nirmala UI" w:cs="Nirmala UI"/>
        </w:rPr>
        <w:t>ବାସ୍ତବରେ</w:t>
      </w:r>
      <w:r>
        <w:rPr>
          <w:rFonts w:ascii="Times New Roman" w:hAnsi="Times New Roman" w:eastAsia="Times New Roman" w:cs="Times New Roman"/>
        </w:rPr>
        <w:t xml:space="preserve">, </w:t>
      </w:r>
      <w:r>
        <w:rPr>
          <w:rFonts w:ascii="Nirmala UI" w:hAnsi="Nirmala UI" w:eastAsia="Nirmala UI" w:cs="Nirmala UI"/>
        </w:rPr>
        <w:t>ଯଦି</w:t>
      </w:r>
      <w:r>
        <w:rPr>
          <w:rFonts w:ascii="Times New Roman" w:hAnsi="Times New Roman" w:eastAsia="Times New Roman" w:cs="Times New Roman"/>
        </w:rPr>
        <w:t xml:space="preserve"> </w:t>
      </w:r>
      <w:r>
        <w:rPr>
          <w:rFonts w:ascii="Nirmala UI" w:hAnsi="Nirmala UI" w:eastAsia="Nirmala UI" w:cs="Nirmala UI"/>
        </w:rPr>
        <w:t>କୌଣସି</w:t>
      </w:r>
      <w:r>
        <w:rPr>
          <w:rFonts w:ascii="Times New Roman" w:hAnsi="Times New Roman" w:eastAsia="Times New Roman" w:cs="Times New Roman"/>
        </w:rPr>
        <w:t xml:space="preserve"> </w:t>
      </w:r>
      <w:r>
        <w:rPr>
          <w:rFonts w:ascii="Nirmala UI" w:hAnsi="Nirmala UI" w:eastAsia="Nirmala UI" w:cs="Nirmala UI"/>
        </w:rPr>
        <w:t>ସଚେତନବାଣୀ</w:t>
      </w:r>
      <w:r>
        <w:rPr>
          <w:rFonts w:ascii="Times New Roman" w:hAnsi="Times New Roman" w:eastAsia="Times New Roman" w:cs="Times New Roman"/>
        </w:rPr>
        <w:t xml:space="preserve"> </w:t>
      </w:r>
      <w:r>
        <w:rPr>
          <w:rFonts w:ascii="Nirmala UI" w:hAnsi="Nirmala UI" w:eastAsia="Nirmala UI" w:cs="Nirmala UI"/>
        </w:rPr>
        <w:t>କୌଣସି</w:t>
      </w:r>
      <w:r>
        <w:rPr>
          <w:rFonts w:ascii="Times New Roman" w:hAnsi="Times New Roman" w:eastAsia="Times New Roman" w:cs="Times New Roman"/>
        </w:rPr>
        <w:t xml:space="preserve"> </w:t>
      </w:r>
      <w:r>
        <w:rPr>
          <w:rFonts w:ascii="Nirmala UI" w:hAnsi="Nirmala UI" w:eastAsia="Nirmala UI" w:cs="Nirmala UI"/>
        </w:rPr>
        <w:t>ଭବିଷ୍ୟଦ୍ଦର୍ଶୀଙ୍କ</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ଘୋଷିତ</w:t>
      </w:r>
      <w:r>
        <w:rPr>
          <w:rFonts w:ascii="Times New Roman" w:hAnsi="Times New Roman" w:eastAsia="Times New Roman" w:cs="Times New Roman"/>
        </w:rPr>
        <w:t xml:space="preserve"> </w:t>
      </w:r>
      <w:r>
        <w:rPr>
          <w:rFonts w:ascii="Nirmala UI" w:hAnsi="Nirmala UI" w:eastAsia="Nirmala UI" w:cs="Nirmala UI"/>
        </w:rPr>
        <w:t>କିମ୍ବା</w:t>
      </w:r>
      <w:r>
        <w:rPr>
          <w:rFonts w:ascii="Times New Roman" w:hAnsi="Times New Roman" w:eastAsia="Times New Roman" w:cs="Times New Roman"/>
        </w:rPr>
        <w:t xml:space="preserve"> </w:t>
      </w:r>
      <w:r>
        <w:rPr>
          <w:rFonts w:ascii="Nirmala UI" w:hAnsi="Nirmala UI" w:eastAsia="Nirmala UI" w:cs="Nirmala UI"/>
        </w:rPr>
        <w:t>ଦୃଷ୍ଟାନ୍ତରେ</w:t>
      </w:r>
      <w:r>
        <w:rPr>
          <w:rFonts w:ascii="Times New Roman" w:hAnsi="Times New Roman" w:eastAsia="Times New Roman" w:cs="Times New Roman"/>
        </w:rPr>
        <w:t xml:space="preserve"> </w:t>
      </w:r>
      <w:r>
        <w:rPr>
          <w:rFonts w:ascii="Nirmala UI" w:hAnsi="Nirmala UI" w:eastAsia="Nirmala UI" w:cs="Nirmala UI"/>
        </w:rPr>
        <w:t>ପ୍ରକାଶିତ</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ତେବେ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ସଚେତନବାଣୀ</w:t>
      </w:r>
      <w:r>
        <w:rPr>
          <w:rFonts w:ascii="Times New Roman" w:hAnsi="Times New Roman" w:eastAsia="Times New Roman" w:cs="Times New Roman"/>
        </w:rPr>
        <w:t xml:space="preserve"> </w:t>
      </w:r>
      <w:r>
        <w:rPr>
          <w:rFonts w:ascii="Nirmala UI" w:hAnsi="Nirmala UI" w:eastAsia="Nirmala UI" w:cs="Nirmala UI"/>
        </w:rPr>
        <w:t>ପ୍ରକାଶିତବାକ୍ୟ</w:t>
      </w:r>
      <w:r>
        <w:rPr>
          <w:rFonts w:ascii="Times New Roman" w:hAnsi="Times New Roman" w:eastAsia="Times New Roman" w:cs="Times New Roman"/>
        </w:rPr>
        <w:t xml:space="preserve"> </w:t>
      </w:r>
      <w:r>
        <w:rPr>
          <w:rFonts w:ascii="Nirmala UI" w:hAnsi="Nirmala UI" w:eastAsia="Nirmala UI" w:cs="Nirmala UI"/>
        </w:rPr>
        <w:t>ଚୌଦ</w:t>
      </w:r>
      <w:r>
        <w:rPr>
          <w:rFonts w:ascii="Times New Roman" w:hAnsi="Times New Roman" w:eastAsia="Times New Roman" w:cs="Times New Roman"/>
        </w:rPr>
        <w:t xml:space="preserve">, </w:t>
      </w:r>
      <w:r>
        <w:rPr>
          <w:rFonts w:ascii="Nirmala UI" w:hAnsi="Nirmala UI" w:eastAsia="Nirmala UI" w:cs="Nirmala UI"/>
        </w:rPr>
        <w:t>ଅଠାର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ମଲାଖିଙ୍କ</w:t>
      </w:r>
      <w:r>
        <w:rPr>
          <w:rFonts w:ascii="Times New Roman" w:hAnsi="Times New Roman" w:eastAsia="Times New Roman" w:cs="Times New Roman"/>
        </w:rPr>
        <w:t xml:space="preserve"> </w:t>
      </w:r>
      <w:r>
        <w:rPr>
          <w:rFonts w:ascii="Nirmala UI" w:hAnsi="Nirmala UI" w:eastAsia="Nirmala UI" w:cs="Nirmala UI"/>
        </w:rPr>
        <w:t>ଏଲୀୟ</w:t>
      </w:r>
      <w:r>
        <w:rPr>
          <w:rFonts w:ascii="Times New Roman" w:hAnsi="Times New Roman" w:eastAsia="Times New Roman" w:cs="Times New Roman"/>
        </w:rPr>
        <w:t>-</w:t>
      </w:r>
      <w:r>
        <w:rPr>
          <w:rFonts w:ascii="Nirmala UI" w:hAnsi="Nirmala UI" w:eastAsia="Nirmala UI" w:cs="Nirmala UI"/>
        </w:rPr>
        <w:t>ଭବିଷ୍ୟଦ୍ବାଣୀର</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ଏକେଇ</w:t>
      </w:r>
      <w:r>
        <w:rPr>
          <w:rFonts w:ascii="Times New Roman" w:hAnsi="Times New Roman" w:eastAsia="Times New Roman" w:cs="Times New Roman"/>
        </w:rPr>
        <w:t xml:space="preserve"> </w:t>
      </w:r>
      <w:r>
        <w:rPr>
          <w:rFonts w:ascii="Nirmala UI" w:hAnsi="Nirmala UI" w:eastAsia="Nirmala UI" w:cs="Nirmala UI"/>
        </w:rPr>
        <w:t>ସଚେତନବାଣୀ</w:t>
      </w:r>
      <w:r>
        <w:rPr>
          <w:rFonts w:ascii="Times New Roman" w:hAnsi="Times New Roman" w:eastAsia="Times New Roman" w:cs="Times New Roman"/>
        </w:rPr>
        <w:t xml:space="preserve"> </w:t>
      </w:r>
      <w:r>
        <w:rPr>
          <w:rFonts w:ascii="Nirmala UI" w:hAnsi="Nirmala UI" w:eastAsia="Nirmala UI" w:cs="Nirmala UI"/>
        </w:rPr>
        <w:t>ଅଟେ।</w:t>
      </w:r>
    </w:p>
    <w:p>
      <w:pPr>
        <w:pStyle w:val="ArticleBody"/>
        <w:jc w:val="left"/>
      </w:pPr>
      <w:r>
        <w:rPr>
          <w:rFonts w:ascii="Times New Roman" w:hAnsi="Times New Roman" w:eastAsia="Times New Roman" w:cs="Times New Roman"/>
        </w:rPr>
        <w:t>Ces trois lignes de prophétie peuvent aisément être montrées comme courant parallèlement l’une à l’autre. Cela étant dit, il existe deux sources principales d’information dans la prophétie biblique. L’une consiste en l’identification de la succession des événements qui se déroulent à la fin du monde. L’autre source d’information réside dans l’illustration des activités des prophètes liées au message exposant les événements à venir.</w:t>
      </w:r>
    </w:p>
    <w:p>
      <w:pPr>
        <w:pStyle w:val="ArticleBody"/>
        <w:jc w:val="left"/>
      </w:pPr>
      <w:r>
        <w:rPr>
          <w:rFonts w:ascii="Times New Roman" w:hAnsi="Times New Roman" w:eastAsia="Times New Roman" w:cs="Times New Roman"/>
        </w:rPr>
        <w:t>Il est utile de considérer deux règles en rapport avec ces idées. La première est que tous les prophètes parlent de la fin du monde, là où le temps de grâce prend fin.</w:t>
      </w:r>
    </w:p>
    <w:p>
      <w:pPr>
        <w:pStyle w:val="ArticleScripture"/>
        <w:jc w:val="left"/>
      </w:pPr>
      <w:r>
        <w:rPr>
          <w:rFonts w:ascii="Times New Roman" w:hAnsi="Times New Roman" w:eastAsia="Times New Roman" w:cs="Times New Roman"/>
        </w:rPr>
        <w:t>“Setiap nabi purba berbicara bukan terutama untuk zaman mereka sendiri, melainkan untuk zaman kita, sehingga nubuat mereka berlaku bagi kita. ‘Now all these things happened unto them for ensamples: and they are written for our admonition, upon whom the ends of the world are come.’ 1 Corinthians 10:11. ‘Not unto themselves, but unto us they did minister the things, which are now reported unto you by them that have preached the gospel unto you with the Holy Ghost sent down from heaven; which things the angels desire to look into.’ 1 Peter 1:12....”</w:t>
      </w:r>
    </w:p>
    <w:p>
      <w:pPr>
        <w:pStyle w:val="ArticleScripture"/>
        <w:jc w:val="left"/>
      </w:pPr>
      <w:r>
        <w:rPr>
          <w:rFonts w:ascii="Times New Roman" w:hAnsi="Times New Roman" w:eastAsia="Times New Roman" w:cs="Times New Roman"/>
        </w:rPr>
        <w:t>« La Bible a accumulé et rassemblé ses trésors pour cette dernière génération. Tous les grands événements et toutes les transactions solennelles de l’histoire de l’Ancien Testament se sont répétés, et se répètent, dans l’Église en ces derniers jours. » Selected Messages, livre 3, 338, 339.</w:t>
      </w:r>
    </w:p>
    <w:p>
      <w:pPr>
        <w:pStyle w:val="ArticleBody"/>
        <w:jc w:val="left"/>
      </w:pPr>
      <w:r>
        <w:rPr>
          <w:rFonts w:ascii="Times New Roman" w:hAnsi="Times New Roman" w:eastAsia="Times New Roman" w:cs="Times New Roman"/>
        </w:rPr>
        <w:t>Bayamboli nyonso ya esakweli ya Biblia ezali “na nguya mpo na biso,” “likoló na biso oyo nsuka ya mokili eyei.” Mobeko yango, elongo na mobeko mosusu oyo emonisaka “makambo” oyo Molimo Mosantu “abongisaki,” “ezala na kopesama ya esakweli mpe” lisusu “na makambo oyo emonisami,” ekobakisa makasi na likambo oyo ete makambo ya esakweli na ebandeli ya esakweli ezali bilili ya makambo ya esakweli mpe etambolaka na molɔngɔ moko na makambo ya esakweli na nsuka ya esakweli nyonso oyo epesami.</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需要更加密切地研究上帝的话语</w:t>
      </w:r>
      <w:r>
        <w:rPr>
          <w:rFonts w:ascii="Times New Roman" w:hAnsi="Times New Roman" w:eastAsia="Times New Roman" w:cs="Times New Roman"/>
        </w:rPr>
        <w:t>;</w:t>
      </w:r>
      <w:r>
        <w:rPr>
          <w:rFonts w:ascii="Microsoft YaHei" w:hAnsi="Microsoft YaHei" w:eastAsia="Microsoft YaHei" w:cs="Microsoft YaHei"/>
        </w:rPr>
        <w:t>尤其应当以我们工作历史上前所未有的程度关注但以理书和启示录</w:t>
      </w:r>
      <w:r>
        <w:rPr>
          <w:rFonts w:ascii="Times New Roman" w:hAnsi="Times New Roman" w:eastAsia="Times New Roman" w:cs="Times New Roman"/>
        </w:rPr>
        <w:t>.</w:t>
      </w:r>
      <w:r>
        <w:rPr>
          <w:rFonts w:ascii="Microsoft YaHei" w:hAnsi="Microsoft YaHei" w:eastAsia="Microsoft YaHei" w:cs="Microsoft YaHei"/>
        </w:rPr>
        <w:t>关于罗马势力和教皇制度</w:t>
      </w:r>
      <w:r>
        <w:rPr>
          <w:rFonts w:ascii="Times New Roman" w:hAnsi="Times New Roman" w:eastAsia="Times New Roman" w:cs="Times New Roman"/>
        </w:rPr>
        <w:t>,</w:t>
      </w:r>
      <w:r>
        <w:rPr>
          <w:rFonts w:ascii="Microsoft YaHei" w:hAnsi="Microsoft YaHei" w:eastAsia="Microsoft YaHei" w:cs="Microsoft YaHei"/>
        </w:rPr>
        <w:t>在某些方面我们所要说的也许可以少一些</w:t>
      </w:r>
      <w:r>
        <w:rPr>
          <w:rFonts w:ascii="Times New Roman" w:hAnsi="Times New Roman" w:eastAsia="Times New Roman" w:cs="Times New Roman"/>
        </w:rPr>
        <w:t>;</w:t>
      </w:r>
      <w:r>
        <w:rPr>
          <w:rFonts w:ascii="Microsoft YaHei" w:hAnsi="Microsoft YaHei" w:eastAsia="Microsoft YaHei" w:cs="Microsoft YaHei"/>
        </w:rPr>
        <w:t>但我们应当提请人注意先知和使徒在上帝圣灵默示之下所写的内容</w:t>
      </w:r>
      <w:r>
        <w:rPr>
          <w:rFonts w:ascii="Times New Roman" w:hAnsi="Times New Roman" w:eastAsia="Times New Roman" w:cs="Times New Roman"/>
        </w:rPr>
        <w:t>.</w:t>
      </w:r>
      <w:r>
        <w:rPr>
          <w:rFonts w:ascii="Microsoft YaHei" w:hAnsi="Microsoft YaHei" w:eastAsia="Microsoft YaHei" w:cs="Microsoft YaHei"/>
        </w:rPr>
        <w:t>圣灵无论在赐下预言时</w:t>
      </w:r>
      <w:r>
        <w:rPr>
          <w:rFonts w:ascii="Times New Roman" w:hAnsi="Times New Roman" w:eastAsia="Times New Roman" w:cs="Times New Roman"/>
        </w:rPr>
        <w:t>,</w:t>
      </w:r>
      <w:r>
        <w:rPr>
          <w:rFonts w:ascii="Microsoft YaHei" w:hAnsi="Microsoft YaHei" w:eastAsia="Microsoft YaHei" w:cs="Microsoft YaHei"/>
        </w:rPr>
        <w:t>还是在所描绘的事件中</w:t>
      </w:r>
      <w:r>
        <w:rPr>
          <w:rFonts w:ascii="Times New Roman" w:hAnsi="Times New Roman" w:eastAsia="Times New Roman" w:cs="Times New Roman"/>
        </w:rPr>
        <w:t>,</w:t>
      </w:r>
      <w:r>
        <w:rPr>
          <w:rFonts w:ascii="Microsoft YaHei" w:hAnsi="Microsoft YaHei" w:eastAsia="Microsoft YaHei" w:cs="Microsoft YaHei"/>
        </w:rPr>
        <w:t>都如此安排其事</w:t>
      </w:r>
      <w:r>
        <w:rPr>
          <w:rFonts w:ascii="Times New Roman" w:hAnsi="Times New Roman" w:eastAsia="Times New Roman" w:cs="Times New Roman"/>
        </w:rPr>
        <w:t>,</w:t>
      </w:r>
      <w:r>
        <w:rPr>
          <w:rFonts w:ascii="Microsoft YaHei" w:hAnsi="Microsoft YaHei" w:eastAsia="Microsoft YaHei" w:cs="Microsoft YaHei"/>
        </w:rPr>
        <w:t>为要教导人：人类的代理者应当置于不显著之处</w:t>
      </w:r>
      <w:r>
        <w:rPr>
          <w:rFonts w:ascii="Times New Roman" w:hAnsi="Times New Roman" w:eastAsia="Times New Roman" w:cs="Times New Roman"/>
        </w:rPr>
        <w:t>,</w:t>
      </w:r>
      <w:r>
        <w:rPr>
          <w:rFonts w:ascii="Microsoft YaHei" w:hAnsi="Microsoft YaHei" w:eastAsia="Microsoft YaHei" w:cs="Microsoft YaHei"/>
        </w:rPr>
        <w:t>藏在基督里</w:t>
      </w:r>
      <w:r>
        <w:rPr>
          <w:rFonts w:ascii="Times New Roman" w:hAnsi="Times New Roman" w:eastAsia="Times New Roman" w:cs="Times New Roman"/>
        </w:rPr>
        <w:t>,</w:t>
      </w:r>
      <w:r>
        <w:rPr>
          <w:rFonts w:ascii="Microsoft YaHei" w:hAnsi="Microsoft YaHei" w:eastAsia="Microsoft YaHei" w:cs="Microsoft YaHei"/>
        </w:rPr>
        <w:t>而天上的主上帝和祂的律法则应当被高举</w:t>
      </w:r>
      <w:r>
        <w:rPr>
          <w:rFonts w:ascii="Times New Roman" w:hAnsi="Times New Roman" w:eastAsia="Times New Roman" w:cs="Times New Roman"/>
        </w:rPr>
        <w:t>.</w:t>
      </w:r>
      <w:r>
        <w:rPr>
          <w:rFonts w:ascii="Microsoft YaHei" w:hAnsi="Microsoft YaHei" w:eastAsia="Microsoft YaHei" w:cs="Microsoft YaHei"/>
        </w:rPr>
        <w:t>要读但以理书</w:t>
      </w:r>
      <w:r>
        <w:rPr>
          <w:rFonts w:ascii="Times New Roman" w:hAnsi="Times New Roman" w:eastAsia="Times New Roman" w:cs="Times New Roman"/>
        </w:rPr>
        <w:t>.</w:t>
      </w:r>
      <w:r>
        <w:rPr>
          <w:rFonts w:ascii="Microsoft YaHei" w:hAnsi="Microsoft YaHei" w:eastAsia="Microsoft YaHei" w:cs="Microsoft YaHei"/>
        </w:rPr>
        <w:t>将其中所表征之诸国的历史</w:t>
      </w:r>
      <w:r>
        <w:rPr>
          <w:rFonts w:ascii="Times New Roman" w:hAnsi="Times New Roman" w:eastAsia="Times New Roman" w:cs="Times New Roman"/>
        </w:rPr>
        <w:t>,</w:t>
      </w:r>
      <w:r>
        <w:rPr>
          <w:rFonts w:ascii="Microsoft YaHei" w:hAnsi="Microsoft YaHei" w:eastAsia="Microsoft YaHei" w:cs="Microsoft YaHei"/>
        </w:rPr>
        <w:t>一点一点地陈明出来</w:t>
      </w:r>
      <w:r>
        <w:rPr>
          <w:rFonts w:ascii="Times New Roman" w:hAnsi="Times New Roman" w:eastAsia="Times New Roman" w:cs="Times New Roman"/>
        </w:rPr>
        <w:t>.”«</w:t>
      </w:r>
      <w:r>
        <w:rPr>
          <w:rFonts w:ascii="Microsoft YaHei" w:hAnsi="Microsoft YaHei" w:eastAsia="Microsoft YaHei" w:cs="Microsoft YaHei"/>
        </w:rPr>
        <w:t>传道良助证言</w:t>
      </w:r>
      <w:r>
        <w:rPr>
          <w:rFonts w:ascii="Times New Roman" w:hAnsi="Times New Roman" w:eastAsia="Times New Roman" w:cs="Times New Roman"/>
        </w:rPr>
        <w:t>»,112.</w:t>
      </w:r>
    </w:p>
    <w:p>
      <w:pPr>
        <w:pStyle w:val="ArticleBody"/>
        <w:jc w:val="left"/>
      </w:pPr>
      <w:r>
        <w:rPr>
          <w:rFonts w:ascii="Times New Roman" w:hAnsi="Times New Roman" w:eastAsia="Times New Roman" w:cs="Times New Roman"/>
        </w:rPr>
        <w:t>«Գաղթի Սուրբ Հոգին այսպես ձևավորել է հանգամանքները թե՛ մարգարեության տրման մեջ, և թե՛ պատկերված իրադարձությունների մեջ»։ «Մարգարեության տրման մեջ և պատկերված իրադարձությունների մեջ» «հանգամանքները» «Սուրբ Հոգու» կողմից «այսպես ձևավորվել են», որպեսզի թե՛ «մարգարեության տրումը», և թե՛ «պատկերված իրադարձությունները» ճանաչվեն որպես ներշնչյալ և կիրառվեն աշխարհի վախճանի մարգարեական պատկերավորման նկատմամբ։</w:t>
      </w:r>
    </w:p>
    <w:p>
      <w:pPr>
        <w:pStyle w:val="ArticleBody"/>
        <w:jc w:val="left"/>
      </w:pPr>
      <w:r>
        <w:rPr>
          <w:rFonts w:ascii="Times New Roman" w:hAnsi="Times New Roman" w:eastAsia="Times New Roman" w:cs="Times New Roman"/>
        </w:rPr>
        <w:t>Yoane azwaki ubuhanuzi na Gaburiyeli kandi abwirwa kubwandika mu gitabo no kubwoherereza amatorero. Icyo gihe yari arimo kurenganywa n’i Roma; yari yarajyanywe mu bunyage mu buryo bwagereranywa n’icyo isi y’ubu yakwita ahantu h’ibanga ho gufungira abantu. Muri ayo mateka, Yoane yari yaratandukanyijwe n’abantu mu rugero nk’urwo imbohe iyo ari yo yose ifungiye i Guantanamo Bay itandukanywamo n’abandi.</w:t>
      </w:r>
    </w:p>
    <w:p>
      <w:pPr>
        <w:pStyle w:val="ArticleBody"/>
        <w:jc w:val="left"/>
      </w:pPr>
      <w:r>
        <w:rPr>
          <w:rFonts w:ascii="Times New Roman" w:hAnsi="Times New Roman" w:eastAsia="Times New Roman" w:cs="Times New Roman"/>
        </w:rPr>
        <w:t>Yohanisi ugiňiſa se veŋuʒi yi veki ɖeɖe esi wòle subɔsubɔ me le Sabat si nye ŋkeke adre lɔlɔ la dzi, eye eyae nye Aƒetɔ la ƒe Ŋkeke.</w:t>
      </w:r>
    </w:p>
    <w:p>
      <w:pPr>
        <w:pStyle w:val="ArticleScripture"/>
        <w:jc w:val="left"/>
      </w:pPr>
      <w:r>
        <w:rPr>
          <w:rFonts w:ascii="Times New Roman" w:hAnsi="Times New Roman" w:eastAsia="Times New Roman" w:cs="Times New Roman"/>
        </w:rPr>
        <w:t>Car le Fils de l’homme est maître même du jour du sabbat. Matthieu 12:8.</w:t>
      </w:r>
    </w:p>
    <w:p>
      <w:pPr>
        <w:pStyle w:val="ArticleBody"/>
        <w:jc w:val="left"/>
      </w:pPr>
      <w:r>
        <w:rPr>
          <w:rFonts w:ascii="Times New Roman" w:hAnsi="Times New Roman" w:eastAsia="Times New Roman" w:cs="Times New Roman"/>
        </w:rPr>
        <w:t>Pendant qu’il rendait son culte dans l’Esprit, il entendit derrière lui une voix forte.</w:t>
      </w:r>
    </w:p>
    <w:p>
      <w:pPr>
        <w:pStyle w:val="ArticleScripture"/>
        <w:jc w:val="left"/>
      </w:pPr>
      <w:r>
        <w:rPr>
          <w:rFonts w:ascii="Microsoft YaHei" w:hAnsi="Microsoft YaHei" w:eastAsia="Microsoft YaHei" w:cs="Microsoft YaHei"/>
        </w:rPr>
        <w:t>吾約翰</w:t>
      </w:r>
      <w:r>
        <w:rPr>
          <w:rFonts w:ascii="Times New Roman" w:hAnsi="Times New Roman" w:eastAsia="Times New Roman" w:cs="Times New Roman"/>
        </w:rPr>
        <w:t>,</w:t>
      </w:r>
      <w:r>
        <w:rPr>
          <w:rFonts w:ascii="Microsoft YaHei" w:hAnsi="Microsoft YaHei" w:eastAsia="Microsoft YaHei" w:cs="Microsoft YaHei"/>
        </w:rPr>
        <w:t>乃你們的弟兄</w:t>
      </w:r>
      <w:r>
        <w:rPr>
          <w:rFonts w:ascii="Times New Roman" w:hAnsi="Times New Roman" w:eastAsia="Times New Roman" w:cs="Times New Roman"/>
        </w:rPr>
        <w:t>,</w:t>
      </w:r>
      <w:r>
        <w:rPr>
          <w:rFonts w:ascii="Microsoft YaHei" w:hAnsi="Microsoft YaHei" w:eastAsia="Microsoft YaHei" w:cs="Microsoft YaHei"/>
        </w:rPr>
        <w:t>並在耶穌基督的患難、國度、忍耐裏一同有分的</w:t>
      </w:r>
      <w:r>
        <w:rPr>
          <w:rFonts w:ascii="Times New Roman" w:hAnsi="Times New Roman" w:eastAsia="Times New Roman" w:cs="Times New Roman"/>
        </w:rPr>
        <w:t>,</w:t>
      </w:r>
      <w:r>
        <w:rPr>
          <w:rFonts w:ascii="Microsoft YaHei" w:hAnsi="Microsoft YaHei" w:eastAsia="Microsoft YaHei" w:cs="Microsoft YaHei"/>
        </w:rPr>
        <w:t>為神的道</w:t>
      </w:r>
      <w:r>
        <w:rPr>
          <w:rFonts w:ascii="Times New Roman" w:hAnsi="Times New Roman" w:eastAsia="Times New Roman" w:cs="Times New Roman"/>
        </w:rPr>
        <w:t>,</w:t>
      </w:r>
      <w:r>
        <w:rPr>
          <w:rFonts w:ascii="Microsoft YaHei" w:hAnsi="Microsoft YaHei" w:eastAsia="Microsoft YaHei" w:cs="Microsoft YaHei"/>
        </w:rPr>
        <w:t>並為耶穌基督的見證</w:t>
      </w:r>
      <w:r>
        <w:rPr>
          <w:rFonts w:ascii="Times New Roman" w:hAnsi="Times New Roman" w:eastAsia="Times New Roman" w:cs="Times New Roman"/>
        </w:rPr>
        <w:t>,</w:t>
      </w:r>
      <w:r>
        <w:rPr>
          <w:rFonts w:ascii="Microsoft YaHei" w:hAnsi="Microsoft YaHei" w:eastAsia="Microsoft YaHei" w:cs="Microsoft YaHei"/>
        </w:rPr>
        <w:t>曾在那名叫拔摩的海島上</w:t>
      </w:r>
      <w:r>
        <w:rPr>
          <w:rFonts w:ascii="Times New Roman" w:hAnsi="Times New Roman" w:eastAsia="Times New Roman" w:cs="Times New Roman"/>
        </w:rPr>
        <w:t>.</w:t>
      </w:r>
      <w:r>
        <w:rPr>
          <w:rFonts w:ascii="Microsoft YaHei" w:hAnsi="Microsoft YaHei" w:eastAsia="Microsoft YaHei" w:cs="Microsoft YaHei"/>
        </w:rPr>
        <w:t>當主日</w:t>
      </w:r>
      <w:r>
        <w:rPr>
          <w:rFonts w:ascii="Times New Roman" w:hAnsi="Times New Roman" w:eastAsia="Times New Roman" w:cs="Times New Roman"/>
        </w:rPr>
        <w:t>,</w:t>
      </w:r>
      <w:r>
        <w:rPr>
          <w:rFonts w:ascii="Microsoft YaHei" w:hAnsi="Microsoft YaHei" w:eastAsia="Microsoft YaHei" w:cs="Microsoft YaHei"/>
        </w:rPr>
        <w:t>我被聖靈感動</w:t>
      </w:r>
      <w:r>
        <w:rPr>
          <w:rFonts w:ascii="Times New Roman" w:hAnsi="Times New Roman" w:eastAsia="Times New Roman" w:cs="Times New Roman"/>
        </w:rPr>
        <w:t>,</w:t>
      </w:r>
      <w:r>
        <w:rPr>
          <w:rFonts w:ascii="Microsoft YaHei" w:hAnsi="Microsoft YaHei" w:eastAsia="Microsoft YaHei" w:cs="Microsoft YaHei"/>
        </w:rPr>
        <w:t>聽見在我後面有大聲音</w:t>
      </w:r>
      <w:r>
        <w:rPr>
          <w:rFonts w:ascii="Times New Roman" w:hAnsi="Times New Roman" w:eastAsia="Times New Roman" w:cs="Times New Roman"/>
        </w:rPr>
        <w:t>,</w:t>
      </w:r>
      <w:r>
        <w:rPr>
          <w:rFonts w:ascii="Microsoft YaHei" w:hAnsi="Microsoft YaHei" w:eastAsia="Microsoft YaHei" w:cs="Microsoft YaHei"/>
        </w:rPr>
        <w:t>如吹號一般</w:t>
      </w:r>
      <w:r>
        <w:rPr>
          <w:rFonts w:ascii="Times New Roman" w:hAnsi="Times New Roman" w:eastAsia="Times New Roman" w:cs="Times New Roman"/>
        </w:rPr>
        <w:t>,</w:t>
      </w:r>
      <w:r>
        <w:rPr>
          <w:rFonts w:ascii="Microsoft YaHei" w:hAnsi="Microsoft YaHei" w:eastAsia="Microsoft YaHei" w:cs="Microsoft YaHei"/>
        </w:rPr>
        <w:t>說：「我是阿拉法</w:t>
      </w:r>
      <w:r>
        <w:rPr>
          <w:rFonts w:ascii="Times New Roman" w:hAnsi="Times New Roman" w:eastAsia="Times New Roman" w:cs="Times New Roman"/>
        </w:rPr>
        <w:t>,</w:t>
      </w:r>
      <w:r>
        <w:rPr>
          <w:rFonts w:ascii="Microsoft YaHei" w:hAnsi="Microsoft YaHei" w:eastAsia="Microsoft YaHei" w:cs="Microsoft YaHei"/>
        </w:rPr>
        <w:t>我是俄梅戛</w:t>
      </w:r>
      <w:r>
        <w:rPr>
          <w:rFonts w:ascii="Times New Roman" w:hAnsi="Times New Roman" w:eastAsia="Times New Roman" w:cs="Times New Roman"/>
        </w:rPr>
        <w:t>;</w:t>
      </w:r>
      <w:r>
        <w:rPr>
          <w:rFonts w:ascii="Microsoft YaHei" w:hAnsi="Microsoft YaHei" w:eastAsia="Microsoft YaHei" w:cs="Microsoft YaHei"/>
        </w:rPr>
        <w:t>我是首先的</w:t>
      </w:r>
      <w:r>
        <w:rPr>
          <w:rFonts w:ascii="Times New Roman" w:hAnsi="Times New Roman" w:eastAsia="Times New Roman" w:cs="Times New Roman"/>
        </w:rPr>
        <w:t>,</w:t>
      </w:r>
      <w:r>
        <w:rPr>
          <w:rFonts w:ascii="Microsoft YaHei" w:hAnsi="Microsoft YaHei" w:eastAsia="Microsoft YaHei" w:cs="Microsoft YaHei"/>
        </w:rPr>
        <w:t>我是末後的</w:t>
      </w:r>
      <w:r>
        <w:rPr>
          <w:rFonts w:ascii="Times New Roman" w:hAnsi="Times New Roman" w:eastAsia="Times New Roman" w:cs="Times New Roman"/>
        </w:rPr>
        <w:t>.</w:t>
      </w:r>
      <w:r>
        <w:rPr>
          <w:rFonts w:ascii="Microsoft YaHei" w:hAnsi="Microsoft YaHei" w:eastAsia="Microsoft YaHei" w:cs="Microsoft YaHei"/>
        </w:rPr>
        <w:t>你所看見的</w:t>
      </w:r>
      <w:r>
        <w:rPr>
          <w:rFonts w:ascii="Times New Roman" w:hAnsi="Times New Roman" w:eastAsia="Times New Roman" w:cs="Times New Roman"/>
        </w:rPr>
        <w:t>,</w:t>
      </w:r>
      <w:r>
        <w:rPr>
          <w:rFonts w:ascii="Microsoft YaHei" w:hAnsi="Microsoft YaHei" w:eastAsia="Microsoft YaHei" w:cs="Microsoft YaHei"/>
        </w:rPr>
        <w:t>當寫在書上</w:t>
      </w:r>
      <w:r>
        <w:rPr>
          <w:rFonts w:ascii="Times New Roman" w:hAnsi="Times New Roman" w:eastAsia="Times New Roman" w:cs="Times New Roman"/>
        </w:rPr>
        <w:t>,</w:t>
      </w:r>
      <w:r>
        <w:rPr>
          <w:rFonts w:ascii="Microsoft YaHei" w:hAnsi="Microsoft YaHei" w:eastAsia="Microsoft YaHei" w:cs="Microsoft YaHei"/>
        </w:rPr>
        <w:t>達與那在亞西亞的七個教會：以弗所、士每拿、別迦摩、推雅推喇、撒狄、非拉鐵非、老底嘉</w:t>
      </w:r>
      <w:r>
        <w:rPr>
          <w:rFonts w:ascii="Times New Roman" w:hAnsi="Times New Roman" w:eastAsia="Times New Roman" w:cs="Times New Roman"/>
        </w:rPr>
        <w:t>.</w:t>
      </w:r>
      <w:r>
        <w:rPr>
          <w:rFonts w:ascii="Microsoft YaHei" w:hAnsi="Microsoft YaHei" w:eastAsia="Microsoft YaHei" w:cs="Microsoft YaHei"/>
        </w:rPr>
        <w:t>」啟示錄</w:t>
      </w:r>
      <w:r>
        <w:rPr>
          <w:rFonts w:ascii="Times New Roman" w:hAnsi="Times New Roman" w:eastAsia="Times New Roman" w:cs="Times New Roman"/>
        </w:rPr>
        <w:t xml:space="preserve"> 1:9–11.</w:t>
      </w:r>
    </w:p>
    <w:p>
      <w:pPr>
        <w:pStyle w:val="ArticleBody"/>
        <w:jc w:val="left"/>
      </w:pPr>
      <w:r>
        <w:rPr>
          <w:rFonts w:ascii="Sylfaen" w:hAnsi="Sylfaen" w:eastAsia="Sylfaen" w:cs="Sylfaen"/>
        </w:rPr>
        <w:t>იოანე</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გარემო</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აღნიშნული</w:t>
      </w:r>
      <w:r>
        <w:rPr>
          <w:rFonts w:ascii="Times New Roman" w:hAnsi="Times New Roman" w:eastAsia="Times New Roman" w:cs="Times New Roman"/>
        </w:rPr>
        <w:t xml:space="preserve"> </w:t>
      </w:r>
      <w:r>
        <w:rPr>
          <w:rFonts w:ascii="Sylfaen" w:hAnsi="Sylfaen" w:eastAsia="Sylfaen" w:cs="Sylfaen"/>
        </w:rPr>
        <w:t>ვითარებები</w:t>
      </w:r>
      <w:r>
        <w:rPr>
          <w:rFonts w:ascii="Times New Roman" w:hAnsi="Times New Roman" w:eastAsia="Times New Roman" w:cs="Times New Roman"/>
        </w:rPr>
        <w:t xml:space="preserve"> </w:t>
      </w:r>
      <w:r>
        <w:rPr>
          <w:rFonts w:ascii="Sylfaen" w:hAnsi="Sylfaen" w:eastAsia="Sylfaen" w:cs="Sylfaen"/>
        </w:rPr>
        <w:t>აღწერენ</w:t>
      </w:r>
      <w:r>
        <w:rPr>
          <w:rFonts w:ascii="Times New Roman" w:hAnsi="Times New Roman" w:eastAsia="Times New Roman" w:cs="Times New Roman"/>
        </w:rPr>
        <w:t xml:space="preserve"> </w:t>
      </w:r>
      <w:r>
        <w:rPr>
          <w:rFonts w:ascii="Sylfaen" w:hAnsi="Sylfaen" w:eastAsia="Sylfaen" w:cs="Sylfaen"/>
        </w:rPr>
        <w:t>მას</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ერთს</w:t>
      </w:r>
      <w:r>
        <w:rPr>
          <w:rFonts w:ascii="Times New Roman" w:hAnsi="Times New Roman" w:eastAsia="Times New Roman" w:cs="Times New Roman"/>
        </w:rPr>
        <w:t xml:space="preserve">, </w:t>
      </w:r>
      <w:r>
        <w:rPr>
          <w:rFonts w:ascii="Sylfaen" w:hAnsi="Sylfaen" w:eastAsia="Sylfaen" w:cs="Sylfaen"/>
        </w:rPr>
        <w:t>რომელსაც</w:t>
      </w:r>
      <w:r>
        <w:rPr>
          <w:rFonts w:ascii="Times New Roman" w:hAnsi="Times New Roman" w:eastAsia="Times New Roman" w:cs="Times New Roman"/>
        </w:rPr>
        <w:t xml:space="preserve"> </w:t>
      </w:r>
      <w:r>
        <w:rPr>
          <w:rFonts w:ascii="Sylfaen" w:hAnsi="Sylfaen" w:eastAsia="Sylfaen" w:cs="Sylfaen"/>
        </w:rPr>
        <w:t>დევნიან</w:t>
      </w:r>
      <w:r>
        <w:rPr>
          <w:rFonts w:ascii="Times New Roman" w:hAnsi="Times New Roman" w:eastAsia="Times New Roman" w:cs="Times New Roman"/>
        </w:rPr>
        <w:t xml:space="preserve"> </w:t>
      </w:r>
      <w:r>
        <w:rPr>
          <w:rFonts w:ascii="Sylfaen" w:hAnsi="Sylfaen" w:eastAsia="Sylfaen" w:cs="Sylfaen"/>
        </w:rPr>
        <w:t>იმის</w:t>
      </w:r>
      <w:r>
        <w:rPr>
          <w:rFonts w:ascii="Times New Roman" w:hAnsi="Times New Roman" w:eastAsia="Times New Roman" w:cs="Times New Roman"/>
        </w:rPr>
        <w:t xml:space="preserve"> </w:t>
      </w:r>
      <w:r>
        <w:rPr>
          <w:rFonts w:ascii="Sylfaen" w:hAnsi="Sylfaen" w:eastAsia="Sylfaen" w:cs="Sylfaen"/>
        </w:rPr>
        <w:t>გამო</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მეშვიდე</w:t>
      </w:r>
      <w:r>
        <w:rPr>
          <w:rFonts w:ascii="Times New Roman" w:hAnsi="Times New Roman" w:eastAsia="Times New Roman" w:cs="Times New Roman"/>
        </w:rPr>
        <w:t xml:space="preserve"> </w:t>
      </w:r>
      <w:r>
        <w:rPr>
          <w:rFonts w:ascii="Sylfaen" w:hAnsi="Sylfaen" w:eastAsia="Sylfaen" w:cs="Sylfaen"/>
        </w:rPr>
        <w:t>დღის</w:t>
      </w:r>
      <w:r>
        <w:rPr>
          <w:rFonts w:ascii="Times New Roman" w:hAnsi="Times New Roman" w:eastAsia="Times New Roman" w:cs="Times New Roman"/>
        </w:rPr>
        <w:t xml:space="preserve"> </w:t>
      </w:r>
      <w:r>
        <w:rPr>
          <w:rFonts w:ascii="Sylfaen" w:hAnsi="Sylfaen" w:eastAsia="Sylfaen" w:cs="Sylfaen"/>
        </w:rPr>
        <w:t>შაბათის</w:t>
      </w:r>
      <w:r>
        <w:rPr>
          <w:rFonts w:ascii="Times New Roman" w:hAnsi="Times New Roman" w:eastAsia="Times New Roman" w:cs="Times New Roman"/>
        </w:rPr>
        <w:t xml:space="preserve"> </w:t>
      </w:r>
      <w:r>
        <w:rPr>
          <w:rFonts w:ascii="Sylfaen" w:hAnsi="Sylfaen" w:eastAsia="Sylfaen" w:cs="Sylfaen"/>
        </w:rPr>
        <w:t>თაყვანისმცემელია</w:t>
      </w:r>
      <w:r>
        <w:rPr>
          <w:rFonts w:ascii="Times New Roman" w:hAnsi="Times New Roman" w:eastAsia="Times New Roman" w:cs="Times New Roman"/>
        </w:rPr>
        <w:t xml:space="preserve">, </w:t>
      </w:r>
      <w:r>
        <w:rPr>
          <w:rFonts w:ascii="Sylfaen" w:hAnsi="Sylfaen" w:eastAsia="Sylfaen" w:cs="Sylfaen"/>
        </w:rPr>
        <w:t>ხოლო</w:t>
      </w:r>
      <w:r>
        <w:rPr>
          <w:rFonts w:ascii="Times New Roman" w:hAnsi="Times New Roman" w:eastAsia="Times New Roman" w:cs="Times New Roman"/>
        </w:rPr>
        <w:t xml:space="preserve"> </w:t>
      </w:r>
      <w:r>
        <w:rPr>
          <w:rFonts w:ascii="Sylfaen" w:hAnsi="Sylfaen" w:eastAsia="Sylfaen" w:cs="Sylfaen"/>
        </w:rPr>
        <w:t>აგრეთვე</w:t>
      </w:r>
      <w:r>
        <w:rPr>
          <w:rFonts w:ascii="Times New Roman" w:hAnsi="Times New Roman" w:eastAsia="Times New Roman" w:cs="Times New Roman"/>
        </w:rPr>
        <w:t xml:space="preserve"> </w:t>
      </w:r>
      <w:r>
        <w:rPr>
          <w:rFonts w:ascii="Sylfaen" w:hAnsi="Sylfaen" w:eastAsia="Sylfaen" w:cs="Sylfaen"/>
        </w:rPr>
        <w:t>დევნიან</w:t>
      </w:r>
      <w:r>
        <w:rPr>
          <w:rFonts w:ascii="Times New Roman" w:hAnsi="Times New Roman" w:eastAsia="Times New Roman" w:cs="Times New Roman"/>
        </w:rPr>
        <w:t xml:space="preserve"> </w:t>
      </w:r>
      <w:r>
        <w:rPr>
          <w:rFonts w:ascii="Sylfaen" w:hAnsi="Sylfaen" w:eastAsia="Sylfaen" w:cs="Sylfaen"/>
        </w:rPr>
        <w:t>იმის</w:t>
      </w:r>
      <w:r>
        <w:rPr>
          <w:rFonts w:ascii="Times New Roman" w:hAnsi="Times New Roman" w:eastAsia="Times New Roman" w:cs="Times New Roman"/>
        </w:rPr>
        <w:t xml:space="preserve"> </w:t>
      </w:r>
      <w:r>
        <w:rPr>
          <w:rFonts w:ascii="Sylfaen" w:hAnsi="Sylfaen" w:eastAsia="Sylfaen" w:cs="Sylfaen"/>
        </w:rPr>
        <w:t>გამოც</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სწამს</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ბიბლიისა</w:t>
      </w:r>
      <w:r>
        <w:rPr>
          <w:rFonts w:ascii="Times New Roman" w:hAnsi="Times New Roman" w:eastAsia="Times New Roman" w:cs="Times New Roman"/>
        </w:rPr>
        <w:t xml:space="preserve">, </w:t>
      </w:r>
      <w:r>
        <w:rPr>
          <w:rFonts w:ascii="Sylfaen" w:hAnsi="Sylfaen" w:eastAsia="Sylfaen" w:cs="Sylfaen"/>
        </w:rPr>
        <w:t>ისე</w:t>
      </w:r>
      <w:r>
        <w:rPr>
          <w:rFonts w:ascii="Times New Roman" w:hAnsi="Times New Roman" w:eastAsia="Times New Roman" w:cs="Times New Roman"/>
        </w:rPr>
        <w:t xml:space="preserve"> </w:t>
      </w:r>
      <w:r>
        <w:rPr>
          <w:rFonts w:ascii="Sylfaen" w:hAnsi="Sylfaen" w:eastAsia="Sylfaen" w:cs="Sylfaen"/>
        </w:rPr>
        <w:t>ელენ</w:t>
      </w:r>
      <w:r>
        <w:rPr>
          <w:rFonts w:ascii="Times New Roman" w:hAnsi="Times New Roman" w:eastAsia="Times New Roman" w:cs="Times New Roman"/>
        </w:rPr>
        <w:t xml:space="preserve"> </w:t>
      </w:r>
      <w:r>
        <w:rPr>
          <w:rFonts w:ascii="Sylfaen" w:hAnsi="Sylfaen" w:eastAsia="Sylfaen" w:cs="Sylfaen"/>
        </w:rPr>
        <w:t>უაითის</w:t>
      </w:r>
      <w:r>
        <w:rPr>
          <w:rFonts w:ascii="Times New Roman" w:hAnsi="Times New Roman" w:eastAsia="Times New Roman" w:cs="Times New Roman"/>
        </w:rPr>
        <w:t xml:space="preserve"> </w:t>
      </w:r>
      <w:r>
        <w:rPr>
          <w:rFonts w:ascii="Sylfaen" w:hAnsi="Sylfaen" w:eastAsia="Sylfaen" w:cs="Sylfaen"/>
        </w:rPr>
        <w:t>წერილებისა</w:t>
      </w:r>
      <w:r>
        <w:rPr>
          <w:rFonts w:ascii="Times New Roman" w:hAnsi="Times New Roman" w:eastAsia="Times New Roman" w:cs="Times New Roman"/>
        </w:rPr>
        <w:t xml:space="preserve">, </w:t>
      </w:r>
      <w:r>
        <w:rPr>
          <w:rFonts w:ascii="Sylfaen" w:hAnsi="Sylfaen" w:eastAsia="Sylfaen" w:cs="Sylfaen"/>
        </w:rPr>
        <w:t>რაც</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იესოს</w:t>
      </w:r>
      <w:r>
        <w:rPr>
          <w:rFonts w:ascii="Times New Roman" w:hAnsi="Times New Roman" w:eastAsia="Times New Roman" w:cs="Times New Roman"/>
        </w:rPr>
        <w:t xml:space="preserve"> </w:t>
      </w:r>
      <w:r>
        <w:rPr>
          <w:rFonts w:ascii="Sylfaen" w:hAnsi="Sylfaen" w:eastAsia="Sylfaen" w:cs="Sylfaen"/>
        </w:rPr>
        <w:t>მოწმობა</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ისმენს</w:t>
      </w:r>
      <w:r>
        <w:rPr>
          <w:rFonts w:ascii="Times New Roman" w:hAnsi="Times New Roman" w:eastAsia="Times New Roman" w:cs="Times New Roman"/>
        </w:rPr>
        <w:t xml:space="preserve"> </w:t>
      </w:r>
      <w:r>
        <w:rPr>
          <w:rFonts w:ascii="Sylfaen" w:hAnsi="Sylfaen" w:eastAsia="Sylfaen" w:cs="Sylfaen"/>
        </w:rPr>
        <w:t>მის</w:t>
      </w:r>
      <w:r>
        <w:rPr>
          <w:rFonts w:ascii="Times New Roman" w:hAnsi="Times New Roman" w:eastAsia="Times New Roman" w:cs="Times New Roman"/>
        </w:rPr>
        <w:t xml:space="preserve"> </w:t>
      </w:r>
      <w:r>
        <w:rPr>
          <w:rFonts w:ascii="Sylfaen" w:hAnsi="Sylfaen" w:eastAsia="Sylfaen" w:cs="Sylfaen"/>
        </w:rPr>
        <w:t>უკან</w:t>
      </w:r>
      <w:r>
        <w:rPr>
          <w:rFonts w:ascii="Times New Roman" w:hAnsi="Times New Roman" w:eastAsia="Times New Roman" w:cs="Times New Roman"/>
        </w:rPr>
        <w:t xml:space="preserve"> </w:t>
      </w:r>
      <w:r>
        <w:rPr>
          <w:rFonts w:ascii="Sylfaen" w:hAnsi="Sylfaen" w:eastAsia="Sylfaen" w:cs="Sylfaen"/>
        </w:rPr>
        <w:t>დიდ</w:t>
      </w:r>
      <w:r>
        <w:rPr>
          <w:rFonts w:ascii="Times New Roman" w:hAnsi="Times New Roman" w:eastAsia="Times New Roman" w:cs="Times New Roman"/>
        </w:rPr>
        <w:t xml:space="preserve"> </w:t>
      </w:r>
      <w:r>
        <w:rPr>
          <w:rFonts w:ascii="Sylfaen" w:hAnsi="Sylfaen" w:eastAsia="Sylfaen" w:cs="Sylfaen"/>
        </w:rPr>
        <w:t>ხმას</w:t>
      </w:r>
      <w:r>
        <w:rPr>
          <w:rFonts w:ascii="Times New Roman" w:hAnsi="Times New Roman" w:eastAsia="Times New Roman" w:cs="Times New Roman"/>
        </w:rPr>
        <w:t xml:space="preserve">, </w:t>
      </w:r>
      <w:r>
        <w:rPr>
          <w:rFonts w:ascii="Sylfaen" w:hAnsi="Sylfaen" w:eastAsia="Sylfaen" w:cs="Sylfaen"/>
        </w:rPr>
        <w:t>რომლის</w:t>
      </w:r>
      <w:r>
        <w:rPr>
          <w:rFonts w:ascii="Times New Roman" w:hAnsi="Times New Roman" w:eastAsia="Times New Roman" w:cs="Times New Roman"/>
        </w:rPr>
        <w:t xml:space="preserve"> </w:t>
      </w:r>
      <w:r>
        <w:rPr>
          <w:rFonts w:ascii="Sylfaen" w:hAnsi="Sylfaen" w:eastAsia="Sylfaen" w:cs="Sylfaen"/>
        </w:rPr>
        <w:t>სანახავადაც</w:t>
      </w:r>
      <w:r>
        <w:rPr>
          <w:rFonts w:ascii="Times New Roman" w:hAnsi="Times New Roman" w:eastAsia="Times New Roman" w:cs="Times New Roman"/>
        </w:rPr>
        <w:t xml:space="preserve"> </w:t>
      </w:r>
      <w:r>
        <w:rPr>
          <w:rFonts w:ascii="Sylfaen" w:hAnsi="Sylfaen" w:eastAsia="Sylfaen" w:cs="Sylfaen"/>
        </w:rPr>
        <w:t>ბრუნდება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ამით</w:t>
      </w:r>
      <w:r>
        <w:rPr>
          <w:rFonts w:ascii="Times New Roman" w:hAnsi="Times New Roman" w:eastAsia="Times New Roman" w:cs="Times New Roman"/>
        </w:rPr>
        <w:t xml:space="preserve">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მეშვიდე</w:t>
      </w:r>
      <w:r>
        <w:rPr>
          <w:rFonts w:ascii="Times New Roman" w:hAnsi="Times New Roman" w:eastAsia="Times New Roman" w:cs="Times New Roman"/>
        </w:rPr>
        <w:t xml:space="preserve"> </w:t>
      </w:r>
      <w:r>
        <w:rPr>
          <w:rFonts w:ascii="Sylfaen" w:hAnsi="Sylfaen" w:eastAsia="Sylfaen" w:cs="Sylfaen"/>
        </w:rPr>
        <w:t>დღის</w:t>
      </w:r>
      <w:r>
        <w:rPr>
          <w:rFonts w:ascii="Times New Roman" w:hAnsi="Times New Roman" w:eastAsia="Times New Roman" w:cs="Times New Roman"/>
        </w:rPr>
        <w:t xml:space="preserve"> </w:t>
      </w:r>
      <w:r>
        <w:rPr>
          <w:rFonts w:ascii="Sylfaen" w:hAnsi="Sylfaen" w:eastAsia="Sylfaen" w:cs="Sylfaen"/>
        </w:rPr>
        <w:t>ადვენტისტს</w:t>
      </w:r>
      <w:r>
        <w:rPr>
          <w:rFonts w:ascii="Times New Roman" w:hAnsi="Times New Roman" w:eastAsia="Times New Roman" w:cs="Times New Roman"/>
        </w:rPr>
        <w:t xml:space="preserve"> </w:t>
      </w:r>
      <w:r>
        <w:rPr>
          <w:rFonts w:ascii="Sylfaen" w:hAnsi="Sylfaen" w:eastAsia="Sylfaen" w:cs="Sylfaen"/>
        </w:rPr>
        <w:t>წუთისოფლის</w:t>
      </w:r>
      <w:r>
        <w:rPr>
          <w:rFonts w:ascii="Times New Roman" w:hAnsi="Times New Roman" w:eastAsia="Times New Roman" w:cs="Times New Roman"/>
        </w:rPr>
        <w:t xml:space="preserve"> </w:t>
      </w:r>
      <w:r>
        <w:rPr>
          <w:rFonts w:ascii="Sylfaen" w:hAnsi="Sylfaen" w:eastAsia="Sylfaen" w:cs="Sylfaen"/>
        </w:rPr>
        <w:t>აღსასრულს</w:t>
      </w:r>
      <w:r>
        <w:rPr>
          <w:rFonts w:ascii="Times New Roman" w:hAnsi="Times New Roman" w:eastAsia="Times New Roman" w:cs="Times New Roman"/>
        </w:rPr>
        <w:t xml:space="preserve">, </w:t>
      </w:r>
      <w:r>
        <w:rPr>
          <w:rFonts w:ascii="Sylfaen" w:hAnsi="Sylfaen" w:eastAsia="Sylfaen" w:cs="Sylfaen"/>
        </w:rPr>
        <w:t>რომელსაც</w:t>
      </w:r>
      <w:r>
        <w:rPr>
          <w:rFonts w:ascii="Times New Roman" w:hAnsi="Times New Roman" w:eastAsia="Times New Roman" w:cs="Times New Roman"/>
        </w:rPr>
        <w:t xml:space="preserve"> </w:t>
      </w:r>
      <w:r>
        <w:rPr>
          <w:rFonts w:ascii="Sylfaen" w:hAnsi="Sylfaen" w:eastAsia="Sylfaen" w:cs="Sylfaen"/>
        </w:rPr>
        <w:t>უკან</w:t>
      </w:r>
      <w:r>
        <w:rPr>
          <w:rFonts w:ascii="Times New Roman" w:hAnsi="Times New Roman" w:eastAsia="Times New Roman" w:cs="Times New Roman"/>
        </w:rPr>
        <w:t xml:space="preserve"> </w:t>
      </w:r>
      <w:r>
        <w:rPr>
          <w:rFonts w:ascii="Sylfaen" w:hAnsi="Sylfaen" w:eastAsia="Sylfaen" w:cs="Sylfaen"/>
        </w:rPr>
        <w:t>ესმის</w:t>
      </w:r>
      <w:r>
        <w:rPr>
          <w:rFonts w:ascii="Times New Roman" w:hAnsi="Times New Roman" w:eastAsia="Times New Roman" w:cs="Times New Roman"/>
        </w:rPr>
        <w:t xml:space="preserve"> </w:t>
      </w:r>
      <w:r>
        <w:rPr>
          <w:rFonts w:ascii="Sylfaen" w:hAnsi="Sylfaen" w:eastAsia="Sylfaen" w:cs="Sylfaen"/>
        </w:rPr>
        <w:t>ხმა</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ეუბნება</w:t>
      </w:r>
      <w:r>
        <w:rPr>
          <w:rFonts w:ascii="Times New Roman" w:hAnsi="Times New Roman" w:eastAsia="Times New Roman" w:cs="Times New Roman"/>
        </w:rPr>
        <w:t>: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გზა</w:t>
      </w:r>
      <w:r>
        <w:rPr>
          <w:rFonts w:ascii="Times New Roman" w:hAnsi="Times New Roman" w:eastAsia="Times New Roman" w:cs="Times New Roman"/>
        </w:rPr>
        <w:t xml:space="preserve">, </w:t>
      </w:r>
      <w:r>
        <w:rPr>
          <w:rFonts w:ascii="Sylfaen" w:hAnsi="Sylfaen" w:eastAsia="Sylfaen" w:cs="Sylfaen"/>
        </w:rPr>
        <w:t>იარეთ</w:t>
      </w:r>
      <w:r>
        <w:rPr>
          <w:rFonts w:ascii="Times New Roman" w:hAnsi="Times New Roman" w:eastAsia="Times New Roman" w:cs="Times New Roman"/>
        </w:rPr>
        <w:t xml:space="preserve"> </w:t>
      </w:r>
      <w:r>
        <w:rPr>
          <w:rFonts w:ascii="Sylfaen" w:hAnsi="Sylfaen" w:eastAsia="Sylfaen" w:cs="Sylfaen"/>
        </w:rPr>
        <w:t>მასში</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At the end of the world, all the lines of prophecy run parallel to one another.</w:t>
      </w:r>
    </w:p>
    <w:p>
      <w:pPr>
        <w:pStyle w:val="ArticleScripture"/>
        <w:jc w:val="left"/>
      </w:pPr>
      <w:r>
        <w:rPr>
          <w:rFonts w:ascii="Times New Roman" w:hAnsi="Times New Roman" w:eastAsia="Times New Roman" w:cs="Times New Roman"/>
        </w:rPr>
        <w:t>« Dans l’Apocalypse, tous les livres de la Bible se rencontrent et s’achèvent. » Conquérants pacifiques, 585.</w:t>
      </w:r>
    </w:p>
    <w:p>
      <w:pPr>
        <w:pStyle w:val="ArticleBody"/>
        <w:jc w:val="left"/>
      </w:pPr>
      <w:r>
        <w:rPr>
          <w:rFonts w:ascii="Times New Roman" w:hAnsi="Times New Roman" w:eastAsia="Times New Roman" w:cs="Times New Roman"/>
        </w:rPr>
        <w:t>Wɔadiyifoɔ biara a ɔte nne bi wɔ n’akyi no, ne Yohane hyia wɔ Onyankopɔn nkurɔfoɔ ho mfonini a ɛfa wiase awieeɛ no ho no mu. Yohane tee nne bi wɔ n’akyi a ɛmaa no akwankyerɛ. Yesaia nso tee akwankyerɛ nne bi.</w:t>
      </w:r>
    </w:p>
    <w:p>
      <w:pPr>
        <w:pStyle w:val="ArticleScripture"/>
        <w:jc w:val="left"/>
      </w:pPr>
      <w:r>
        <w:rPr>
          <w:rFonts w:ascii="Times New Roman" w:hAnsi="Times New Roman" w:eastAsia="Times New Roman" w:cs="Times New Roman"/>
        </w:rPr>
        <w:t>Na kwa hiyo Bwana atangoja, ili awafadhili; na kwa hiyo atatukuzwa, ili awarehemu; kwa maana Bwana ni Mungu wa hukumu; heri wote wamngojao.</w:t>
      </w:r>
    </w:p>
    <w:p>
      <w:pPr>
        <w:pStyle w:val="ArticleScripture"/>
        <w:jc w:val="left"/>
      </w:pPr>
      <w:r>
        <w:rPr>
          <w:rFonts w:ascii="Times New Roman" w:hAnsi="Times New Roman" w:eastAsia="Times New Roman" w:cs="Times New Roman"/>
        </w:rPr>
        <w:t>Denn das Volk wird in Zion zu Jerusalem wohnen; du wirst nicht mehr weinen. Er wird dir gewiss Gnade erweisen auf die Stimme deines Schreis; sobald er es hört, wird er dir antworten. Und wenn der Herr euch auch Brot der Bedrängnis und Wasser der Trübsal gibt, so werden doch deine Lehrer nicht länger verborgen sein, sondern deine Augen werden deine Lehrer sehen. Und deine Ohren werden ein Wort hinter dir hören, das spricht: Dies ist der Weg, wandelt auf ihm, wenn ihr euch zur Rechten wendet und wenn ihr euch zur Linken wendet. Jesaja 30,18–21.</w:t>
      </w:r>
    </w:p>
    <w:p>
      <w:pPr>
        <w:pStyle w:val="ArticleBody"/>
        <w:jc w:val="left"/>
      </w:pPr>
      <w:r>
        <w:rPr>
          <w:rFonts w:ascii="Times New Roman" w:hAnsi="Times New Roman" w:eastAsia="Times New Roman" w:cs="Times New Roman"/>
        </w:rPr>
        <w:t>Les restes du peuple de Dieu entendent derrière eux une voix leur indiquant le chemin dans lequel ils doivent marcher. Ils doivent alors décider s’ils écouteront ou n’écouteront pas. Le peuple représenté par Jean et Ésaïe est un peuple de la fin du monde qui attend le Seigneur tandis qu’Il tarde, et Ésaïe nous apprend qu’Il tarde parce qu’Il est un Dieu de jugement. Depuis le commencement de l’histoire millérite en 1798 jusqu’à la fin du temps de grâce pour l’adventisme lors de la loi du dimanche, Dieu accomplit le jugement dans le sanctuaire céleste. La promesse est que ceux qui attendent le Seigneur pendant la période du jugement seront bénis.</w:t>
      </w:r>
    </w:p>
    <w:p>
      <w:pPr>
        <w:pStyle w:val="ArticleBody"/>
        <w:jc w:val="left"/>
      </w:pPr>
      <w:r>
        <w:rPr>
          <w:rFonts w:ascii="Times New Roman" w:hAnsi="Times New Roman" w:eastAsia="Times New Roman" w:cs="Times New Roman"/>
        </w:rPr>
        <w:t>Those who are blessed for waiting among God’s people are represented by the virgins in the parable of the ten virgins, who wait for the Bridegroom. All ten fell asleep, and then at midnight a crisis comes that separates the sleeping virgins into two classes. One class had heard a voice behind them and turned to see the voice that instructed them as to the way in which they should proceed, while the other class refused to turn around and hear the voice—in spite of the fact that the message running throughout the book of Revelation is, “He that hath an ear, let him hear what the Spirit saith unto the churches.”</w:t>
      </w:r>
    </w:p>
    <w:p>
      <w:pPr>
        <w:pStyle w:val="ArticleScripture"/>
        <w:jc w:val="left"/>
      </w:pPr>
      <w:r>
        <w:rPr>
          <w:rFonts w:ascii="Times New Roman" w:hAnsi="Times New Roman" w:eastAsia="Times New Roman" w:cs="Times New Roman"/>
        </w:rPr>
        <w:t>« L’illustration des dix vierges de Matthieu 25 représente également l’expérience du peuple adventiste. » The Great Controversy, 393.</w:t>
      </w:r>
    </w:p>
    <w:p>
      <w:pPr>
        <w:pStyle w:val="ArticleBody"/>
        <w:jc w:val="left"/>
      </w:pPr>
      <w:r>
        <w:rPr>
          <w:rFonts w:ascii="Times New Roman" w:hAnsi="Times New Roman" w:eastAsia="Times New Roman" w:cs="Times New Roman"/>
        </w:rPr>
        <w:t>Jean représente le peuple adventiste qui se tourne vers le passé afin de comprendre l’avenir. Lorsqu’ils « entendent une parole derrière » eux, comme Jean le fit, cette parole comprend aussi l’instruction donnée dans le témoignage d’Ésaïe au sujet de ce même événement. L’instruction d’Ésaïe était : « voici le chemin, marchez-y, quand vous iriez à droite, et quand vous iriez à gauche. » Les vierges sages de Daniel douze comprennent l’accroissement de la connaissance à la fin du monde, parce qu’elles avaient « couru çà et là » dans la parole afin de comprendre la connaissance vivifiante qui avait été descellée.</w:t>
      </w:r>
    </w:p>
    <w:p>
      <w:pPr>
        <w:pStyle w:val="ArticleScripture"/>
        <w:jc w:val="left"/>
      </w:pPr>
      <w:r>
        <w:rPr>
          <w:rFonts w:ascii="Times New Roman" w:hAnsi="Times New Roman" w:eastAsia="Times New Roman" w:cs="Times New Roman"/>
        </w:rPr>
        <w:t>Lakini wewe, Ee Danieli, yafunge maneno haya, ukakitie muhuri kitabu hiki, hata wakati wa mwisho; wengi watapita huku na huku, na maarifa yataongezeka. Danieli 12:4.</w:t>
      </w:r>
    </w:p>
    <w:p>
      <w:pPr>
        <w:pStyle w:val="ArticleBody"/>
        <w:jc w:val="left"/>
      </w:pPr>
      <w:r>
        <w:rPr>
          <w:rFonts w:ascii="Times New Roman" w:hAnsi="Times New Roman" w:eastAsia="Times New Roman" w:cs="Times New Roman"/>
        </w:rPr>
        <w:t>Les prophètes que nous considérons représentent les adventistes du septième jour dans l’histoire où le jugement arrive à sa conclusion et où le temps de grâce prend fin. Ceux qui sont représentés comme les vierges sages entendent une voix derrière eux disant : voici le chemin, marchez-y, et Il promet de les guider sur la voie lorsqu’ils se tournent à gauche ou à droite. Le fait d’« aller çà et là », comme le font les vierges sages lorsque le livre est descellé, est un symbole de l’étude de la Bible. La nature nous enseigne que, pour courir, il faut d’abord apprendre à marcher, et le témoignage d’Ésaïe dit que, si vous écoutez la voix derrière vous, Il vous guidera dans l’étude de Sa Parole, que vous vous tourniez vers l’Ancien Testament (gauche) ou vers le Nouveau Testament (droite). Ouvrez la Bible, et Il vous guidera par Sa voix. Mais, pour les adventistes du septième jour à la fin du monde, cela signifie aussi qu’Il vous guidera lorsque vous ouvrirez la Bible (gauche) et lorsque vous ouvrirez l’Esprit de Prophétie (droite).</w:t>
      </w:r>
    </w:p>
    <w:p>
      <w:pPr>
        <w:pStyle w:val="ArticleBody"/>
        <w:jc w:val="left"/>
      </w:pPr>
      <w:r>
        <w:rPr>
          <w:rFonts w:ascii="Times New Roman" w:hAnsi="Times New Roman" w:eastAsia="Times New Roman" w:cs="Times New Roman"/>
        </w:rPr>
        <w:t>Le chemin à suivre devient encore plus précis lorsque l’on ajoute le témoignage de Jérémie.</w:t>
      </w:r>
    </w:p>
    <w:p>
      <w:pPr>
        <w:pStyle w:val="ArticleScripture"/>
        <w:jc w:val="left"/>
      </w:pPr>
      <w:r>
        <w:rPr>
          <w:rFonts w:ascii="Times New Roman" w:hAnsi="Times New Roman" w:eastAsia="Times New Roman" w:cs="Times New Roman"/>
        </w:rPr>
        <w:t>Ainsi parle l’Éternel : Tenez-vous sur les chemins, regardez, et demandez quels sont les sentiers anciens, quelle est la bonne voie ; marchez-y, et vous trouverez du repos pour vos âmes. Mais ils ont dit : Nous n’y marcherons pas. J’ai aussi établi sur vous des sentinelles, disant : Soyez attentifs au son de la trompette. Mais ils ont dit : Nous n’y serons pas attentifs.</w:t>
      </w:r>
    </w:p>
    <w:p>
      <w:pPr>
        <w:pStyle w:val="ArticleScripture"/>
        <w:jc w:val="left"/>
      </w:pPr>
      <w:r>
        <w:rPr>
          <w:rFonts w:ascii="Times New Roman" w:hAnsi="Times New Roman" w:eastAsia="Times New Roman" w:cs="Times New Roman"/>
        </w:rPr>
        <w:t>Por tanto, oíd, naciones, y entended, oh congregación, lo que hay entre ellos. Oye, oh tierra: he aquí, yo traeré mal sobre este pueblo, el fruto de sus pensamientos, porque no escucharon mis palabras ni mi ley, sino que la rechazaron. Jeremías 6:16–19.</w:t>
      </w:r>
    </w:p>
    <w:p>
      <w:pPr>
        <w:pStyle w:val="ArticleBody"/>
        <w:jc w:val="left"/>
      </w:pPr>
      <w:r>
        <w:rPr>
          <w:rFonts w:ascii="Times New Roman" w:hAnsi="Times New Roman" w:eastAsia="Times New Roman" w:cs="Times New Roman"/>
        </w:rPr>
        <w:t>Kuna makundi mawili ya waabuduo katika kifungu hiki. Kundi moja huchunguza “njia” zote na kuchagua “mapito ya kale” ili kuyafuata. Walikuwa na uwezo wa kuiteua “njia njema” kutoka miongoni mwa “njia” nyingine zote zinazowezekana, kwa sababu wao ni wale walioisikia sauti nyuma yao, nayo sauti hiyo ikawaarifu, “hii ndiyo njia, ienendeni.” Yohana anawakilisha wale waisikiao sauti itokayo nyuma, sauti itokayo katika “mapito ya kale.”</w:t>
      </w:r>
    </w:p>
    <w:p>
      <w:pPr>
        <w:pStyle w:val="ArticleScripture"/>
        <w:jc w:val="left"/>
      </w:pPr>
      <w:r>
        <w:rPr>
          <w:rFonts w:ascii="Times New Roman" w:hAnsi="Times New Roman" w:eastAsia="Times New Roman" w:cs="Times New Roman"/>
        </w:rPr>
        <w:t>«Так говорит Господь: станьте на путях, и рассмотрите, и расспросите о древних стезях, где путь добрый, и идите по нему». Иеремия 6:16.</w:t>
      </w:r>
    </w:p>
    <w:p>
      <w:pPr>
        <w:pStyle w:val="ArticleScripture"/>
        <w:jc w:val="left"/>
      </w:pPr>
      <w:r>
        <w:rPr>
          <w:rFonts w:ascii="Times New Roman" w:hAnsi="Times New Roman" w:eastAsia="Times New Roman" w:cs="Times New Roman"/>
        </w:rPr>
        <w:t>« Que nul ne cherche à arracher les fondements de notre foi — les fondements qui ont été posés au commencement de notre œuvre par l’étude priante de la Parole et par la révélation. Sur ces fondements, nous bâtissons depuis cinquante ans. Des hommes peuvent s’imaginer qu’ils ont découvert une voie nouvelle et qu’ils peuvent poser un fondement plus solide que celui qui a été posé. Mais c’est là une grande séduction. Car personne ne peut poser un autre fondement que celui qui a été posé. »</w:t>
      </w:r>
    </w:p>
    <w:p>
      <w:pPr>
        <w:pStyle w:val="ArticleScripture"/>
        <w:jc w:val="left"/>
      </w:pPr>
      <w:r>
        <w:rPr>
          <w:rFonts w:ascii="Times New Roman" w:hAnsi="Times New Roman" w:eastAsia="Times New Roman" w:cs="Times New Roman"/>
        </w:rPr>
        <w:t>“Il fut un temps où beaucoup ont entrepris de bâtir une foi nouvelle, d’établir de nouveaux principes. Mais combien de temps leur édifice demeura-t-il debout? Il s’écroula bientôt, car il n’était pas fondé sur le Rocher.</w:t>
      </w:r>
    </w:p>
    <w:p>
      <w:pPr>
        <w:pStyle w:val="ArticleScripture"/>
        <w:jc w:val="left"/>
      </w:pPr>
      <w:r>
        <w:rPr>
          <w:rFonts w:ascii="Times New Roman" w:hAnsi="Times New Roman" w:eastAsia="Times New Roman" w:cs="Times New Roman"/>
        </w:rPr>
        <w:t>« Les premiers disciples n’ont-ils pas dû faire face aux paroles des hommes ? N’ont-ils pas dû écouter de fausses théories, puis, après avoir tout accompli, demeurer fermes, en disant : “Car personne ne peut poser un autre fondement que celui qui a été posé.” 1 Corinthiens 3:11. »</w:t>
      </w:r>
    </w:p>
    <w:p>
      <w:pPr>
        <w:pStyle w:val="ArticleScripture"/>
        <w:jc w:val="left"/>
      </w:pPr>
      <w:r>
        <w:rPr>
          <w:rFonts w:ascii="Times New Roman" w:hAnsi="Times New Roman" w:eastAsia="Times New Roman" w:cs="Times New Roman"/>
        </w:rPr>
        <w:t>«Ainsi, nous devons conserver ferme jusqu’à la fin le commencement de notre assurance. Des paroles de puissance ont été envoyées par Dieu et par Christ à ce peuple, l’en faisant sortir du monde, point par point, pour l’amener dans la claire lumière de la vérité présente. Avec des lèvres touchées par un feu sacré, les serviteurs de Dieu ont proclamé le message. La parole divine a apposé son sceau sur l’authenticité de la vérité proclamée.» Testimonies, volume 8, 296, 297.</w:t>
      </w:r>
    </w:p>
    <w:p>
      <w:pPr>
        <w:pStyle w:val="ArticleBody"/>
        <w:jc w:val="left"/>
      </w:pPr>
      <w:r>
        <w:rPr>
          <w:rFonts w:ascii="Times New Roman" w:hAnsi="Times New Roman" w:eastAsia="Times New Roman" w:cs="Times New Roman"/>
        </w:rPr>
        <w:t>Mais il y a un autre groupe dans la lignée de Jérémie, et cette « assemblée », telle qu’il les désigne, a bâti une maison représentant une nouvelle foi, et cette maison tombe parce qu’elle n’a pas été bâtie sur le roc. Cette maison est l’Église adventiste du septième jour, ou, comme Jean identifie cette même Église, la synagogue de Satan.</w:t>
      </w:r>
    </w:p>
    <w:p>
      <w:pPr>
        <w:pStyle w:val="ArticleBody"/>
        <w:jc w:val="left"/>
      </w:pPr>
      <w:r>
        <w:rPr>
          <w:rFonts w:ascii="Times New Roman" w:hAnsi="Times New Roman" w:eastAsia="Times New Roman" w:cs="Times New Roman"/>
        </w:rPr>
        <w:t>Refuser d’écouter, c’est rejeter ses « paroles » et sa « loi ». À cause de leur rébellion, qui consiste à refuser de revenir et de marcher dans les anciens sentiers, ainsi qu’à cause de leur refus d’écouter le message de la trompette du guetteur, Dieu va faire venir le mal sur le peuple que Jérémie désigne comme une « mauvaise assemblée ». La manière dont Dieu traite l’Église adventiste du septième jour de Laodicée est un sujet de prophétie biblique. Le prophète Osée ajoute aux caractéristiques de la « mauvaise assemblée » lorsqu’il parle des raisons pour lesquelles ils sont rejetés.</w:t>
      </w:r>
    </w:p>
    <w:p>
      <w:pPr>
        <w:pStyle w:val="ArticleScripture"/>
        <w:jc w:val="left"/>
      </w:pPr>
      <w:r>
        <w:rPr>
          <w:rFonts w:ascii="Times New Roman" w:hAnsi="Times New Roman" w:eastAsia="Times New Roman" w:cs="Times New Roman"/>
        </w:rPr>
        <w:t>Watu wangu wanaangamizwa kwa kukosa maarifa; kwa kuwa wewe umeikataa maarifa, nami nitakukataa wewe, usiwe kuhani kwangu; kwa kuwa umeisahau sheria ya Mungu wako, nami nitawasahau watoto wako. Hosea 4:6.</w:t>
      </w:r>
    </w:p>
    <w:p>
      <w:pPr>
        <w:pStyle w:val="ArticleBody"/>
        <w:jc w:val="left"/>
      </w:pPr>
      <w:r>
        <w:rPr>
          <w:rFonts w:ascii="Times New Roman" w:hAnsi="Times New Roman" w:eastAsia="Times New Roman" w:cs="Times New Roman"/>
        </w:rPr>
        <w:t>Wɔpo wɔn esiane sɛ wonni nimdeɛ a egyina hɔ ma nkrasɛm a wɔayi ano wɔ awiei bere no mu. Onyankopɔn rewie ne apam mu abusuabɔ a ɔne ne nkurɔfo wɔ wɔ ha wɔ asɛm no mu, efisɛ ɔfrɛ wɔn tẽẽ sɛ, “Me nkurɔfo!” Esiane sɛ wɔpoo Kristo na wɔn werɛ afi Ne mmara nti, wɔrenyɛ asɔfo mma Onyankopɔn. Bere a Onyankopɔn nkurɔfo hyɛ apam mu ne Onyankopɔn a, ɔyɛ wɔn asɔfo ne ahemfo. Bere a Onyankopɔn ne tete Israel hyɛɛ apam no, ɔnam Mose so kae sɛ:</w:t>
      </w:r>
    </w:p>
    <w:p>
      <w:pPr>
        <w:pStyle w:val="ArticleScripture"/>
        <w:jc w:val="left"/>
      </w:pPr>
      <w:r>
        <w:rPr>
          <w:rFonts w:ascii="Times New Roman" w:hAnsi="Times New Roman" w:eastAsia="Times New Roman" w:cs="Times New Roman"/>
        </w:rPr>
        <w:t>Maintenant donc, si vous écoutez véritablement ma voix et gardez mon alliance, vous serez pour moi un trésor particulier entre tous les peuples; car toute la terre est à moi. Et vous serez pour moi un royaume de sacrificateurs et une nation sainte. Telles sont les paroles que tu diras aux enfants d’Israël. Exode 19:5, 6.</w:t>
      </w:r>
    </w:p>
    <w:p>
      <w:pPr>
        <w:pStyle w:val="ArticleBody"/>
        <w:jc w:val="left"/>
      </w:pPr>
      <w:r>
        <w:rPr>
          <w:rFonts w:ascii="Times New Roman" w:hAnsi="Times New Roman" w:eastAsia="Times New Roman" w:cs="Times New Roman"/>
        </w:rPr>
        <w:t>Mo Nzambe akotaki na kondimana elongo na lingomba ya Baklisto, alobaki na nzela ya Petelo:</w:t>
      </w:r>
    </w:p>
    <w:p>
      <w:pPr>
        <w:pStyle w:val="ArticleScripture"/>
        <w:jc w:val="left"/>
      </w:pPr>
      <w:r>
        <w:rPr>
          <w:rFonts w:ascii="Times New Roman" w:hAnsi="Times New Roman" w:eastAsia="Times New Roman" w:cs="Times New Roman"/>
        </w:rPr>
        <w:t>Mais vous êtes une race élue, un sacerdoce royal, une nation sainte, un peuple acquis, afin que vous annonciez les vertus de celui qui vous a appelés des ténèbres à sa merveilleuse lumière ; vous qui autrefois n’étiez pas un peuple, mais qui maintenant êtes le peuple de Dieu ; vous qui n’aviez pas obtenu miséricorde, mais qui maintenant avez obtenu miséricorde. 1 Pierre 2:9, 10.</w:t>
      </w:r>
    </w:p>
    <w:p>
      <w:pPr>
        <w:pStyle w:val="ArticleBody"/>
        <w:jc w:val="left"/>
      </w:pPr>
      <w:r>
        <w:rPr>
          <w:rFonts w:ascii="Times New Roman" w:hAnsi="Times New Roman" w:eastAsia="Times New Roman" w:cs="Times New Roman"/>
        </w:rPr>
        <w:t>Peter ka waɗannan ayoyi yana magana ne game da sauyawar daga Isra’ila ta dā a matsayin zaɓaɓɓiyar jama’ar alkawarin Allah zuwa ga ikkilisiyar Kirista, sa’ad da ya ce, “a dā ba jama’a ba ne, amma yanzu ku ne jama’ar Allah.” Sa’ad da Yahudawa suka raba kansu da Allah, Ubangiji ya shiga alkawari da ikkilisiyar Kirista. An ɗauki duka biyun a matsayin al’ummai na firistoci muddin suna auren Ubangiji.</w:t>
      </w:r>
    </w:p>
    <w:p>
      <w:pPr>
        <w:pStyle w:val="ArticleBody"/>
        <w:jc w:val="left"/>
      </w:pPr>
      <w:r>
        <w:rPr>
          <w:rFonts w:ascii="Times New Roman" w:hAnsi="Times New Roman" w:eastAsia="Times New Roman" w:cs="Times New Roman"/>
        </w:rPr>
        <w:t>Per essere rigettati come sacerdoti, bisogna indicare che un tempo si era un popolo di patto. Gli Avventisti del Settimo Giorno entrarono in patto con il Signore agli inizi della storia avventista. La chiesa nel deserto uscì dalla Riforma, ma rigettò il messaggio millerita, e così divorziò da Dio durante la storia dei messaggi del primo e del secondo angelo. La separazione finale avvenne con l’arrivo del secondo angelo, e fu dichiarato che essa non era più una figlia di Cristo, ma era divenuta una figlia di Babilonia. Subito dopo, durante il Grido di Mezzanotte, Dio chiamò la Sua nuova sposa al matrimonio del patto.</w:t>
      </w:r>
    </w:p>
    <w:p>
      <w:pPr>
        <w:pStyle w:val="ArticleBody"/>
        <w:jc w:val="left"/>
      </w:pPr>
      <w:r>
        <w:rPr>
          <w:rFonts w:ascii="Times New Roman" w:hAnsi="Times New Roman" w:eastAsia="Times New Roman" w:cs="Times New Roman"/>
        </w:rPr>
        <w:t>Iwo matebulo awiri amene anali chizindikiro cha pangano kwa Israyeli wakale anali matebulo awiri a Malamulo Khumi, ndipo matebulo awiri a Israyeli wauzimu wa masiku ano ndi matebulo awiri a Habakuku monga akuimiridwa ndi ma chart a 1843 ndi 1850. Anthu a pangano amene kudzoza kwawazindikiritsa mobwerezabwereza monga Laodikaya anakana njira zakale, anakana kumvera mawu kumbuyo kwawo, ndipo motero akubwereza mbiri yomaliza ya Israyeli wakale pamene akulavulidwa m’kamwa mwa Ambuye. Chifukwa chiyani izi zimachitika kwa iwo amene Iye amawatcha, “Anthu Anga?”</w:t>
      </w:r>
    </w:p>
    <w:p>
      <w:pPr>
        <w:pStyle w:val="ArticleBody"/>
        <w:jc w:val="left"/>
      </w:pPr>
      <w:r>
        <w:rPr>
          <w:rFonts w:ascii="Times New Roman" w:hAnsi="Times New Roman" w:eastAsia="Times New Roman" w:cs="Times New Roman"/>
        </w:rPr>
        <w:t>La parabole des dix vierges, qui illustre l’expérience de l’adventisme, s’accomplit deux fois, une première fois au commencement, puis à la fin de l’adventisme. Sœur White enseigne que la parabole s’est accomplie et s’accomplira jusque dans les moindres détails, et aussi qu’elle doit toujours être comprise comme une vérité présente, tout comme le troisième ange.</w:t>
      </w:r>
    </w:p>
    <w:p>
      <w:pPr>
        <w:pStyle w:val="ArticleScripture"/>
        <w:jc w:val="left"/>
      </w:pPr>
      <w:r>
        <w:rPr>
          <w:rFonts w:ascii="Times New Roman" w:hAnsi="Times New Roman" w:eastAsia="Times New Roman" w:cs="Times New Roman"/>
        </w:rPr>
        <w:t>“Mi se face adesea trimitere la parabola celor zece fecioare, dintre care cinci erau înțelepte, iar cinci neînțelepte. Această parabolă a fost și va fi împlinită până la cea mai mică literă, căci are o aplicare specială pentru acest timp și, asemenea soliei îngerului al treilea, a fost împlinită și va continua să fie adevăr prezent până la încheierea timpului.” Review and Herald, 19 august 1890.</w:t>
      </w:r>
    </w:p>
    <w:p>
      <w:pPr>
        <w:pStyle w:val="ArticleBody"/>
        <w:jc w:val="left"/>
      </w:pPr>
      <w:r>
        <w:rPr>
          <w:rFonts w:ascii="Times New Roman" w:hAnsi="Times New Roman" w:eastAsia="Times New Roman" w:cs="Times New Roman"/>
        </w:rPr>
        <w:t>Millerite Adventism la faris esperan plenumon de la parabolo inter ilia malsukcesa antaŭdiro pri 1843 kaj la ĝusta antaŭdiro de la 22-a de oktobro 1844. La profetaj detaloj de ĉi tiu historio estas multaj kaj gravaj, sed mi simple deziras montri, ke la parabolo pri la dek virgulinoj estas rekte ligita al la tria anĝelo, kiel ĵus diris Fratino White.</w:t>
      </w:r>
    </w:p>
    <w:p>
      <w:pPr>
        <w:pStyle w:val="ArticleBody"/>
        <w:jc w:val="left"/>
      </w:pPr>
      <w:r>
        <w:rPr>
          <w:rFonts w:ascii="Times New Roman" w:hAnsi="Times New Roman" w:eastAsia="Times New Roman" w:cs="Times New Roman"/>
        </w:rPr>
        <w:t>Kuyambira mu 1798 kufikira pa 22 Okutobala, 1844, uthenga wa mngelo woyamba unalengeza kutsegulidwa kwa chiweruzo. Pafupi kwambiri chiweruzochi chisanafike kuyamba, Kufuula kwa Pakati pa Usiku kwa fanizo la anamwali khumi kunakwaniritsidwa. Choncho, pamene mngelo wachitatu alengeza kutsekedwa kwa chiweruzo, kulengezedwa kwa Kufuula kwa Pakati pa Usiku kudzabwerezedwanso.</w:t>
      </w:r>
    </w:p>
    <w:p>
      <w:pPr>
        <w:pStyle w:val="ArticleBody"/>
        <w:jc w:val="left"/>
      </w:pPr>
      <w:r>
        <w:rPr>
          <w:rFonts w:ascii="Times New Roman" w:hAnsi="Times New Roman" w:eastAsia="Times New Roman" w:cs="Times New Roman"/>
        </w:rPr>
        <w:t>La reconnaissance du fait que les Églises protestantes avaient rejeté le message de Dieu, devenant ainsi les filles de Babylone, marqua l’arrivée du message du deuxième ange et le commencement du temps d’attente dans la parabole qui s’accomplissait « à la lettre même ». Le Seigneur ne revint pas en 1843 ; Il tarda afin d’éprouver et de bénir les vierges. L’annonce du deuxième ange, identifiant les Églises protestantes comme les filles de Babylone, était un appel adressé à ceux qui se trouvaient encore dans ces Églises déchues, afin qu’ils en sortissent et se tiennent aux côtés des millérites et de leur compréhension des prophéties. Lors du camp-meeting d’Exeter, Samuel Snow présenta les preuves nécessaires pour confirmer la venue du Seigneur le 22 octobre 1844, et le message du Cri de Minuit se répandit à travers le pays comme un raz-de-marée. Alors le troisième ange arriva lors de la Grande Déception du 22 octobre 1844.</w:t>
      </w:r>
    </w:p>
    <w:p>
      <w:pPr>
        <w:pStyle w:val="ArticleBody"/>
        <w:jc w:val="left"/>
      </w:pPr>
      <w:r>
        <w:rPr>
          <w:rFonts w:ascii="Times New Roman" w:hAnsi="Times New Roman" w:eastAsia="Times New Roman" w:cs="Times New Roman"/>
        </w:rPr>
        <w:t>Eyi jẹ́ àkótán kúkúrú ti ìtàn ìbẹ̀rẹ̀ kan, nínú èyí tí mo ti fi ọ̀pọ̀lọpọ̀ kókó sílẹ̀, kí n lè ya àwọn kókó díẹ̀ sọ́tọ̀ tí ó dàbí ẹni pé wọ́n ní ìbáṣepọ̀ tó lágbára sí ohun tí a ń ṣàgbéyẹ̀wò.</w:t>
      </w:r>
    </w:p>
    <w:p>
      <w:pPr>
        <w:pStyle w:val="ArticleBody"/>
        <w:jc w:val="left"/>
      </w:pPr>
      <w:r>
        <w:rPr>
          <w:rFonts w:ascii="Times New Roman" w:hAnsi="Times New Roman" w:eastAsia="Times New Roman" w:cs="Times New Roman"/>
        </w:rPr>
        <w:t>Nous poursuivrons ces réflexions dans le prochain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Avertissements parallèles - Numéro un</dc:title>
  <dc:subject>Ufunuo wa Yesu Kristo: Kuelewa Onyo la Mwisho kwa Wanadamu</dc:subject>
  <dc:creator>Jeff Pippenger</dc:creator>
  <cp:keywords/>
  <dc:description>Generated by ArticleDigger from parallel_warnings\01_parallel_warnings.json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