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Кисәтеүҙәрҙең параллелдәре — Өсөнсө һан</w:t>
      </w:r>
    </w:p>
    <w:p>
      <w:pPr>
        <w:pStyle w:val="ArticleSubtitle"/>
        <w:jc w:val="left"/>
      </w:pPr>
      <w:r>
        <w:rPr>
          <w:rFonts w:ascii="Leelawadee UI" w:hAnsi="Leelawadee UI" w:eastAsia="Leelawadee UI" w:cs="Leelawadee UI"/>
        </w:rPr>
        <w:t>ការផ្តល់អំណាចដល់សារព្យាករណ៍៖</w:t>
      </w:r>
      <w:r>
        <w:rPr>
          <w:rFonts w:ascii="Arial" w:hAnsi="Arial" w:eastAsia="Arial" w:cs="Arial"/>
        </w:rPr>
        <w:t xml:space="preserve"> </w:t>
      </w:r>
      <w:r>
        <w:rPr>
          <w:rFonts w:ascii="Leelawadee UI" w:hAnsi="Leelawadee UI" w:eastAsia="Leelawadee UI" w:cs="Leelawadee UI"/>
        </w:rPr>
        <w:t>ដំណើរការនៃការសាកល្បងជាបន្តបន្ទាប់របស់ទេវតាក្នុងព្រះវរបិតានៃវិវរណៈ</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Waxaan maqaalkii hore ku soo gunaanadnay annagoo aqoonsannay in dhammaan saddexda malaa’igood ee Muujintii afar iyo tobnaad ay gacmahooda ku sitaan farriin. Malaa’igta labaad iyo tan saddexaad waxaa lagu gartaa inay wataan “qoraal duuban” iyaga la jira markay la soo degayaan farriintooda. Malaa’ig kastaa waxay matalaysaa farriin, imaatinka farriin kastaana wuxuu keenaa saameyn. Malaa’igtii kowaad waxay timid sannadkii 1798. Farriintaas waa la furfuray, waxaana kordhay aqoontii ku saabsanayd xukunka soo dhow. Kordhintaas aqooneed waxay soo saartay laba qaybood oo caabudayaal ah. Markii malaa’igtii labaad timid, farriintii ku saabsnayd dhicitaankii Protestantiyiinta waa la furfuray, waxaana kordhay aqoon, laba qayboodna waa la soo saaray. Markii farriintii Qayladii Saqda-dhexe timid Oktoobar 22, 1844, waxaa lagu furfuray shirka xerada Exeter, waxaana kordhay aqoon, waxaana la soo saaray laba qaybood oo bikrado ah. Markii malaa’igtii saddexaad timid Oktoobar 22, 1844, farriintii malaa’igta saddexaad iyo wax kasta oo ay matasho waa la furfuray, waxaana kordhay aqoon, laba qayboodna waa la soo saaray.</w:t>
      </w:r>
    </w:p>
    <w:p>
      <w:pPr>
        <w:pStyle w:val="ArticleBody"/>
        <w:jc w:val="left"/>
      </w:pPr>
      <w:r>
        <w:rPr>
          <w:rFonts w:ascii="Times New Roman" w:hAnsi="Times New Roman" w:eastAsia="Times New Roman" w:cs="Times New Roman"/>
        </w:rPr>
        <w:t>Une autre caractéristique que l’on peut trouver chez les anges concerne la mise en puissance des messages angéliques. Le message du deuxième ange fut fortifié par le message du Cri de Minuit, comme l’a montré l’article précédent; mais le Cri de Minuit n’est pas représenté par un seul ange, il est représenté par plusieurs anges. L’histoire qui correspond au deuxième ange et au Cri de Minuit montre que le message du deuxième ange fut fortifié lorsque le Cri de Minuit se joignit à lui. Dans le même ouvrage, il nous est dit: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我看见天使在天上来往奔走</w:t>
      </w:r>
      <w:r>
        <w:rPr>
          <w:rFonts w:ascii="Times New Roman" w:hAnsi="Times New Roman" w:eastAsia="Times New Roman" w:cs="Times New Roman"/>
        </w:rPr>
        <w:t>.</w:t>
      </w:r>
      <w:r>
        <w:rPr>
          <w:rFonts w:ascii="Microsoft YaHei" w:hAnsi="Microsoft YaHei" w:eastAsia="Microsoft YaHei" w:cs="Microsoft YaHei"/>
        </w:rPr>
        <w:t>他们降到地上</w:t>
      </w:r>
      <w:r>
        <w:rPr>
          <w:rFonts w:ascii="Times New Roman" w:hAnsi="Times New Roman" w:eastAsia="Times New Roman" w:cs="Times New Roman"/>
        </w:rPr>
        <w:t>,</w:t>
      </w:r>
      <w:r>
        <w:rPr>
          <w:rFonts w:ascii="Microsoft YaHei" w:hAnsi="Microsoft YaHei" w:eastAsia="Microsoft YaHei" w:cs="Microsoft YaHei"/>
        </w:rPr>
        <w:t>又再升到天上</w:t>
      </w:r>
      <w:r>
        <w:rPr>
          <w:rFonts w:ascii="Times New Roman" w:hAnsi="Times New Roman" w:eastAsia="Times New Roman" w:cs="Times New Roman"/>
        </w:rPr>
        <w:t>,</w:t>
      </w:r>
      <w:r>
        <w:rPr>
          <w:rFonts w:ascii="Microsoft YaHei" w:hAnsi="Microsoft YaHei" w:eastAsia="Microsoft YaHei" w:cs="Microsoft YaHei"/>
        </w:rPr>
        <w:t>为某一重大事件的应验作准备</w:t>
      </w:r>
      <w:r>
        <w:rPr>
          <w:rFonts w:ascii="Times New Roman" w:hAnsi="Times New Roman" w:eastAsia="Times New Roman" w:cs="Times New Roman"/>
        </w:rPr>
        <w:t>.</w:t>
      </w:r>
      <w:r>
        <w:rPr>
          <w:rFonts w:ascii="Microsoft YaHei" w:hAnsi="Microsoft YaHei" w:eastAsia="Microsoft YaHei" w:cs="Microsoft YaHei"/>
        </w:rPr>
        <w:t>随后我看见另一位大有能力的天使奉差遣降到地上</w:t>
      </w:r>
      <w:r>
        <w:rPr>
          <w:rFonts w:ascii="Times New Roman" w:hAnsi="Times New Roman" w:eastAsia="Times New Roman" w:cs="Times New Roman"/>
        </w:rPr>
        <w:t>,</w:t>
      </w:r>
      <w:r>
        <w:rPr>
          <w:rFonts w:ascii="Microsoft YaHei" w:hAnsi="Microsoft YaHei" w:eastAsia="Microsoft YaHei" w:cs="Microsoft YaHei"/>
        </w:rPr>
        <w:t>与第三位天使同声发言</w:t>
      </w:r>
      <w:r>
        <w:rPr>
          <w:rFonts w:ascii="Times New Roman" w:hAnsi="Times New Roman" w:eastAsia="Times New Roman" w:cs="Times New Roman"/>
        </w:rPr>
        <w:t>,</w:t>
      </w:r>
      <w:r>
        <w:rPr>
          <w:rFonts w:ascii="Microsoft YaHei" w:hAnsi="Microsoft YaHei" w:eastAsia="Microsoft YaHei" w:cs="Microsoft YaHei"/>
        </w:rPr>
        <w:t>并赐能力与力量给他的信息</w:t>
      </w:r>
      <w:r>
        <w:rPr>
          <w:rFonts w:ascii="Times New Roman" w:hAnsi="Times New Roman" w:eastAsia="Times New Roman" w:cs="Times New Roman"/>
        </w:rPr>
        <w:t>.</w:t>
      </w:r>
      <w:r>
        <w:rPr>
          <w:rFonts w:ascii="Microsoft YaHei" w:hAnsi="Microsoft YaHei" w:eastAsia="Microsoft YaHei" w:cs="Microsoft YaHei"/>
        </w:rPr>
        <w:t>大能与荣耀赐给了这位天使</w:t>
      </w:r>
      <w:r>
        <w:rPr>
          <w:rFonts w:ascii="Times New Roman" w:hAnsi="Times New Roman" w:eastAsia="Times New Roman" w:cs="Times New Roman"/>
        </w:rPr>
        <w:t>;</w:t>
      </w:r>
      <w:r>
        <w:rPr>
          <w:rFonts w:ascii="Microsoft YaHei" w:hAnsi="Microsoft YaHei" w:eastAsia="Microsoft YaHei" w:cs="Microsoft YaHei"/>
        </w:rPr>
        <w:t>当他降下的时候</w:t>
      </w:r>
      <w:r>
        <w:rPr>
          <w:rFonts w:ascii="Times New Roman" w:hAnsi="Times New Roman" w:eastAsia="Times New Roman" w:cs="Times New Roman"/>
        </w:rPr>
        <w:t>,</w:t>
      </w:r>
      <w:r>
        <w:rPr>
          <w:rFonts w:ascii="Microsoft YaHei" w:hAnsi="Microsoft YaHei" w:eastAsia="Microsoft YaHei" w:cs="Microsoft YaHei"/>
        </w:rPr>
        <w:t>地因他的荣耀就发了光</w:t>
      </w:r>
      <w:r>
        <w:rPr>
          <w:rFonts w:ascii="Times New Roman" w:hAnsi="Times New Roman" w:eastAsia="Times New Roman" w:cs="Times New Roman"/>
        </w:rPr>
        <w:t>.</w:t>
      </w:r>
      <w:r>
        <w:rPr>
          <w:rFonts w:ascii="Microsoft YaHei" w:hAnsi="Microsoft YaHei" w:eastAsia="Microsoft YaHei" w:cs="Microsoft YaHei"/>
        </w:rPr>
        <w:t>这位天使前行与随后所发出的光</w:t>
      </w:r>
      <w:r>
        <w:rPr>
          <w:rFonts w:ascii="Times New Roman" w:hAnsi="Times New Roman" w:eastAsia="Times New Roman" w:cs="Times New Roman"/>
        </w:rPr>
        <w:t>,</w:t>
      </w:r>
      <w:r>
        <w:rPr>
          <w:rFonts w:ascii="Microsoft YaHei" w:hAnsi="Microsoft YaHei" w:eastAsia="Microsoft YaHei" w:cs="Microsoft YaHei"/>
        </w:rPr>
        <w:t>照透各处</w:t>
      </w:r>
      <w:r>
        <w:rPr>
          <w:rFonts w:ascii="Times New Roman" w:hAnsi="Times New Roman" w:eastAsia="Times New Roman" w:cs="Times New Roman"/>
        </w:rPr>
        <w:t>;</w:t>
      </w:r>
      <w:r>
        <w:rPr>
          <w:rFonts w:ascii="Microsoft YaHei" w:hAnsi="Microsoft YaHei" w:eastAsia="Microsoft YaHei" w:cs="Microsoft YaHei"/>
        </w:rPr>
        <w:t>他大声呼喊</w:t>
      </w:r>
      <w:r>
        <w:rPr>
          <w:rFonts w:ascii="Times New Roman" w:hAnsi="Times New Roman" w:eastAsia="Times New Roman" w:cs="Times New Roman"/>
        </w:rPr>
        <w:t>,</w:t>
      </w:r>
      <w:r>
        <w:rPr>
          <w:rFonts w:ascii="Microsoft YaHei" w:hAnsi="Microsoft YaHei" w:eastAsia="Microsoft YaHei" w:cs="Microsoft YaHei"/>
        </w:rPr>
        <w:t>用强有力的声音说：大巴比伦倾倒了</w:t>
      </w:r>
      <w:r>
        <w:rPr>
          <w:rFonts w:ascii="Times New Roman" w:hAnsi="Times New Roman" w:eastAsia="Times New Roman" w:cs="Times New Roman"/>
        </w:rPr>
        <w:t>,</w:t>
      </w:r>
      <w:r>
        <w:rPr>
          <w:rFonts w:ascii="Microsoft YaHei" w:hAnsi="Microsoft YaHei" w:eastAsia="Microsoft YaHei" w:cs="Microsoft YaHei"/>
        </w:rPr>
        <w:t>倾倒了</w:t>
      </w:r>
      <w:r>
        <w:rPr>
          <w:rFonts w:ascii="Times New Roman" w:hAnsi="Times New Roman" w:eastAsia="Times New Roman" w:cs="Times New Roman"/>
        </w:rPr>
        <w:t>,</w:t>
      </w:r>
      <w:r>
        <w:rPr>
          <w:rFonts w:ascii="Microsoft YaHei" w:hAnsi="Microsoft YaHei" w:eastAsia="Microsoft YaHei" w:cs="Microsoft YaHei"/>
        </w:rPr>
        <w:t>成了鬼魔的住处</w:t>
      </w:r>
      <w:r>
        <w:rPr>
          <w:rFonts w:ascii="Times New Roman" w:hAnsi="Times New Roman" w:eastAsia="Times New Roman" w:cs="Times New Roman"/>
        </w:rPr>
        <w:t>,</w:t>
      </w:r>
      <w:r>
        <w:rPr>
          <w:rFonts w:ascii="Microsoft YaHei" w:hAnsi="Microsoft YaHei" w:eastAsia="Microsoft YaHei" w:cs="Microsoft YaHei"/>
        </w:rPr>
        <w:t>和各样污秽之灵的巢穴</w:t>
      </w:r>
      <w:r>
        <w:rPr>
          <w:rFonts w:ascii="Times New Roman" w:hAnsi="Times New Roman" w:eastAsia="Times New Roman" w:cs="Times New Roman"/>
        </w:rPr>
        <w:t>,</w:t>
      </w:r>
      <w:r>
        <w:rPr>
          <w:rFonts w:ascii="Microsoft YaHei" w:hAnsi="Microsoft YaHei" w:eastAsia="Microsoft YaHei" w:cs="Microsoft YaHei"/>
        </w:rPr>
        <w:t>并各样污秽可憎之雀鸟的囚笼</w:t>
      </w:r>
      <w:r>
        <w:rPr>
          <w:rFonts w:ascii="Times New Roman" w:hAnsi="Times New Roman" w:eastAsia="Times New Roman" w:cs="Times New Roman"/>
        </w:rPr>
        <w:t>.</w:t>
      </w:r>
      <w:r>
        <w:rPr>
          <w:rFonts w:ascii="Microsoft YaHei" w:hAnsi="Microsoft YaHei" w:eastAsia="Microsoft YaHei" w:cs="Microsoft YaHei"/>
        </w:rPr>
        <w:t>第二位天使所传巴比伦倾倒的信息</w:t>
      </w:r>
      <w:r>
        <w:rPr>
          <w:rFonts w:ascii="Times New Roman" w:hAnsi="Times New Roman" w:eastAsia="Times New Roman" w:cs="Times New Roman"/>
        </w:rPr>
        <w:t>,</w:t>
      </w:r>
      <w:r>
        <w:rPr>
          <w:rFonts w:ascii="Microsoft YaHei" w:hAnsi="Microsoft YaHei" w:eastAsia="Microsoft YaHei" w:cs="Microsoft YaHei"/>
        </w:rPr>
        <w:t>如今再次传出</w:t>
      </w:r>
      <w:r>
        <w:rPr>
          <w:rFonts w:ascii="Times New Roman" w:hAnsi="Times New Roman" w:eastAsia="Times New Roman" w:cs="Times New Roman"/>
        </w:rPr>
        <w:t>,</w:t>
      </w:r>
      <w:r>
        <w:rPr>
          <w:rFonts w:ascii="Microsoft YaHei" w:hAnsi="Microsoft YaHei" w:eastAsia="Microsoft YaHei" w:cs="Microsoft YaHei"/>
        </w:rPr>
        <w:t>并加上自</w:t>
      </w:r>
      <w:r>
        <w:rPr>
          <w:rFonts w:ascii="Times New Roman" w:hAnsi="Times New Roman" w:eastAsia="Times New Roman" w:cs="Times New Roman"/>
        </w:rPr>
        <w:t>1844</w:t>
      </w:r>
      <w:r>
        <w:rPr>
          <w:rFonts w:ascii="Microsoft YaHei" w:hAnsi="Microsoft YaHei" w:eastAsia="Microsoft YaHei" w:cs="Microsoft YaHei"/>
        </w:rPr>
        <w:t>年以来不断侵入众教会的败坏</w:t>
      </w:r>
      <w:r>
        <w:rPr>
          <w:rFonts w:ascii="Times New Roman" w:hAnsi="Times New Roman" w:eastAsia="Times New Roman" w:cs="Times New Roman"/>
        </w:rPr>
        <w:t>.</w:t>
      </w:r>
      <w:r>
        <w:rPr>
          <w:rFonts w:ascii="Microsoft YaHei" w:hAnsi="Microsoft YaHei" w:eastAsia="Microsoft YaHei" w:cs="Microsoft YaHei"/>
        </w:rPr>
        <w:t>这位天使的工作在适当的时候临到</w:t>
      </w:r>
      <w:r>
        <w:rPr>
          <w:rFonts w:ascii="Times New Roman" w:hAnsi="Times New Roman" w:eastAsia="Times New Roman" w:cs="Times New Roman"/>
        </w:rPr>
        <w:t>,</w:t>
      </w:r>
      <w:r>
        <w:rPr>
          <w:rFonts w:ascii="Microsoft YaHei" w:hAnsi="Microsoft YaHei" w:eastAsia="Microsoft YaHei" w:cs="Microsoft YaHei"/>
        </w:rPr>
        <w:t>并加入第三位天使信息最后的大工</w:t>
      </w:r>
      <w:r>
        <w:rPr>
          <w:rFonts w:ascii="Times New Roman" w:hAnsi="Times New Roman" w:eastAsia="Times New Roman" w:cs="Times New Roman"/>
        </w:rPr>
        <w:t>,</w:t>
      </w:r>
      <w:r>
        <w:rPr>
          <w:rFonts w:ascii="Microsoft YaHei" w:hAnsi="Microsoft YaHei" w:eastAsia="Microsoft YaHei" w:cs="Microsoft YaHei"/>
        </w:rPr>
        <w:t>使之发展成为大声呼喊</w:t>
      </w:r>
      <w:r>
        <w:rPr>
          <w:rFonts w:ascii="Times New Roman" w:hAnsi="Times New Roman" w:eastAsia="Times New Roman" w:cs="Times New Roman"/>
        </w:rPr>
        <w:t>.</w:t>
      </w:r>
      <w:r>
        <w:rPr>
          <w:rFonts w:ascii="Microsoft YaHei" w:hAnsi="Microsoft YaHei" w:eastAsia="Microsoft YaHei" w:cs="Microsoft YaHei"/>
        </w:rPr>
        <w:t>上帝的子民在各处都被装备妥当</w:t>
      </w:r>
      <w:r>
        <w:rPr>
          <w:rFonts w:ascii="Times New Roman" w:hAnsi="Times New Roman" w:eastAsia="Times New Roman" w:cs="Times New Roman"/>
        </w:rPr>
        <w:t>,</w:t>
      </w:r>
      <w:r>
        <w:rPr>
          <w:rFonts w:ascii="Microsoft YaHei" w:hAnsi="Microsoft YaHei" w:eastAsia="Microsoft YaHei" w:cs="Microsoft YaHei"/>
        </w:rPr>
        <w:t>可以在他们不久将要遭遇的试炼时辰站立得住</w:t>
      </w:r>
      <w:r>
        <w:rPr>
          <w:rFonts w:ascii="Times New Roman" w:hAnsi="Times New Roman" w:eastAsia="Times New Roman" w:cs="Times New Roman"/>
        </w:rPr>
        <w:t>.</w:t>
      </w:r>
      <w:r>
        <w:rPr>
          <w:rFonts w:ascii="Microsoft YaHei" w:hAnsi="Microsoft YaHei" w:eastAsia="Microsoft YaHei" w:cs="Microsoft YaHei"/>
        </w:rPr>
        <w:t>我看见有大光照耀在他们身上</w:t>
      </w:r>
      <w:r>
        <w:rPr>
          <w:rFonts w:ascii="Times New Roman" w:hAnsi="Times New Roman" w:eastAsia="Times New Roman" w:cs="Times New Roman"/>
        </w:rPr>
        <w:t>,</w:t>
      </w:r>
      <w:r>
        <w:rPr>
          <w:rFonts w:ascii="Microsoft YaHei" w:hAnsi="Microsoft YaHei" w:eastAsia="Microsoft YaHei" w:cs="Microsoft YaHei"/>
        </w:rPr>
        <w:t>他们便与这信息联合</w:t>
      </w:r>
      <w:r>
        <w:rPr>
          <w:rFonts w:ascii="Times New Roman" w:hAnsi="Times New Roman" w:eastAsia="Times New Roman" w:cs="Times New Roman"/>
        </w:rPr>
        <w:t>,</w:t>
      </w:r>
      <w:r>
        <w:rPr>
          <w:rFonts w:ascii="Microsoft YaHei" w:hAnsi="Microsoft YaHei" w:eastAsia="Microsoft YaHei" w:cs="Microsoft YaHei"/>
        </w:rPr>
        <w:t>毫无畏惧地以大能力宣扬第三位天使的信息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“Malāʾikah diutus untuk menolong malaikat perkasa dari surga itu, dan aku mendengar suara-suara yang tampaknya bergema di mana-mana, Keluarlah daripadanya, hai umat-Ku, supaya kamu jangan mengambil bagian dalam dosa-dosanya, dan supaya kamu jangan turut menerima tulah-tulahnya; karena dosa-dosanya telah bertimbun sampai ke langit, dan Allah telah mengingat segala kefasikannya. Pekabaran ini tampaknya merupakan suatu tambahan kepada pekabaran ketiga itu, dan bergabung dengannya, sebagaimana seruan tengah malam bergabung dengan pekabaran malaikat kedua pada tahun 1844. Kemuliaan Allah hinggap atas orang-orang kudus yang sabar dan yang menantikan itu, dan dengan tidak gentar mereka menyampaikan amaran terakhir yang khidmat, memberitakan kejatuhan Babel, serta menyerukan kepada umat Allah supaya keluar daripadanya; agar mereka luput dari hukuman dahsyatnya.” Spiritual Gifts, jilid 1, 193, 194.</w:t>
      </w:r>
    </w:p>
    <w:p>
      <w:pPr>
        <w:pStyle w:val="ArticleBody"/>
        <w:jc w:val="left"/>
      </w:pPr>
      <w:r>
        <w:rPr>
          <w:rFonts w:ascii="Times New Roman" w:hAnsi="Times New Roman" w:eastAsia="Times New Roman" w:cs="Times New Roman"/>
        </w:rPr>
        <w:t>Le cri de minuit s’est uni au deuxième ange, et l’ange d’Apocalypse dix-huit s’unit au troisième ange; et lorsqu’il s’unit au troisième ange, il répète l’union du Cri de minuit et du deuxième ange au commencement de l’adventisme. Sur la base de deux témoins, le deuxième et le troisième ange, chaque message angélique possède un message secondaire qui lui confère sa puissance. Ces deux témoins enseignent que, lorsque le message du premier ange est apparu dans l’histoire, il devait nécessairement venir un moment, par la suite, où ce message serait fortifié par un message secondaire. Cela était, bien entendu, également vrai du premier ange. Dans le premier paragraphe du long passage que nous venons de présenter, Sœur White attribue au premier ange les mêmes caractéristiques que Jean assigne à l’ange d’Apocalypse dix-huit lorsqu’elle déclare: « Il m’a été dit que sa mission était d’illuminer la terre de sa gloire, et d’avertir l’homme de la colère de Dieu qui vient. » Il est évident que, dans ce passage, elle se réfère au premier ange.</w:t>
      </w:r>
    </w:p>
    <w:p>
      <w:pPr>
        <w:pStyle w:val="ArticleBody"/>
        <w:jc w:val="left"/>
      </w:pPr>
      <w:r>
        <w:rPr>
          <w:rFonts w:ascii="Times New Roman" w:hAnsi="Times New Roman" w:eastAsia="Times New Roman" w:cs="Times New Roman"/>
        </w:rPr>
        <w:t>Pesan malaikat yang pertama tiba pada tahun 1798, dan sesudah itu diberi kuasa pada 11 Agustus 1840, ketika supremasi Utsmani berakhir. Pada saat itulah malaikat perkasa dalam Wahyu sepuluh turun dari surga dan menaruh satu kakinya di darat dan satu di laut. Ia melambangkan pemberian kuasa kepada malaikat pertama, dan inilah yang menandai pekerjaan malaikat pertama sebagai pekerjaan yang sama dengan malaikat dalam Wahyu delapan belas. Keduanya harus menerangi bumi dengan kemuliaan mereka, tetapi malaikat dalam Wahyu delapan belas bergabung dengan malaikat ketiga, sama seperti Seruan Tengah Malam bergabung dengan malaikat kedua dan sama seperti malaikat yang turun dalam Wahyu sepuluh bergabung dengan malaikat pertama.</w:t>
      </w:r>
    </w:p>
    <w:p>
      <w:pPr>
        <w:pStyle w:val="ArticleBody"/>
        <w:jc w:val="left"/>
      </w:pPr>
      <w:r>
        <w:rPr>
          <w:rFonts w:ascii="Times New Roman" w:hAnsi="Times New Roman" w:eastAsia="Times New Roman" w:cs="Times New Roman"/>
        </w:rPr>
        <w:t>Darum wurde, als der erste Engel erschien, eine Botschaft entsiegelt, die zwei Klassen von Anbetern hervorbrachte. Als die Botschaft des ersten Engels durch den Engel aus Offenbarung zehn mit Macht ausgestattet wurde, hatte er ein kleines Buch in seiner Hand, das er Johannes zu essen gebot; damit wird kenntlich gemacht, dass er eine Botschaft brachte, sie entsiegelte, und sie brachte zwei Klassen von Anbetern hervor. Als der zweite Engel, der Mitternachtsruf, und der dritte Engel erschienen, wurde eine Botschaft entsiegelt, die prüfte und zwei Klassen von Anbetern hervorbrachte.</w:t>
      </w:r>
    </w:p>
    <w:p>
      <w:pPr>
        <w:pStyle w:val="ArticleBody"/>
        <w:jc w:val="left"/>
      </w:pPr>
      <w:r>
        <w:rPr>
          <w:rFonts w:ascii="Times New Roman" w:hAnsi="Times New Roman" w:eastAsia="Times New Roman" w:cs="Times New Roman"/>
        </w:rPr>
        <w:t>O trajto que nos ocupa enfatiza, mediante a comparação entre a história de Cristo e a história dos mileritas, que o processo sequencial de prova que ocorreu na história milerita também ocorreu nos dias de Cristo, os quais marcaram o fim do antigo Israel. Se um processo sequencial de prova ocorreu no início do Israel espiritual e no fim do antigo Israel, então haverá um processo sequencial de prova no fim do Israel espiritual, assim como houve no início do antigo Israel.</w:t>
      </w:r>
    </w:p>
    <w:p>
      <w:pPr>
        <w:pStyle w:val="ArticleBody"/>
        <w:jc w:val="left"/>
      </w:pPr>
      <w:r>
        <w:rPr>
          <w:rFonts w:ascii="Times New Roman" w:hAnsi="Times New Roman" w:eastAsia="Times New Roman" w:cs="Times New Roman"/>
        </w:rPr>
        <w:t>Dans l’histoire millérite, cela représenterait cinq descentellements qui éprouvèrent et produisirent deux classes d’adorateurs de 1798 jusqu’au 22 octobre 1844. Le passage enseigne clairement que, si vous échouez à une épreuve, vous ne réussirez pas l’épreuve suivante, car vous n’essaierez même pas. Il est également clair qu’au temps du Christ, le processus d’épreuve s’achève par le fait que l’ancien peuple de l’alliance, choisi autrefois, se trouve dans des ténèbres totales en ce qui concerne le plan du salut. Daniel et Jean représentent ceux qui écoutent la voix derrière eux, ceux qui passèrent par un processus progressif d’épreuve, exigeant l’examen individuel de chaque nouvelle vérité qui avait été descellée.</w:t>
      </w:r>
    </w:p>
    <w:p>
      <w:pPr>
        <w:pStyle w:val="ArticleBody"/>
        <w:jc w:val="left"/>
      </w:pP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w:t>
      </w:r>
      <w:r>
        <w:rPr>
          <w:rFonts w:ascii="Nirmala UI" w:hAnsi="Nirmala UI" w:eastAsia="Nirmala UI" w:cs="Nirmala UI"/>
        </w:rPr>
        <w:t>पद्धतियों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सताए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Titi ka tattaun nga sinagisag da Daniel ken Juan ket dagidiay a natatakan wenno matatakan, ta idi naikkat ni Daniel iti abut dagiti leon gapu iti saanna a panagtulnog iti “paglintegan” ti ari, tinatakan ti ari ti bato, tapno ti panggep saan a mabaliwan. Natatakan ni Daniel agpaay iti kinaagnanayon, gapu ta ti paglintegan ti ari ken kasta met ti pannakabalin ti tatakna ket saanda a mabalin a mabaliwan, kas iti linteg dagiti Medo ken Persa. Ti tatak ti ari ket naipatungpal iti maysa a bato, ket nairikep ti ruangan. Ti ruangan ket marikep iti linteg ti Domingo, ket awan tao a makailukat iti dayta a ruangan, kas met laeng a nairikep ti ruangan idi Oktubre 22, 1844. Daytoy ket maysa a nalaka a pangiladawan iti kinapateg ti saan laeng a panangikonsiderar kadagiti naimpadtoan a paspasamak a naisaad iti maysa a padto, no di ket kasta met ti kinapateg ti panangipakat kadagiti kasasaad a manglikmut iti mammadto idi maisagisag isuna iti uneg ti istoria.</w:t>
      </w:r>
    </w:p>
    <w:p>
      <w:pPr>
        <w:pStyle w:val="ArticleBody"/>
        <w:jc w:val="left"/>
      </w:pPr>
      <w:r>
        <w:rPr>
          <w:rFonts w:ascii="Times New Roman" w:hAnsi="Times New Roman" w:eastAsia="Times New Roman" w:cs="Times New Roman"/>
        </w:rPr>
        <w:t>Cependant, ceci est aussi une illustration de la puissance qu’il y a à considérer ensemble le commencement (le livre de Daniel) et la fin (le livre de l’Apocalypse) comme deux témoins d’une même prophétie, car ce sont deux témoins qui sont requis pour établir un fait biblique. Les événements prédits et l’illustration des activités des prophètes en rapport avec la prophétie sont tous deux inspirés.</w:t>
      </w:r>
    </w:p>
    <w:p>
      <w:pPr>
        <w:pStyle w:val="ArticleScripture"/>
        <w:jc w:val="left"/>
      </w:pP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ਤਾੜਨਾ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ਸੁਧਾਰ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ਅਨੁਸ਼ਾਸਨ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ਲਾਭਕਾਰੀ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ਸੰਪੂਰਨ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ਸਜਿਆ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2 Timothy 3:16, 17.</w:t>
      </w:r>
    </w:p>
    <w:p>
      <w:pPr>
        <w:pStyle w:val="ArticleBody"/>
        <w:jc w:val="left"/>
      </w:pP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ਭਵਿੱਖਦ੍ਰਿਸ਼ਟਾ</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ਭਵਿੱਖਦ੍ਰਿਸ਼ਟਾ</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ਆਲੇ</w:t>
      </w:r>
      <w:r>
        <w:rPr>
          <w:rFonts w:ascii="Times New Roman" w:hAnsi="Times New Roman" w:eastAsia="Times New Roman" w:cs="Times New Roman"/>
        </w:rPr>
        <w:t>-</w:t>
      </w:r>
      <w:r>
        <w:rPr>
          <w:rFonts w:ascii="Nirmala UI" w:hAnsi="Nirmala UI" w:eastAsia="Nirmala UI" w:cs="Nirmala UI"/>
        </w:rPr>
        <w:t>ਦੁਆਲੇ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ਪਰਿਦ੍ਰਿਸ਼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w:t>
      </w:r>
      <w:r>
        <w:rPr>
          <w:rFonts w:ascii="Nirmala UI" w:hAnsi="Nirmala UI" w:eastAsia="Nirmala UI" w:cs="Nirmala UI"/>
        </w:rPr>
        <w:t>ਚਿੱਤਰਣਾ</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ਭਵਿੱਖਦ੍ਰਿਸ਼ਟਾ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ਕਿਰਿਆਵਾਂ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ਭਵਿੱਖਦ੍ਰਿਸ਼ਟਾ</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ਮੰਨਦਿਆਂ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ਮਲਾਕੀ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ਏਲੀਆਹ</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ਚੌਦ੍ਹਾਂ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ਅਠਾਰ੍ਹਾਂ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ਦਿੰਦੀਆਂ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Ujumbe huo unajumuisha matukio yaliyotabiriwa ambayo yako nje ya watu wa Mungu, na ushuhuda wa pili unajumuisha uzoefu wa nabii alipokuwa akipokea na kutangaza ujumbe huo. Dhana ya kinabii ya mistari miwili ya unabii inayowakilisha upande wa nje na wa ndani wa historia ileile ilitambuliwa na kuwekwa katika kumbukumbu ya umma na waanzilishi wa Uadventista. Kwangu mimi, mfano wa kawaida wa matumizi haya na waanzilishi ni pale wanapotambua kwamba makanisa saba ya Ufunuo na mihuri saba ya Ufunuo ni historia sambamba zinazotambulisha historia ya ndani na ya nje ya kanisa. Mihuri inawakilisha historia ya nje; makanisa, ya ndani.</w:t>
      </w:r>
    </w:p>
    <w:p>
      <w:pPr>
        <w:pStyle w:val="ArticleBody"/>
        <w:jc w:val="left"/>
      </w:pPr>
      <w:r>
        <w:rPr>
          <w:rFonts w:ascii="Times New Roman" w:hAnsi="Times New Roman" w:eastAsia="Times New Roman" w:cs="Times New Roman"/>
        </w:rPr>
        <w:t>Le message d’Élie de Malachie, les chapitres quatorze et dix-huit de l’Apocalypse identifient le même message final d’avertissement, lequel est aussi désigné comme « la Révélation de Jésus-Christ » au chapitre un de l’Apocalypse. Au chapitre un, Dieu le Père donna le message au Christ, qui le donna ensuite à Gabriel, qui le donna ensuite à Jean, lequel l’envoya ensuite aux Églises. Le message d’Élie, ainsi que les messages représentés dans les chapitres un, quatorze et dix-huit de l’Apocalypse, sont un seul et même message.</w:t>
      </w:r>
    </w:p>
    <w:p>
      <w:pPr>
        <w:pStyle w:val="ArticleScripture"/>
        <w:jc w:val="left"/>
      </w:pPr>
      <w:r>
        <w:rPr>
          <w:rFonts w:ascii="Times New Roman" w:hAnsi="Times New Roman" w:eastAsia="Times New Roman" w:cs="Times New Roman"/>
        </w:rPr>
        <w:t>Seyðisondir profetanna eru lagdir undir profetarnar. Tí Guð er ikki høvundur at órógv, men at friði, eins og í øllum samkomum hinna heiløgu. 1 Korintbræv 14:32, 33.</w:t>
      </w:r>
    </w:p>
    <w:p>
      <w:pPr>
        <w:pStyle w:val="ArticleBody"/>
        <w:jc w:val="left"/>
      </w:pPr>
      <w:r>
        <w:rPr>
          <w:rFonts w:ascii="Times New Roman" w:hAnsi="Times New Roman" w:eastAsia="Times New Roman" w:cs="Times New Roman"/>
        </w:rPr>
        <w:t>Daima ni ujumbe uleule, kwa maana “manabii huwatii manabii.” Neno lililotafsiriwa kuwa “huwatii” katika aya hizo lina maana ya, “kuweka chini; kwa hali ya kujirejelea kutii: — kuwa chini ya utiifu (mtiifu), kutiwa chini, kutiisha kwa, kuwa (kumfanya) chini ya mamlaka (kwa, kwa ajili ya), kuwa (kutiwa) katika hali ya kutiishwa (kwa, chini ya), kujitiisha kwa.” Manabii wote hukubaliana wao kwa wao na huwa katika hali ya kujitiisha wao kwa wao, la sivyo ujumbe walioutoa ungeleta machafuko.</w:t>
      </w:r>
    </w:p>
    <w:p>
      <w:pPr>
        <w:pStyle w:val="ArticleBody"/>
        <w:jc w:val="left"/>
      </w:pPr>
      <w:r>
        <w:rPr>
          <w:rFonts w:ascii="Times New Roman" w:hAnsi="Times New Roman" w:eastAsia="Times New Roman" w:cs="Times New Roman"/>
        </w:rPr>
        <w:t>Les figures prophétiques du message final d’avertissement représentent toutes le même message. Le dessein du Seigneur est que ceux qui sont considérés comme les « sages » dans la parabole des dix vierges, lesquels sont aussi appelés les « sages » qui « comprendront » « l’accroissement de la connaissance » lorsque le livre de Daniel sera descellé, reconnaissent ce message particulier lorsqu’il sera descellé. Cette reconnaissance s’accomplit par l’application de la méthodologie d’étude biblique explicitement identifiée dans la Bible elle-même. Cette méthodologie s’accomplit en accord avec Ésaïe vingt-huit, par le procédé qui consiste à rapprocher en parallèle les diverses lignes prophétiques qui traitent d’un sujet biblique, afin d’établir correctement les événements prophétiques.</w:t>
      </w:r>
    </w:p>
    <w:p>
      <w:pPr>
        <w:pStyle w:val="ArticleBody"/>
        <w:jc w:val="left"/>
      </w:pPr>
      <w:r>
        <w:rPr>
          <w:rFonts w:ascii="Times New Roman" w:hAnsi="Times New Roman" w:eastAsia="Times New Roman" w:cs="Times New Roman"/>
        </w:rPr>
        <w:t>Je sollicite votre patience alors que nous achevons ici cet article, et 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Кисәтеүҙәрҙең параллелдәре — Өсөнсө һан</dc:title>
  <dc:subject>ការផ្តល់អំណាចដល់សារព្យាករណ៍៖ ដំណើរការនៃការសាកល្បងជាបន្តបន្ទាប់របស់ទេវតាក្នុងព្រះវរបិតានៃវិវរណៈ</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