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Avertissements parallèles - Numéro quatre</w:t>
      </w:r>
    </w:p>
    <w:p>
      <w:pPr>
        <w:pStyle w:val="ArticleSubtitle"/>
        <w:jc w:val="left"/>
      </w:pPr>
      <w:r>
        <w:rPr>
          <w:rFonts w:ascii="Arial" w:hAnsi="Arial" w:eastAsia="Arial" w:cs="Arial"/>
        </w:rPr>
        <w:t>Imisingi y’Ukwizera n’Akaga ko Kwibagirwa: Amasomo Akurwa mu Buhanuzi no mu Mateka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À qui enseignera-t-il la connaissance? et à qui fera-t-il comprendre la doctrine? À ceux qui sont sevrés du lait, retirés de la mamelle.</w:t>
      </w:r>
    </w:p>
    <w:p>
      <w:pPr>
        <w:pStyle w:val="ArticleScripture"/>
        <w:jc w:val="left"/>
      </w:pPr>
      <w:r>
        <w:rPr>
          <w:rFonts w:ascii="Times New Roman" w:hAnsi="Times New Roman" w:eastAsia="Times New Roman" w:cs="Times New Roman"/>
        </w:rPr>
        <w:t>Car il faut règle sur règle, règle sur règle; ligne sur ligne, ligne sur ligne; un peu ici, un peu là :</w:t>
      </w:r>
    </w:p>
    <w:p>
      <w:pPr>
        <w:pStyle w:val="ArticleScripture"/>
        <w:jc w:val="left"/>
      </w:pPr>
      <w:r>
        <w:rPr>
          <w:rFonts w:ascii="Times New Roman" w:hAnsi="Times New Roman" w:eastAsia="Times New Roman" w:cs="Times New Roman"/>
        </w:rPr>
        <w:t>Car avec des lèvres balbutiantes et dans une langue étrangère il parlera à ce peuple. Il leur a dit : Voici le repos, par lequel vous ferez reposer celui qui est fatigué ; et voici le rafraîchissement ; mais ils n’ont pas voulu écouter.</w:t>
      </w:r>
    </w:p>
    <w:p>
      <w:pPr>
        <w:pStyle w:val="ArticleScripture"/>
        <w:jc w:val="left"/>
      </w:pPr>
      <w:r>
        <w:rPr>
          <w:rFonts w:ascii="Times New Roman" w:hAnsi="Times New Roman" w:eastAsia="Times New Roman" w:cs="Times New Roman"/>
        </w:rPr>
        <w:t>Ama izwi leNkosi laba kubo: umthetho phezu komthetho, umthetho phezu komthetho; umugqa phezu komugqa, umugqa phezu komugqa; lapha okuncane, nalaphaya okuncane; ukuze bahambe, bawe ngomhlane, baphuke, bathiywe ngesicupho, babanjwe. U-Isaya 28:9–13.</w:t>
      </w:r>
    </w:p>
    <w:p>
      <w:pPr>
        <w:pStyle w:val="ArticleBody"/>
        <w:jc w:val="left"/>
      </w:pPr>
      <w:r>
        <w:rPr>
          <w:rFonts w:ascii="Times New Roman" w:hAnsi="Times New Roman" w:eastAsia="Times New Roman" w:cs="Times New Roman"/>
        </w:rPr>
        <w:t>Haivvesdut dárkkistelut Jesajas leat gávnnahan ollu gearddiid Habakuka Távvalin. Dás lean iežan dušše gieđahallat muhtin čuoggáid dain ovddit veassuin, vai lasihan daid dán dálá digaštallamii. Dát báiki čájeha álbmoga mii filii geahččalusa, dasgo sii “mánet, ja luoitilit maŋosguvlui, ja billistuvvet, ja bissot fierpmis, ja váldojuvvojit.” Sii ledje álbmot mii filii geahččalusa dan birra geasa Ipmil geahččalii “oahpahit” “ipmárdussii” “dieđu” dahje “oahpu.” Dat lei geahččalus mii vuođđuduvvui dieđu lassáneami ipmárdussii, nu ahte dat lei seamma geahččalus mii earuhii jierbmáid ja baháid Danela logi guokte oasis, dasgo buot profehtat leat ovttaoaivilis ja dovdahit máilmmi loahpa. Danela logi guoktás “jierbmát” ipmirdit, muhto “bahát” eai ipmir dieđu lassáneami.</w:t>
      </w:r>
    </w:p>
    <w:p>
      <w:pPr>
        <w:pStyle w:val="ArticleBody"/>
        <w:jc w:val="left"/>
      </w:pPr>
      <w:r>
        <w:rPr>
          <w:rFonts w:ascii="Sylfaen" w:hAnsi="Sylfaen" w:eastAsia="Sylfaen" w:cs="Sylfaen"/>
        </w:rPr>
        <w:t>ლხმა</w:t>
      </w:r>
      <w:r>
        <w:rPr>
          <w:rFonts w:ascii="Times New Roman" w:hAnsi="Times New Roman" w:eastAsia="Times New Roman" w:cs="Times New Roman"/>
        </w:rPr>
        <w:t xml:space="preserve"> </w:t>
      </w:r>
      <w:r>
        <w:rPr>
          <w:rFonts w:ascii="Sylfaen" w:hAnsi="Sylfaen" w:eastAsia="Sylfaen" w:cs="Sylfaen"/>
        </w:rPr>
        <w:t>ესაიას</w:t>
      </w:r>
      <w:r>
        <w:rPr>
          <w:rFonts w:ascii="Times New Roman" w:hAnsi="Times New Roman" w:eastAsia="Times New Roman" w:cs="Times New Roman"/>
        </w:rPr>
        <w:t xml:space="preserve"> </w:t>
      </w:r>
      <w:r>
        <w:rPr>
          <w:rFonts w:ascii="Sylfaen" w:hAnsi="Sylfaen" w:eastAsia="Sylfaen" w:cs="Sylfaen"/>
        </w:rPr>
        <w:t>მონაკვეთში</w:t>
      </w:r>
      <w:r>
        <w:rPr>
          <w:rFonts w:ascii="Times New Roman" w:hAnsi="Times New Roman" w:eastAsia="Times New Roman" w:cs="Times New Roman"/>
        </w:rPr>
        <w:t xml:space="preserve"> </w:t>
      </w:r>
      <w:r>
        <w:rPr>
          <w:rFonts w:ascii="Sylfaen" w:hAnsi="Sylfaen" w:eastAsia="Sylfaen" w:cs="Sylfaen"/>
        </w:rPr>
        <w:t>გამოიცადა</w:t>
      </w:r>
      <w:r>
        <w:rPr>
          <w:rFonts w:ascii="Times New Roman" w:hAnsi="Times New Roman" w:eastAsia="Times New Roman" w:cs="Times New Roman"/>
        </w:rPr>
        <w:t xml:space="preserve"> „</w:t>
      </w:r>
      <w:r>
        <w:rPr>
          <w:rFonts w:ascii="Sylfaen" w:hAnsi="Sylfaen" w:eastAsia="Sylfaen" w:cs="Sylfaen"/>
        </w:rPr>
        <w:t>უფლის</w:t>
      </w:r>
      <w:r>
        <w:rPr>
          <w:rFonts w:ascii="Times New Roman" w:hAnsi="Times New Roman" w:eastAsia="Times New Roman" w:cs="Times New Roman"/>
        </w:rPr>
        <w:t xml:space="preserve"> </w:t>
      </w:r>
      <w:r>
        <w:rPr>
          <w:rFonts w:ascii="Sylfaen" w:hAnsi="Sylfaen" w:eastAsia="Sylfaen" w:cs="Sylfaen"/>
        </w:rPr>
        <w:t>სიტყვით</w:t>
      </w:r>
      <w:r>
        <w:rPr>
          <w:rFonts w:ascii="Times New Roman" w:hAnsi="Times New Roman" w:eastAsia="Times New Roman" w:cs="Times New Roman"/>
        </w:rPr>
        <w:t xml:space="preserve">“, </w:t>
      </w:r>
      <w:r>
        <w:rPr>
          <w:rFonts w:ascii="Sylfaen" w:hAnsi="Sylfaen" w:eastAsia="Sylfaen" w:cs="Sylfaen"/>
        </w:rPr>
        <w:t>რომლისაც</w:t>
      </w:r>
      <w:r>
        <w:rPr>
          <w:rFonts w:ascii="Times New Roman" w:hAnsi="Times New Roman" w:eastAsia="Times New Roman" w:cs="Times New Roman"/>
        </w:rPr>
        <w:t xml:space="preserve"> „</w:t>
      </w:r>
      <w:r>
        <w:rPr>
          <w:rFonts w:ascii="Sylfaen" w:hAnsi="Sylfaen" w:eastAsia="Sylfaen" w:cs="Sylfaen"/>
        </w:rPr>
        <w:t>მოსმენა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ისურვეს</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კონკრეტული</w:t>
      </w:r>
      <w:r>
        <w:rPr>
          <w:rFonts w:ascii="Times New Roman" w:hAnsi="Times New Roman" w:eastAsia="Times New Roman" w:cs="Times New Roman"/>
        </w:rPr>
        <w:t xml:space="preserve"> „</w:t>
      </w:r>
      <w:r>
        <w:rPr>
          <w:rFonts w:ascii="Sylfaen" w:hAnsi="Sylfaen" w:eastAsia="Sylfaen" w:cs="Sylfaen"/>
        </w:rPr>
        <w:t>უფლის</w:t>
      </w:r>
      <w:r>
        <w:rPr>
          <w:rFonts w:ascii="Times New Roman" w:hAnsi="Times New Roman" w:eastAsia="Times New Roman" w:cs="Times New Roman"/>
        </w:rPr>
        <w:t xml:space="preserve"> </w:t>
      </w:r>
      <w:r>
        <w:rPr>
          <w:rFonts w:ascii="Sylfaen" w:hAnsi="Sylfaen" w:eastAsia="Sylfaen" w:cs="Sylfaen"/>
        </w:rPr>
        <w:t>სიტყვა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უარყვეს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შემეცნების</w:t>
      </w:r>
      <w:r>
        <w:rPr>
          <w:rFonts w:ascii="Times New Roman" w:hAnsi="Times New Roman" w:eastAsia="Times New Roman" w:cs="Times New Roman"/>
        </w:rPr>
        <w:t xml:space="preserve">“ </w:t>
      </w:r>
      <w:r>
        <w:rPr>
          <w:rFonts w:ascii="Sylfaen" w:hAnsi="Sylfaen" w:eastAsia="Sylfaen" w:cs="Sylfaen"/>
        </w:rPr>
        <w:t>ზრდის</w:t>
      </w:r>
      <w:r>
        <w:rPr>
          <w:rFonts w:ascii="Times New Roman" w:hAnsi="Times New Roman" w:eastAsia="Times New Roman" w:cs="Times New Roman"/>
        </w:rPr>
        <w:t xml:space="preserve"> „</w:t>
      </w:r>
      <w:r>
        <w:rPr>
          <w:rFonts w:ascii="Sylfaen" w:hAnsi="Sylfaen" w:eastAsia="Sylfaen" w:cs="Sylfaen"/>
        </w:rPr>
        <w:t>გაგების</w:t>
      </w:r>
      <w:r>
        <w:rPr>
          <w:rFonts w:ascii="Times New Roman" w:hAnsi="Times New Roman" w:eastAsia="Times New Roman" w:cs="Times New Roman"/>
        </w:rPr>
        <w:t xml:space="preserve">“ </w:t>
      </w:r>
      <w:r>
        <w:rPr>
          <w:rFonts w:ascii="Sylfaen" w:hAnsi="Sylfaen" w:eastAsia="Sylfaen" w:cs="Sylfaen"/>
        </w:rPr>
        <w:t>შესაძლებლობას</w:t>
      </w:r>
      <w:r>
        <w:rPr>
          <w:rFonts w:ascii="Times New Roman" w:hAnsi="Times New Roman" w:eastAsia="Times New Roman" w:cs="Times New Roman"/>
        </w:rPr>
        <w:t xml:space="preserve"> </w:t>
      </w:r>
      <w:r>
        <w:rPr>
          <w:rFonts w:ascii="Sylfaen" w:hAnsi="Sylfaen" w:eastAsia="Sylfaen" w:cs="Sylfaen"/>
        </w:rPr>
        <w:t>მისცემდა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ბიბლიური</w:t>
      </w:r>
      <w:r>
        <w:rPr>
          <w:rFonts w:ascii="Times New Roman" w:hAnsi="Times New Roman" w:eastAsia="Times New Roman" w:cs="Times New Roman"/>
        </w:rPr>
        <w:t xml:space="preserve"> </w:t>
      </w:r>
      <w:r>
        <w:rPr>
          <w:rFonts w:ascii="Sylfaen" w:hAnsi="Sylfaen" w:eastAsia="Sylfaen" w:cs="Sylfaen"/>
        </w:rPr>
        <w:t>წესი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განსაზღვრავს</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როგორ</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მოხდეს</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ისტორიების</w:t>
      </w:r>
      <w:r>
        <w:rPr>
          <w:rFonts w:ascii="Times New Roman" w:hAnsi="Times New Roman" w:eastAsia="Times New Roman" w:cs="Times New Roman"/>
        </w:rPr>
        <w:t xml:space="preserve"> </w:t>
      </w:r>
      <w:r>
        <w:rPr>
          <w:rFonts w:ascii="Sylfaen" w:hAnsi="Sylfaen" w:eastAsia="Sylfaen" w:cs="Sylfaen"/>
        </w:rPr>
        <w:t>სწორად</w:t>
      </w:r>
      <w:r>
        <w:rPr>
          <w:rFonts w:ascii="Times New Roman" w:hAnsi="Times New Roman" w:eastAsia="Times New Roman" w:cs="Times New Roman"/>
        </w:rPr>
        <w:t xml:space="preserve"> </w:t>
      </w:r>
      <w:r>
        <w:rPr>
          <w:rFonts w:ascii="Sylfaen" w:hAnsi="Sylfaen" w:eastAsia="Sylfaen" w:cs="Sylfaen"/>
        </w:rPr>
        <w:t>შეთავსება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ესაიას</w:t>
      </w:r>
      <w:r>
        <w:rPr>
          <w:rFonts w:ascii="Times New Roman" w:hAnsi="Times New Roman" w:eastAsia="Times New Roman" w:cs="Times New Roman"/>
        </w:rPr>
        <w:t xml:space="preserve"> </w:t>
      </w:r>
      <w:r>
        <w:rPr>
          <w:rFonts w:ascii="Sylfaen" w:hAnsi="Sylfaen" w:eastAsia="Sylfaen" w:cs="Sylfaen"/>
        </w:rPr>
        <w:t>მონაკვეთში</w:t>
      </w:r>
      <w:r>
        <w:rPr>
          <w:rFonts w:ascii="Times New Roman" w:hAnsi="Times New Roman" w:eastAsia="Times New Roman" w:cs="Times New Roman"/>
        </w:rPr>
        <w:t xml:space="preserve"> </w:t>
      </w:r>
      <w:r>
        <w:rPr>
          <w:rFonts w:ascii="Sylfaen" w:hAnsi="Sylfaen" w:eastAsia="Sylfaen" w:cs="Sylfaen"/>
        </w:rPr>
        <w:t>ეცემიან</w:t>
      </w:r>
      <w:r>
        <w:rPr>
          <w:rFonts w:ascii="Times New Roman" w:hAnsi="Times New Roman" w:eastAsia="Times New Roman" w:cs="Times New Roman"/>
        </w:rPr>
        <w:t xml:space="preserve">, </w:t>
      </w:r>
      <w:r>
        <w:rPr>
          <w:rFonts w:ascii="Sylfaen" w:hAnsi="Sylfaen" w:eastAsia="Sylfaen" w:cs="Sylfaen"/>
        </w:rPr>
        <w:t>უარყოფენ</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წესს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ასწავლის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გასაგებად</w:t>
      </w:r>
      <w:r>
        <w:rPr>
          <w:rFonts w:ascii="Times New Roman" w:hAnsi="Times New Roman" w:eastAsia="Times New Roman" w:cs="Times New Roman"/>
        </w:rPr>
        <w:t xml:space="preserve"> </w:t>
      </w:r>
      <w:r>
        <w:rPr>
          <w:rFonts w:ascii="Sylfaen" w:hAnsi="Sylfaen" w:eastAsia="Sylfaen" w:cs="Sylfaen"/>
        </w:rPr>
        <w:t>საჭიროა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ხაზის</w:t>
      </w:r>
      <w:r>
        <w:rPr>
          <w:rFonts w:ascii="Times New Roman" w:hAnsi="Times New Roman" w:eastAsia="Times New Roman" w:cs="Times New Roman"/>
        </w:rPr>
        <w:t xml:space="preserve"> </w:t>
      </w:r>
      <w:r>
        <w:rPr>
          <w:rFonts w:ascii="Sylfaen" w:hAnsi="Sylfaen" w:eastAsia="Sylfaen" w:cs="Sylfaen"/>
        </w:rPr>
        <w:t>ძიება</w:t>
      </w:r>
      <w:r>
        <w:rPr>
          <w:rFonts w:ascii="Times New Roman" w:hAnsi="Times New Roman" w:eastAsia="Times New Roman" w:cs="Times New Roman"/>
        </w:rPr>
        <w:t xml:space="preserve"> „</w:t>
      </w:r>
      <w:r>
        <w:rPr>
          <w:rFonts w:ascii="Sylfaen" w:hAnsi="Sylfaen" w:eastAsia="Sylfaen" w:cs="Sylfaen"/>
        </w:rPr>
        <w:t>აქ</w:t>
      </w:r>
      <w:r>
        <w:rPr>
          <w:rFonts w:ascii="Times New Roman" w:hAnsi="Times New Roman" w:eastAsia="Times New Roman" w:cs="Times New Roman"/>
        </w:rPr>
        <w:t xml:space="preserve"> </w:t>
      </w:r>
      <w:r>
        <w:rPr>
          <w:rFonts w:ascii="Sylfaen" w:hAnsi="Sylfaen" w:eastAsia="Sylfaen" w:cs="Sylfaen"/>
        </w:rPr>
        <w:t>ცოტათი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იქ</w:t>
      </w:r>
      <w:r>
        <w:rPr>
          <w:rFonts w:ascii="Times New Roman" w:hAnsi="Times New Roman" w:eastAsia="Times New Roman" w:cs="Times New Roman"/>
        </w:rPr>
        <w:t xml:space="preserve"> </w:t>
      </w:r>
      <w:r>
        <w:rPr>
          <w:rFonts w:ascii="Sylfaen" w:hAnsi="Sylfaen" w:eastAsia="Sylfaen" w:cs="Sylfaen"/>
        </w:rPr>
        <w:t>ცოტათი</w:t>
      </w:r>
      <w:r>
        <w:rPr>
          <w:rFonts w:ascii="Times New Roman" w:hAnsi="Times New Roman" w:eastAsia="Times New Roman" w:cs="Times New Roman"/>
        </w:rPr>
        <w:t xml:space="preserve">“. </w:t>
      </w:r>
      <w:r>
        <w:rPr>
          <w:rFonts w:ascii="Sylfaen" w:hAnsi="Sylfaen" w:eastAsia="Sylfaen" w:cs="Sylfaen"/>
        </w:rPr>
        <w:t>უფლის</w:t>
      </w:r>
      <w:r>
        <w:rPr>
          <w:rFonts w:ascii="Times New Roman" w:hAnsi="Times New Roman" w:eastAsia="Times New Roman" w:cs="Times New Roman"/>
        </w:rPr>
        <w:t xml:space="preserve"> </w:t>
      </w:r>
      <w:r>
        <w:rPr>
          <w:rFonts w:ascii="Sylfaen" w:hAnsi="Sylfaen" w:eastAsia="Sylfaen" w:cs="Sylfaen"/>
        </w:rPr>
        <w:t>სიტყვა</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წარმოშვა</w:t>
      </w:r>
      <w:r>
        <w:rPr>
          <w:rFonts w:ascii="Times New Roman" w:hAnsi="Times New Roman" w:eastAsia="Times New Roman" w:cs="Times New Roman"/>
        </w:rPr>
        <w:t xml:space="preserve"> </w:t>
      </w:r>
      <w:r>
        <w:rPr>
          <w:rFonts w:ascii="Sylfaen" w:hAnsi="Sylfaen" w:eastAsia="Sylfaen" w:cs="Sylfaen"/>
        </w:rPr>
        <w:t>გამოცდა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უარყვეს</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მეთოდი</w:t>
      </w:r>
      <w:r>
        <w:rPr>
          <w:rFonts w:ascii="Times New Roman" w:hAnsi="Times New Roman" w:eastAsia="Times New Roman" w:cs="Times New Roman"/>
        </w:rPr>
        <w:t xml:space="preserve">, whereby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ხაზები</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შეირჩეს</w:t>
      </w:r>
      <w:r>
        <w:rPr>
          <w:rFonts w:ascii="Times New Roman" w:hAnsi="Times New Roman" w:eastAsia="Times New Roman" w:cs="Times New Roman"/>
        </w:rPr>
        <w:t xml:space="preserve"> </w:t>
      </w:r>
      <w:r>
        <w:rPr>
          <w:rFonts w:ascii="Sylfaen" w:hAnsi="Sylfaen" w:eastAsia="Sylfaen" w:cs="Sylfaen"/>
        </w:rPr>
        <w:t>აქედან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იქიდან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ამგვარად</w:t>
      </w:r>
      <w:r>
        <w:rPr>
          <w:rFonts w:ascii="Times New Roman" w:hAnsi="Times New Roman" w:eastAsia="Times New Roman" w:cs="Times New Roman"/>
        </w:rPr>
        <w:t xml:space="preserve"> </w:t>
      </w:r>
      <w:r>
        <w:rPr>
          <w:rFonts w:ascii="Sylfaen" w:hAnsi="Sylfaen" w:eastAsia="Sylfaen" w:cs="Sylfaen"/>
        </w:rPr>
        <w:t>შერჩეული</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ხაზი</w:t>
      </w:r>
      <w:r>
        <w:rPr>
          <w:rFonts w:ascii="Times New Roman" w:hAnsi="Times New Roman" w:eastAsia="Times New Roman" w:cs="Times New Roman"/>
        </w:rPr>
        <w:t xml:space="preserve"> </w:t>
      </w:r>
      <w:r>
        <w:rPr>
          <w:rFonts w:ascii="Sylfaen" w:hAnsi="Sylfaen" w:eastAsia="Sylfaen" w:cs="Sylfaen"/>
        </w:rPr>
        <w:t>პარალელში</w:t>
      </w:r>
      <w:r>
        <w:rPr>
          <w:rFonts w:ascii="Times New Roman" w:hAnsi="Times New Roman" w:eastAsia="Times New Roman" w:cs="Times New Roman"/>
        </w:rPr>
        <w:t xml:space="preserve"> </w:t>
      </w:r>
      <w:r>
        <w:rPr>
          <w:rFonts w:ascii="Sylfaen" w:hAnsi="Sylfaen" w:eastAsia="Sylfaen" w:cs="Sylfaen"/>
        </w:rPr>
        <w:t>დაედგას</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ხაზებთან</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იმავე</w:t>
      </w:r>
      <w:r>
        <w:rPr>
          <w:rFonts w:ascii="Times New Roman" w:hAnsi="Times New Roman" w:eastAsia="Times New Roman" w:cs="Times New Roman"/>
        </w:rPr>
        <w:t xml:space="preserve"> </w:t>
      </w:r>
      <w:r>
        <w:rPr>
          <w:rFonts w:ascii="Sylfaen" w:hAnsi="Sylfaen" w:eastAsia="Sylfaen" w:cs="Sylfaen"/>
        </w:rPr>
        <w:t>თემას</w:t>
      </w:r>
      <w:r>
        <w:rPr>
          <w:rFonts w:ascii="Times New Roman" w:hAnsi="Times New Roman" w:eastAsia="Times New Roman" w:cs="Times New Roman"/>
        </w:rPr>
        <w:t xml:space="preserve"> </w:t>
      </w:r>
      <w:r>
        <w:rPr>
          <w:rFonts w:ascii="Sylfaen" w:hAnsi="Sylfaen" w:eastAsia="Sylfaen" w:cs="Sylfaen"/>
        </w:rPr>
        <w:t>ეხება</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სახით</w:t>
      </w:r>
      <w:r>
        <w:rPr>
          <w:rFonts w:ascii="Times New Roman" w:hAnsi="Times New Roman" w:eastAsia="Times New Roman" w:cs="Times New Roman"/>
        </w:rPr>
        <w:t xml:space="preserve"> </w:t>
      </w:r>
      <w:r>
        <w:rPr>
          <w:rFonts w:ascii="Sylfaen" w:hAnsi="Sylfaen" w:eastAsia="Sylfaen" w:cs="Sylfaen"/>
        </w:rPr>
        <w:t>ხაზის</w:t>
      </w:r>
      <w:r>
        <w:rPr>
          <w:rFonts w:ascii="Times New Roman" w:hAnsi="Times New Roman" w:eastAsia="Times New Roman" w:cs="Times New Roman"/>
        </w:rPr>
        <w:t xml:space="preserve"> </w:t>
      </w:r>
      <w:r>
        <w:rPr>
          <w:rFonts w:ascii="Sylfaen" w:hAnsi="Sylfaen" w:eastAsia="Sylfaen" w:cs="Sylfaen"/>
        </w:rPr>
        <w:t>ხაზზე</w:t>
      </w:r>
      <w:r>
        <w:rPr>
          <w:rFonts w:ascii="Times New Roman" w:hAnsi="Times New Roman" w:eastAsia="Times New Roman" w:cs="Times New Roman"/>
        </w:rPr>
        <w:t xml:space="preserve"> </w:t>
      </w:r>
      <w:r>
        <w:rPr>
          <w:rFonts w:ascii="Sylfaen" w:hAnsi="Sylfaen" w:eastAsia="Sylfaen" w:cs="Sylfaen"/>
        </w:rPr>
        <w:t>დადების</w:t>
      </w:r>
      <w:r>
        <w:rPr>
          <w:rFonts w:ascii="Times New Roman" w:hAnsi="Times New Roman" w:eastAsia="Times New Roman" w:cs="Times New Roman"/>
        </w:rPr>
        <w:t xml:space="preserve"> </w:t>
      </w:r>
      <w:r>
        <w:rPr>
          <w:rFonts w:ascii="Sylfaen" w:hAnsi="Sylfaen" w:eastAsia="Sylfaen" w:cs="Sylfaen"/>
        </w:rPr>
        <w:t>მცდელობის</w:t>
      </w:r>
      <w:r>
        <w:rPr>
          <w:rFonts w:ascii="Times New Roman" w:hAnsi="Times New Roman" w:eastAsia="Times New Roman" w:cs="Times New Roman"/>
        </w:rPr>
        <w:t xml:space="preserve"> </w:t>
      </w:r>
      <w:r>
        <w:rPr>
          <w:rFonts w:ascii="Sylfaen" w:hAnsi="Sylfaen" w:eastAsia="Sylfaen" w:cs="Sylfaen"/>
        </w:rPr>
        <w:t>წარმატება</w:t>
      </w:r>
      <w:r>
        <w:rPr>
          <w:rFonts w:ascii="Times New Roman" w:hAnsi="Times New Roman" w:eastAsia="Times New Roman" w:cs="Times New Roman"/>
        </w:rPr>
        <w:t xml:space="preserve"> </w:t>
      </w:r>
      <w:r>
        <w:rPr>
          <w:rFonts w:ascii="Sylfaen" w:hAnsi="Sylfaen" w:eastAsia="Sylfaen" w:cs="Sylfaen"/>
        </w:rPr>
        <w:t>დამოკიდებულია</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განმარტების</w:t>
      </w:r>
      <w:r>
        <w:rPr>
          <w:rFonts w:ascii="Times New Roman" w:hAnsi="Times New Roman" w:eastAsia="Times New Roman" w:cs="Times New Roman"/>
        </w:rPr>
        <w:t xml:space="preserve"> </w:t>
      </w:r>
      <w:r>
        <w:rPr>
          <w:rFonts w:ascii="Sylfaen" w:hAnsi="Sylfaen" w:eastAsia="Sylfaen" w:cs="Sylfaen"/>
        </w:rPr>
        <w:t>ჭეშმარიტი</w:t>
      </w:r>
      <w:r>
        <w:rPr>
          <w:rFonts w:ascii="Times New Roman" w:hAnsi="Times New Roman" w:eastAsia="Times New Roman" w:cs="Times New Roman"/>
        </w:rPr>
        <w:t xml:space="preserve"> </w:t>
      </w:r>
      <w:r>
        <w:rPr>
          <w:rFonts w:ascii="Sylfaen" w:hAnsi="Sylfaen" w:eastAsia="Sylfaen" w:cs="Sylfaen"/>
        </w:rPr>
        <w:t>წესების</w:t>
      </w:r>
      <w:r>
        <w:rPr>
          <w:rFonts w:ascii="Times New Roman" w:hAnsi="Times New Roman" w:eastAsia="Times New Roman" w:cs="Times New Roman"/>
        </w:rPr>
        <w:t xml:space="preserve"> </w:t>
      </w:r>
      <w:r>
        <w:rPr>
          <w:rFonts w:ascii="Sylfaen" w:hAnsi="Sylfaen" w:eastAsia="Sylfaen" w:cs="Sylfaen"/>
        </w:rPr>
        <w:t>გამოყენებაზე</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წესები</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დარიგებანია</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ერთმანეთთან</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იქნეს</w:t>
      </w:r>
      <w:r>
        <w:rPr>
          <w:rFonts w:ascii="Times New Roman" w:hAnsi="Times New Roman" w:eastAsia="Times New Roman" w:cs="Times New Roman"/>
        </w:rPr>
        <w:t xml:space="preserve"> </w:t>
      </w:r>
      <w:r>
        <w:rPr>
          <w:rFonts w:ascii="Sylfaen" w:hAnsi="Sylfaen" w:eastAsia="Sylfaen" w:cs="Sylfaen"/>
        </w:rPr>
        <w:t>შეკრებილი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ბიბლიაში</w:t>
      </w:r>
      <w:r>
        <w:rPr>
          <w:rFonts w:ascii="Times New Roman" w:hAnsi="Times New Roman" w:eastAsia="Times New Roman" w:cs="Times New Roman"/>
        </w:rPr>
        <w:t xml:space="preserve"> </w:t>
      </w:r>
      <w:r>
        <w:rPr>
          <w:rFonts w:ascii="Sylfaen" w:hAnsi="Sylfaen" w:eastAsia="Sylfaen" w:cs="Sylfaen"/>
        </w:rPr>
        <w:t>აქა</w:t>
      </w:r>
      <w:r>
        <w:rPr>
          <w:rFonts w:ascii="Times New Roman" w:hAnsi="Times New Roman" w:eastAsia="Times New Roman" w:cs="Times New Roman"/>
        </w:rPr>
        <w:t>-</w:t>
      </w:r>
      <w:r>
        <w:rPr>
          <w:rFonts w:ascii="Sylfaen" w:hAnsi="Sylfaen" w:eastAsia="Sylfaen" w:cs="Sylfaen"/>
        </w:rPr>
        <w:t>იქ</w:t>
      </w:r>
      <w:r>
        <w:rPr>
          <w:rFonts w:ascii="Times New Roman" w:hAnsi="Times New Roman" w:eastAsia="Times New Roman" w:cs="Times New Roman"/>
        </w:rPr>
        <w:t xml:space="preserve"> </w:t>
      </w:r>
      <w:r>
        <w:rPr>
          <w:rFonts w:ascii="Sylfaen" w:hAnsi="Sylfaen" w:eastAsia="Sylfaen" w:cs="Sylfaen"/>
        </w:rPr>
        <w:t>გვხვდება</w:t>
      </w:r>
      <w:r>
        <w:rPr>
          <w:rFonts w:ascii="Times New Roman" w:hAnsi="Times New Roman" w:eastAsia="Times New Roman" w:cs="Times New Roman"/>
        </w:rPr>
        <w:t xml:space="preserve">. </w:t>
      </w:r>
      <w:r>
        <w:rPr>
          <w:rFonts w:ascii="Sylfaen" w:hAnsi="Sylfaen" w:eastAsia="Sylfaen" w:cs="Sylfaen"/>
        </w:rPr>
        <w:t>ესაიას</w:t>
      </w:r>
      <w:r>
        <w:rPr>
          <w:rFonts w:ascii="Times New Roman" w:hAnsi="Times New Roman" w:eastAsia="Times New Roman" w:cs="Times New Roman"/>
        </w:rPr>
        <w:t xml:space="preserve"> </w:t>
      </w:r>
      <w:r>
        <w:rPr>
          <w:rFonts w:ascii="Sylfaen" w:hAnsi="Sylfaen" w:eastAsia="Sylfaen" w:cs="Sylfaen"/>
        </w:rPr>
        <w:t>ქალწულნი</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გამოცდას</w:t>
      </w:r>
      <w:r>
        <w:rPr>
          <w:rFonts w:ascii="Times New Roman" w:hAnsi="Times New Roman" w:eastAsia="Times New Roman" w:cs="Times New Roman"/>
        </w:rPr>
        <w:t xml:space="preserve"> </w:t>
      </w:r>
      <w:r>
        <w:rPr>
          <w:rFonts w:ascii="Sylfaen" w:hAnsi="Sylfaen" w:eastAsia="Sylfaen" w:cs="Sylfaen"/>
        </w:rPr>
        <w:t>ვერ</w:t>
      </w:r>
      <w:r>
        <w:rPr>
          <w:rFonts w:ascii="Times New Roman" w:hAnsi="Times New Roman" w:eastAsia="Times New Roman" w:cs="Times New Roman"/>
        </w:rPr>
        <w:t xml:space="preserve"> </w:t>
      </w:r>
      <w:r>
        <w:rPr>
          <w:rFonts w:ascii="Sylfaen" w:hAnsi="Sylfaen" w:eastAsia="Sylfaen" w:cs="Sylfaen"/>
        </w:rPr>
        <w:t>უძლებენ</w:t>
      </w:r>
      <w:r>
        <w:rPr>
          <w:rFonts w:ascii="Times New Roman" w:hAnsi="Times New Roman" w:eastAsia="Times New Roman" w:cs="Times New Roman"/>
        </w:rPr>
        <w:t xml:space="preserve">, </w:t>
      </w:r>
      <w:r>
        <w:rPr>
          <w:rFonts w:ascii="Sylfaen" w:hAnsi="Sylfaen" w:eastAsia="Sylfaen" w:cs="Sylfaen"/>
        </w:rPr>
        <w:t>ეცემიან</w:t>
      </w:r>
      <w:r>
        <w:rPr>
          <w:rFonts w:ascii="Times New Roman" w:hAnsi="Times New Roman" w:eastAsia="Times New Roman" w:cs="Times New Roman"/>
        </w:rPr>
        <w:t xml:space="preserve"> </w:t>
      </w:r>
      <w:r>
        <w:rPr>
          <w:rFonts w:ascii="Sylfaen" w:hAnsi="Sylfaen" w:eastAsia="Sylfaen" w:cs="Sylfaen"/>
        </w:rPr>
        <w:t>იმიტომ</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ავიწყდებათ</w:t>
      </w:r>
      <w:r>
        <w:rPr>
          <w:rFonts w:ascii="Times New Roman" w:hAnsi="Times New Roman" w:eastAsia="Times New Roman" w:cs="Times New Roman"/>
        </w:rPr>
        <w:t xml:space="preserve"> </w:t>
      </w:r>
      <w:r>
        <w:rPr>
          <w:rFonts w:ascii="Sylfaen" w:hAnsi="Sylfaen" w:eastAsia="Sylfaen" w:cs="Sylfaen"/>
        </w:rPr>
        <w:t>მთავარი</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არასოდეს</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დავიწყებოდათ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ისტორია</w:t>
      </w:r>
      <w:r>
        <w:rPr>
          <w:rFonts w:ascii="Times New Roman" w:hAnsi="Times New Roman" w:eastAsia="Times New Roman" w:cs="Times New Roman"/>
        </w:rPr>
        <w:t xml:space="preserve"> </w:t>
      </w:r>
      <w:r>
        <w:rPr>
          <w:rFonts w:ascii="Sylfaen" w:hAnsi="Sylfaen" w:eastAsia="Sylfaen" w:cs="Sylfaen"/>
        </w:rPr>
        <w:t>მეორდება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«Nous n’avons rien à craindre pour l’avenir, sinon d’oublier la manière dont le Seigneur nous a conduits et son enseignement dans notre histoire passée.» Life Sketches, 196.</w:t>
      </w:r>
    </w:p>
    <w:p>
      <w:pPr>
        <w:pStyle w:val="ArticleBody"/>
        <w:jc w:val="left"/>
      </w:pPr>
      <w:r>
        <w:rPr>
          <w:rFonts w:ascii="Times New Roman" w:hAnsi="Times New Roman" w:eastAsia="Times New Roman" w:cs="Times New Roman"/>
        </w:rPr>
        <w:t>Dieu n’est pas l’auteur de la confusion, et un point d’ancrage de ce fait est que chaque prophète dans la Bible identifie la même ligne prophétique. Ils ne voient pas tous les événements identiques sur cette ligne, mais c’est toujours la même ligne d’événements à la fin du monde. Ce sont les événements qui conduisent à la fin du temps de grâce, suivis des sept dernières plaies, lesquelles s’achèvent par la seconde venue de Christ. Le récit d’un prophète peut concerner le peuple fidèle de Dieu dans cette ligne de l’histoire, tandis que le témoignage d’un autre prophète peut porter sur le peuple infidèle de Dieu, ou sur les États-Unis, le Vatican, les Nations Unies, les marchands de la terre ou l’islam, mais c’est toujours la même ligne.</w:t>
      </w:r>
    </w:p>
    <w:p>
      <w:pPr>
        <w:pStyle w:val="ArticleBody"/>
        <w:jc w:val="left"/>
      </w:pPr>
      <w:r>
        <w:rPr>
          <w:rFonts w:ascii="Times New Roman" w:hAnsi="Times New Roman" w:eastAsia="Times New Roman" w:cs="Times New Roman"/>
        </w:rPr>
        <w:t>Ujumbe wa Eliya wa Malaki, pamoja na jumbe zinazowakilishwa katika Ufunuo sura ya kwanza, ya kumi na nne, na ya kumi na nane, na ujumbe wa Danieli kumi na moja na kumi na mbili, ni ujumbe uleule kabisa. Yote ni mstari uleule wa historia, lakini kila mmoja una mchango wake maalumu katika simulizi hilo.</w:t>
      </w:r>
    </w:p>
    <w:p>
      <w:pPr>
        <w:pStyle w:val="ArticleBody"/>
        <w:jc w:val="left"/>
      </w:pPr>
      <w:r>
        <w:rPr>
          <w:rFonts w:ascii="Nirmala UI" w:hAnsi="Nirmala UI" w:eastAsia="Nirmala UI" w:cs="Nirmala UI"/>
        </w:rPr>
        <w:t>बिशेष</w:t>
      </w:r>
      <w:r>
        <w:rPr>
          <w:rFonts w:ascii="Times New Roman" w:hAnsi="Times New Roman" w:eastAsia="Times New Roman" w:cs="Times New Roman"/>
        </w:rPr>
        <w:t xml:space="preserve"> </w:t>
      </w:r>
      <w:r>
        <w:rPr>
          <w:rFonts w:ascii="Nirmala UI" w:hAnsi="Nirmala UI" w:eastAsia="Nirmala UI" w:cs="Nirmala UI"/>
        </w:rPr>
        <w:t>सन्देशबारे</w:t>
      </w:r>
      <w:r>
        <w:rPr>
          <w:rFonts w:ascii="Times New Roman" w:hAnsi="Times New Roman" w:eastAsia="Times New Roman" w:cs="Times New Roman"/>
        </w:rPr>
        <w:t xml:space="preserve"> </w:t>
      </w:r>
      <w:r>
        <w:rPr>
          <w:rFonts w:ascii="Nirmala UI" w:hAnsi="Nirmala UI" w:eastAsia="Nirmala UI" w:cs="Nirmala UI"/>
        </w:rPr>
        <w:t>झण्डै</w:t>
      </w:r>
      <w:r>
        <w:rPr>
          <w:rFonts w:ascii="Times New Roman" w:hAnsi="Times New Roman" w:eastAsia="Times New Roman" w:cs="Times New Roman"/>
        </w:rPr>
        <w:t xml:space="preserve"> </w:t>
      </w:r>
      <w:r>
        <w:rPr>
          <w:rFonts w:ascii="Nirmala UI" w:hAnsi="Nirmala UI" w:eastAsia="Nirmala UI" w:cs="Nirmala UI"/>
        </w:rPr>
        <w:t>सर्वत्र</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हुनुअघि</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जान्दछौँ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बिशेष</w:t>
      </w:r>
      <w:r>
        <w:rPr>
          <w:rFonts w:ascii="Times New Roman" w:hAnsi="Times New Roman" w:eastAsia="Times New Roman" w:cs="Times New Roman"/>
        </w:rPr>
        <w:t xml:space="preserve"> </w:t>
      </w:r>
      <w:r>
        <w:rPr>
          <w:rFonts w:ascii="Nirmala UI" w:hAnsi="Nirmala UI" w:eastAsia="Nirmala UI" w:cs="Nirmala UI"/>
        </w:rPr>
        <w:t>सन्देशले</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बाइबलमा</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समाप्तिको</w:t>
      </w:r>
      <w:r>
        <w:rPr>
          <w:rFonts w:ascii="Times New Roman" w:hAnsi="Times New Roman" w:eastAsia="Times New Roman" w:cs="Times New Roman"/>
        </w:rPr>
        <w:t xml:space="preserve"> </w:t>
      </w:r>
      <w:r>
        <w:rPr>
          <w:rFonts w:ascii="Nirmala UI" w:hAnsi="Nirmala UI" w:eastAsia="Nirmala UI" w:cs="Nirmala UI"/>
        </w:rPr>
        <w:t>सायद</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दृष्टान्तलाई</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गर्नेछौँ।</w:t>
      </w:r>
    </w:p>
    <w:p>
      <w:pPr>
        <w:pStyle w:val="ArticleScripture"/>
        <w:jc w:val="left"/>
      </w:pPr>
      <w:r>
        <w:rPr>
          <w:rFonts w:ascii="Times New Roman" w:hAnsi="Times New Roman" w:eastAsia="Times New Roman" w:cs="Times New Roman"/>
        </w:rPr>
        <w:t>Waxa aan xaq ahayn, ha sii ahaado mid aan xaq ahayn weli; kan nijaasta ahuna, ha sii ahaado nijaas weli; kan xaqa ahuna, ha sii ahaado xaq weli; kan quduuska ahuna, ha sii ahaado quduus weli. Muujintii 22:11.</w:t>
      </w:r>
    </w:p>
    <w:p>
      <w:pPr>
        <w:pStyle w:val="ArticleBody"/>
        <w:jc w:val="left"/>
      </w:pPr>
      <w:r>
        <w:rPr>
          <w:rFonts w:ascii="Times New Roman" w:hAnsi="Times New Roman" w:eastAsia="Times New Roman" w:cs="Times New Roman"/>
        </w:rPr>
        <w:t>Avant que la fin du temps de grâce ne soit proclamée dans le sanctuaire d’en haut par les paroles du verset onze, il doit y avoir, à l’intention des serviteurs de Dieu, un message prophétique d’avertissement particulier tiré du livre de l’Apocalypse, désormais descellé.</w:t>
      </w:r>
    </w:p>
    <w:p>
      <w:pPr>
        <w:pStyle w:val="ArticleScripture"/>
        <w:jc w:val="left"/>
      </w:pPr>
      <w:r>
        <w:rPr>
          <w:rFonts w:ascii="Times New Roman" w:hAnsi="Times New Roman" w:eastAsia="Times New Roman" w:cs="Times New Roman"/>
        </w:rPr>
        <w:t>او مونږ ته وايي: «د دې کتاب د نبوت ويناوې مه مُهر کوه، ځکه وخت نږدې دی. څوک چې ظالم دی، پرېږده چې لا هم ظالم پاتې شي؛ او څوک چې ناپاک دی، پرېږده چې لا هم ناپاک پاتې شي؛ او څوک چې صادق دی، پرېږده چې لا هم صادق پاتې شي؛ او څوک چې مقدس دی، پرېږده چې لا هم مقدس پاتې شي.» مکاشفه 22:10، 11.</w:t>
      </w:r>
    </w:p>
    <w:p>
      <w:pPr>
        <w:pStyle w:val="ArticleBody"/>
        <w:jc w:val="left"/>
      </w:pPr>
      <w:r>
        <w:rPr>
          <w:rFonts w:ascii="Times New Roman" w:hAnsi="Times New Roman" w:eastAsia="Times New Roman" w:cs="Times New Roman"/>
        </w:rPr>
        <w:t>יהיה מסר נבואי מיוחד אשר יוכר על־ידי עמו של אלוהים ממש לפני שבע המכות האחרונות. כאשר אותו "הזמן קרוב" ישוב ויחול, "נבואת הספר הזה" (נבואת ההתגלות), אשר נחתמה, עתידה להיפתח. הנבואה היחידה בספר ההתגלות שנחתמה היא נבואת שבעת הרעמים.</w:t>
      </w:r>
    </w:p>
    <w:p>
      <w:pPr>
        <w:pStyle w:val="ArticleScripture"/>
        <w:jc w:val="left"/>
      </w:pPr>
      <w:r>
        <w:rPr>
          <w:rFonts w:ascii="Times New Roman" w:hAnsi="Times New Roman" w:eastAsia="Times New Roman" w:cs="Times New Roman"/>
        </w:rPr>
        <w:t>At nakita ko ang isa pang makapangyarihang anghel na nananaog mula sa langit, na nadaramtan ng isang alapaap: at may isang bahaghari sa kaniyang ulunan, at ang kaniyang mukha ay gaya ng araw, at ang kaniyang mga paa ay gaya ng mga haliging apoy: At may hawak siya sa kaniyang kamay na isang munting aklat na bukás: at inilagay niya ang kaniyang kanang paa sa ibabaw ng dagat, at ang kaniyang kaliwang paa sa ibabaw ng lupa, At sumigaw nang malakas na tinig, na gaya ng pag-ungal ng isang leon: at nang siya’y makasigaw na, ang pitong kulog ay naglabas ng kanilang mga tinig. At nang mailabas na ng pitong kulog ang kanilang mga tinig, ako’y magsusulat na sana: at aking narinig ang isang tinig mula sa langit na nagsasabi sa akin, Tatakan mo ang mga bagay na sinalita ng pitong kulog, at huwag mong isulat. Apocalipsis 10:1–4.</w:t>
      </w:r>
    </w:p>
    <w:p>
      <w:pPr>
        <w:pStyle w:val="ArticleBody"/>
        <w:jc w:val="left"/>
      </w:pPr>
      <w:r>
        <w:rPr>
          <w:rFonts w:ascii="Times New Roman" w:hAnsi="Times New Roman" w:eastAsia="Times New Roman" w:cs="Times New Roman"/>
        </w:rPr>
        <w:t>E justo antes de fechar o tempo da prova da humanidade, quando “o tempo está próximo”, haverá a abertura de uma verdade especial da Bíblia, identificando “as coisas que em breve devem acontecer”. O anjo forte de Apocalipse dez é Jesus Cristo, que bradou como Leão.</w:t>
      </w:r>
    </w:p>
    <w:p>
      <w:pPr>
        <w:pStyle w:val="ArticleScripture"/>
        <w:jc w:val="left"/>
      </w:pPr>
      <w:r>
        <w:rPr>
          <w:rFonts w:ascii="Times New Roman" w:hAnsi="Times New Roman" w:eastAsia="Times New Roman" w:cs="Times New Roman"/>
        </w:rPr>
        <w:t>جانِر تواناے کہ یوحناں نوں ہدایت دِتّی، یسوع مسیح توں گھٹ کوئی ہستی نہ سی۔ اُس دا اپنا سجاں پَیر سمندر اُتے تے کھباں سُکّی زمین اُتے رکھنا، ایس گل نوں ظاہر کردا اے کہ عظیم کشمکش دے آخری مناظِر وچ، شیطان دے خلاف، اوہ کیہڑا حصہ ادا کر رہیا اے۔ ایہہ حالت پوری دھرتی اُتے اُس دی اعلیٰ قدرت تے اختیار نوں دَرساوَندی اے۔ ایہہ کشمکش زمانہ بہ زمانہ زیادہ سخت تے زیادہ پختہ ہُندی گئی اے، تے ایس طرح آخر تک جاری رہے گی، جدوں تاریکی دیاں قوتاں دی نہایت ماہر کارگزاری اپنے عروج تک پہنچ جاوے گی۔ شیطان، شریر انساناں نال متحد ہو کے، ساری دنیا نوں تے اوہناں کلیسیاؤں نوں فریب دےوے گا جیہڑیاں حق دی محبت نوں قبول نہیں کردیاں۔ پر اوہ جانِرِ توانا توجہ دا مطالبہ کردا اے۔ اوہ اُونچی آواز نال پکارد ا اے۔ اوہ ایس لئی اے کہ اپنی آواز دی قدرت تے اختیار اوہناں اُتے ظاہر کرے جنہاں نے حق دی مخالفت کرن لئی شیطان نال اتحاد کیتا اے۔ The Seventh-day Adventist Bible Commentary, volume 7, 971.</w:t>
      </w:r>
    </w:p>
    <w:p>
      <w:pPr>
        <w:pStyle w:val="ArticleBody"/>
        <w:jc w:val="left"/>
      </w:pPr>
      <w:r>
        <w:rPr>
          <w:rFonts w:ascii="Times New Roman" w:hAnsi="Times New Roman" w:eastAsia="Times New Roman" w:cs="Times New Roman"/>
        </w:rPr>
        <w:t>À la fin, les « églises » que « Satan » séduit sont séduites parce qu’elles n’ont pas reçu l’amour de la « vérité ». Le mot « vérité » dans le passage de la seconde épître aux Thessaloniciens auquel sœur White vient de faire référence est le principal terme grec dérivé du mot hébreu traduit par « vérité », composé de trois lettres hébraïques et représentant l’Alpha et l’Oméga. Existe-t-il une preuve biblique que la vérité liée à la règle de la première mention, laquelle représente un attribut du caractère de Christ, est la vérité qui est rejetée et qui, par conséquent, produit une puissante séduction ?</w:t>
      </w:r>
    </w:p>
    <w:p>
      <w:pPr>
        <w:pStyle w:val="ArticleScripture"/>
        <w:jc w:val="left"/>
      </w:pPr>
      <w:r>
        <w:rPr>
          <w:rFonts w:ascii="Times New Roman" w:hAnsi="Times New Roman" w:eastAsia="Times New Roman" w:cs="Times New Roman"/>
        </w:rPr>
        <w:t>Sekarang kami memohon kepadamu, saudara-saudara, demi kedatangan Tuhan kita Yesus Kristus dan demi perhimpunan kita kepada-Nya, supaya kamu jangan lekas digoncangkan dalam pikiranmu atau menjadi gelisah, baik oleh roh, maupun oleh perkataan, maupun oleh surat yang seolah-olah berasal dari kami, seakan-akan hari Kristus sudah tiba. Janganlah seorang pun menyesatkan kamu dengan cara apa pun; sebab hari itu tidak akan datang sebelum terlebih dahulu datang kemurtadan, dan manusia durhaka itu dinyatakan, yaitu anak kebinasaan, yang menentang dan meninggikan diri di atas segala yang disebut Allah atau yang disembah, sehingga ia duduk sebagai Allah dalam Bait Allah dan menyatakan dirinya bahwa ia adalah Allah. Tidakkah kamu ingat bahwa ketika aku masih bersama-sama dengan kamu, aku telah mengatakan hal-hal ini kepadamu? Dan sekarang kamu tahu apa yang menahan dia, sehingga ia akan dinyatakan pada waktunya. Karena rahasia kedurhakaan telah mulai bekerja; hanya dia yang sekarang menahan akan terus menahan sampai ia disingkirkan. Dan kemudian si Fasik itu akan dinyatakan, yang akan dibinasakan Tuhan dengan napas mulut-Nya dan akan dimusnahkan dengan cahaya kemuliaan kedatangan-Nya; yaitu dia yang kedatangannya menurut pekerjaan Iblis dengan segala kuasa dan tanda-tanda serta mujizat-mujizat dusta, dan dengan segala tipu daya kelaliman di antara mereka yang binasa, karena mereka tidak menerima kasih akan kebenaran supaya mereka diselamatkan. Dan itulah sebabnya Allah mendatangkan kepada mereka kesesatan yang kuat, sehingga mereka percaya kepada dusta, supaya mereka semua dihukum, yaitu mereka yang tidak percaya kepada kebenaran, melainkan berkenan kepada kelaliman. 2 Tesalonika 2:1–12.</w:t>
      </w:r>
    </w:p>
    <w:p>
      <w:pPr>
        <w:pStyle w:val="ArticleBody"/>
        <w:jc w:val="left"/>
      </w:pPr>
      <w:r>
        <w:rPr>
          <w:rFonts w:ascii="Times New Roman" w:hAnsi="Times New Roman" w:eastAsia="Times New Roman" w:cs="Times New Roman"/>
        </w:rPr>
        <w:t>Ce passage des Thessaloniciens a souvent été traité dans les Tables d’Habacuc; nous ne ferons donc ici qu’un bref commentaire. Ce que Sœur White appelle « l’acte merveilleux de Satan » est, chez Paul, « l’action de Satan, avec toute puissance, des signes et des prodiges mensongers ». L’œuvre de séduction identifiée par Sœur White et par Paul commence avec la loi du dimanche aux États-Unis.</w:t>
      </w:r>
    </w:p>
    <w:p>
      <w:pPr>
        <w:pStyle w:val="ArticleScripture"/>
        <w:jc w:val="left"/>
      </w:pPr>
      <w:r>
        <w:rPr>
          <w:rFonts w:ascii="Times New Roman" w:hAnsi="Times New Roman" w:eastAsia="Times New Roman" w:cs="Times New Roman"/>
        </w:rPr>
        <w:t>« Par le décret imposant l’institution de la papauté en violation de la loi de Dieu, notre nation se séparera entièrement de la justice. Lorsque le protestantisme tendra la main par-dessus le gouffre pour saisir la main de la puissance romaine, lorsqu’il s’étendra au-dessus de l’abîme pour s’unir au spiritisme, lorsque, sous l’influence de cette triple union, notre pays répudiera tout principe de sa Constitution en tant que gouvernement protestant et républicain, et qu’il prendra des dispositions pour la propagation des faussetés et des séductions papales, alors nous pourrons savoir que le temps est venu pour l’œuvre prodigieuse de Satan et que la fin est proche. » Testimonies, volume 5, 451.</w:t>
      </w:r>
    </w:p>
    <w:p>
      <w:pPr>
        <w:pStyle w:val="ArticleBody"/>
        <w:jc w:val="left"/>
      </w:pPr>
      <w:r>
        <w:rPr>
          <w:rFonts w:ascii="Times New Roman" w:hAnsi="Times New Roman" w:eastAsia="Times New Roman" w:cs="Times New Roman"/>
        </w:rPr>
        <w:t>ہسّاں تسالونیکیوں دے اس اقتباس وچ، جِس اُتے اسیں غور کر رہے آں، پولُس دنیا دے آخِر وچ پوپ نوں چار مختلف اصطلاحاں نال شناخت کردا ہے۔ پوپ “گناہ دا آدمی” ہے، اوہ “ہلاکت دا فرزند” ہے، اوہ “بدکرداری دا بھید” ہے، تے “اوہ شریر” وی ہے۔ اِنہاں چار ناںواں توں علاوہ پولُس پوپ دیاں کُجھ ہور خصوصیات وی بیان کردا ہے، کیونکہ اوہ سانوں ایہہ دَسدا ہے کہ پوپ، (جو پولُس دے زمانے دے لحاظ نال ہنوز مستقبل وچ سی) “اپنے وقت اُتے ظاہر کیتا جاوے گا۔”</w:t>
      </w:r>
    </w:p>
    <w:p>
      <w:pPr>
        <w:pStyle w:val="ArticleBody"/>
        <w:jc w:val="left"/>
      </w:pPr>
      <w:r>
        <w:rPr>
          <w:rFonts w:ascii="Microsoft YaHei" w:hAnsi="Microsoft YaHei" w:eastAsia="Microsoft YaHei" w:cs="Microsoft YaHei"/>
        </w:rPr>
        <w:t>教皇</w:t>
      </w:r>
      <w:r>
        <w:rPr>
          <w:rFonts w:ascii="Times New Roman" w:hAnsi="Times New Roman" w:eastAsia="Times New Roman" w:cs="Times New Roman"/>
        </w:rPr>
        <w:t>“</w:t>
      </w:r>
      <w:r>
        <w:rPr>
          <w:rFonts w:ascii="Microsoft YaHei" w:hAnsi="Microsoft YaHei" w:eastAsia="Microsoft YaHei" w:cs="Microsoft YaHei"/>
        </w:rPr>
        <w:t>要按着自己的时候显露出来</w:t>
      </w:r>
      <w:r>
        <w:rPr>
          <w:rFonts w:ascii="Times New Roman" w:hAnsi="Times New Roman" w:eastAsia="Times New Roman" w:cs="Times New Roman"/>
        </w:rPr>
        <w:t>”;</w:t>
      </w:r>
      <w:r>
        <w:rPr>
          <w:rFonts w:ascii="Microsoft YaHei" w:hAnsi="Microsoft YaHei" w:eastAsia="Microsoft YaHei" w:cs="Microsoft YaHei"/>
        </w:rPr>
        <w:t>而最清楚的圣经证据</w:t>
      </w:r>
      <w:r>
        <w:rPr>
          <w:rFonts w:ascii="Times New Roman" w:hAnsi="Times New Roman" w:eastAsia="Times New Roman" w:cs="Times New Roman"/>
        </w:rPr>
        <w:t>——</w:t>
      </w:r>
      <w:r>
        <w:rPr>
          <w:rFonts w:ascii="Microsoft YaHei" w:hAnsi="Microsoft YaHei" w:eastAsia="Microsoft YaHei" w:cs="Microsoft YaHei"/>
        </w:rPr>
        <w:t>虽绝不是唯一的圣经真理</w:t>
      </w:r>
      <w:r>
        <w:rPr>
          <w:rFonts w:ascii="Times New Roman" w:hAnsi="Times New Roman" w:eastAsia="Times New Roman" w:cs="Times New Roman"/>
        </w:rPr>
        <w:t>——</w:t>
      </w:r>
      <w:r>
        <w:rPr>
          <w:rFonts w:ascii="Microsoft YaHei" w:hAnsi="Microsoft YaHei" w:eastAsia="Microsoft YaHei" w:cs="Microsoft YaHei"/>
        </w:rPr>
        <w:t>即罗马教会的教皇就是圣经预言中的敌基督</w:t>
      </w:r>
      <w:r>
        <w:rPr>
          <w:rFonts w:ascii="Times New Roman" w:hAnsi="Times New Roman" w:eastAsia="Times New Roman" w:cs="Times New Roman"/>
        </w:rPr>
        <w:t>,</w:t>
      </w:r>
      <w:r>
        <w:rPr>
          <w:rFonts w:ascii="Microsoft YaHei" w:hAnsi="Microsoft YaHei" w:eastAsia="Microsoft YaHei" w:cs="Microsoft YaHei"/>
        </w:rPr>
        <w:t>这一最清楚的圣经真理</w:t>
      </w:r>
      <w:r>
        <w:rPr>
          <w:rFonts w:ascii="Times New Roman" w:hAnsi="Times New Roman" w:eastAsia="Times New Roman" w:cs="Times New Roman"/>
        </w:rPr>
        <w:t>,</w:t>
      </w:r>
      <w:r>
        <w:rPr>
          <w:rFonts w:ascii="Microsoft YaHei" w:hAnsi="Microsoft YaHei" w:eastAsia="Microsoft YaHei" w:cs="Microsoft YaHei"/>
        </w:rPr>
        <w:t>乃是借着圣经中七处不同且直接的经文而得以确立</w:t>
      </w:r>
      <w:r>
        <w:rPr>
          <w:rFonts w:ascii="Times New Roman" w:hAnsi="Times New Roman" w:eastAsia="Times New Roman" w:cs="Times New Roman"/>
        </w:rPr>
        <w:t>;</w:t>
      </w:r>
      <w:r>
        <w:rPr>
          <w:rFonts w:ascii="Microsoft YaHei" w:hAnsi="Microsoft YaHei" w:eastAsia="Microsoft YaHei" w:cs="Microsoft YaHei"/>
        </w:rPr>
        <w:t>这些经文指出了教皇权将要统治世界的那个</w:t>
      </w:r>
      <w:r>
        <w:rPr>
          <w:rFonts w:ascii="Times New Roman" w:hAnsi="Times New Roman" w:eastAsia="Times New Roman" w:cs="Times New Roman"/>
        </w:rPr>
        <w:t>“</w:t>
      </w:r>
      <w:r>
        <w:rPr>
          <w:rFonts w:ascii="Microsoft YaHei" w:hAnsi="Microsoft YaHei" w:eastAsia="Microsoft YaHei" w:cs="Microsoft YaHei"/>
        </w:rPr>
        <w:t>时候</w:t>
      </w:r>
      <w:r>
        <w:rPr>
          <w:rFonts w:ascii="Times New Roman" w:hAnsi="Times New Roman" w:eastAsia="Times New Roman" w:cs="Times New Roman"/>
        </w:rPr>
        <w:t>”,</w:t>
      </w:r>
      <w:r>
        <w:rPr>
          <w:rFonts w:ascii="Microsoft YaHei" w:hAnsi="Microsoft YaHei" w:eastAsia="Microsoft YaHei" w:cs="Microsoft YaHei"/>
        </w:rPr>
        <w:t>也就是世人称为黑暗时代的那一段</w:t>
      </w:r>
      <w:r>
        <w:rPr>
          <w:rFonts w:ascii="Times New Roman" w:hAnsi="Times New Roman" w:eastAsia="Times New Roman" w:cs="Times New Roman"/>
        </w:rPr>
        <w:t>“</w:t>
      </w:r>
      <w:r>
        <w:rPr>
          <w:rFonts w:ascii="Microsoft YaHei" w:hAnsi="Microsoft YaHei" w:eastAsia="Microsoft YaHei" w:cs="Microsoft YaHei"/>
        </w:rPr>
        <w:t>时候</w:t>
      </w:r>
      <w:r>
        <w:rPr>
          <w:rFonts w:ascii="Times New Roman" w:hAnsi="Times New Roman" w:eastAsia="Times New Roman" w:cs="Times New Roman"/>
        </w:rPr>
        <w:t>”.</w:t>
      </w:r>
      <w:r>
        <w:rPr>
          <w:rFonts w:ascii="Microsoft YaHei" w:hAnsi="Microsoft YaHei" w:eastAsia="Microsoft YaHei" w:cs="Microsoft YaHei"/>
        </w:rPr>
        <w:t>圣经借着一再标明那段确切的</w:t>
      </w:r>
      <w:r>
        <w:rPr>
          <w:rFonts w:ascii="Times New Roman" w:hAnsi="Times New Roman" w:eastAsia="Times New Roman" w:cs="Times New Roman"/>
        </w:rPr>
        <w:t>“</w:t>
      </w:r>
      <w:r>
        <w:rPr>
          <w:rFonts w:ascii="Microsoft YaHei" w:hAnsi="Microsoft YaHei" w:eastAsia="Microsoft YaHei" w:cs="Microsoft YaHei"/>
        </w:rPr>
        <w:t>时候</w:t>
      </w:r>
      <w:r>
        <w:rPr>
          <w:rFonts w:ascii="Times New Roman" w:hAnsi="Times New Roman" w:eastAsia="Times New Roman" w:cs="Times New Roman"/>
        </w:rPr>
        <w:t>”——</w:t>
      </w:r>
      <w:r>
        <w:rPr>
          <w:rFonts w:ascii="Microsoft YaHei" w:hAnsi="Microsoft YaHei" w:eastAsia="Microsoft YaHei" w:cs="Microsoft YaHei"/>
        </w:rPr>
        <w:t>自</w:t>
      </w:r>
      <w:r>
        <w:rPr>
          <w:rFonts w:ascii="Times New Roman" w:hAnsi="Times New Roman" w:eastAsia="Times New Roman" w:cs="Times New Roman"/>
        </w:rPr>
        <w:t>538</w:t>
      </w:r>
      <w:r>
        <w:rPr>
          <w:rFonts w:ascii="Microsoft YaHei" w:hAnsi="Microsoft YaHei" w:eastAsia="Microsoft YaHei" w:cs="Microsoft YaHei"/>
        </w:rPr>
        <w:t>年至</w:t>
      </w:r>
      <w:r>
        <w:rPr>
          <w:rFonts w:ascii="Times New Roman" w:hAnsi="Times New Roman" w:eastAsia="Times New Roman" w:cs="Times New Roman"/>
        </w:rPr>
        <w:t>1798</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启示教皇即教皇权</w:t>
      </w:r>
      <w:r>
        <w:rPr>
          <w:rFonts w:ascii="Times New Roman" w:hAnsi="Times New Roman" w:eastAsia="Times New Roman" w:cs="Times New Roman"/>
        </w:rPr>
        <w:t>,</w:t>
      </w:r>
      <w:r>
        <w:rPr>
          <w:rFonts w:ascii="Microsoft YaHei" w:hAnsi="Microsoft YaHei" w:eastAsia="Microsoft YaHei" w:cs="Microsoft YaHei"/>
        </w:rPr>
        <w:t>并说明教皇权将统治世界</w:t>
      </w:r>
      <w:r>
        <w:rPr>
          <w:rFonts w:ascii="Times New Roman" w:hAnsi="Times New Roman" w:eastAsia="Times New Roman" w:cs="Times New Roman"/>
        </w:rPr>
        <w:t>.</w:t>
      </w:r>
      <w:r>
        <w:rPr>
          <w:rFonts w:ascii="Microsoft YaHei" w:hAnsi="Microsoft YaHei" w:eastAsia="Microsoft YaHei" w:cs="Microsoft YaHei"/>
        </w:rPr>
        <w:t>保罗说</w:t>
      </w:r>
      <w:r>
        <w:rPr>
          <w:rFonts w:ascii="Times New Roman" w:hAnsi="Times New Roman" w:eastAsia="Times New Roman" w:cs="Times New Roman"/>
        </w:rPr>
        <w:t>,</w:t>
      </w:r>
      <w:r>
        <w:rPr>
          <w:rFonts w:ascii="Microsoft YaHei" w:hAnsi="Microsoft YaHei" w:eastAsia="Microsoft YaHei" w:cs="Microsoft YaHei"/>
        </w:rPr>
        <w:t>他要按着自己的时候显露出来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Paul waxay kaloo caddeyneysaa in uu baadariga yahay kan “ka gees yimaada oo isa sarraysiiya wax kasta oo Ilaah loogu yeedho ama la caabudo; sidaas daraaddeedna isagu sida Ilaah ayuu ugu fadhiistaa macbudka Ilaah, isagoo isu muujinaya inuu Ilaah yahay.” Arrimo kale oo ka mid ah, tani waxay aqoonsanaysaa in kan ka geesta ah ee waxsii sheegyada Kitaabka Quduuska ahi uu yahay astaan diimeed. Isagu ma aha Hitler, ama Alexander the Great. Tani waxay sii xaddidaysaa aqoonsiga baadariga, waayo isagu ma aha si fudud kali-taliye diimeed, balse waa kali-taliye diimeed oo sheegta inuu ku jiro macbudka Ilaah. Kan ka geesta ahi wuxuu ku andacoodaa inuu ku fadhiya gudaha kaniisadda Masiixiyiinta.</w:t>
      </w:r>
    </w:p>
    <w:p>
      <w:pPr>
        <w:pStyle w:val="ArticleBody"/>
        <w:jc w:val="left"/>
      </w:pPr>
      <w:r>
        <w:rPr>
          <w:rFonts w:ascii="Microsoft YaHei" w:hAnsi="Microsoft YaHei" w:eastAsia="Microsoft YaHei" w:cs="Microsoft YaHei"/>
        </w:rPr>
        <w:t>根据保罗和但以理所说</w:t>
      </w:r>
      <w:r>
        <w:rPr>
          <w:rFonts w:ascii="Times New Roman" w:hAnsi="Times New Roman" w:eastAsia="Times New Roman" w:cs="Times New Roman"/>
        </w:rPr>
        <w:t>,</w:t>
      </w:r>
      <w:r>
        <w:rPr>
          <w:rFonts w:ascii="Microsoft YaHei" w:hAnsi="Microsoft YaHei" w:eastAsia="Microsoft YaHei" w:cs="Microsoft YaHei"/>
        </w:rPr>
        <w:t>当教皇身处他所宣称的基督教会之中时</w:t>
      </w:r>
      <w:r>
        <w:rPr>
          <w:rFonts w:ascii="Times New Roman" w:hAnsi="Times New Roman" w:eastAsia="Times New Roman" w:cs="Times New Roman"/>
        </w:rPr>
        <w:t>,</w:t>
      </w:r>
      <w:r>
        <w:rPr>
          <w:rFonts w:ascii="Microsoft YaHei" w:hAnsi="Microsoft YaHei" w:eastAsia="Microsoft YaHei" w:cs="Microsoft YaHei"/>
        </w:rPr>
        <w:t>他就显明了撒但的性情</w:t>
      </w:r>
      <w:r>
        <w:rPr>
          <w:rFonts w:ascii="Times New Roman" w:hAnsi="Times New Roman" w:eastAsia="Times New Roman" w:cs="Times New Roman"/>
        </w:rPr>
        <w:t>;</w:t>
      </w:r>
      <w:r>
        <w:rPr>
          <w:rFonts w:ascii="Microsoft YaHei" w:hAnsi="Microsoft YaHei" w:eastAsia="Microsoft YaHei" w:cs="Microsoft YaHei"/>
        </w:rPr>
        <w:t>撒但曾妄图坐在神的宝座上</w:t>
      </w:r>
      <w:r>
        <w:rPr>
          <w:rFonts w:ascii="Times New Roman" w:hAnsi="Times New Roman" w:eastAsia="Times New Roman" w:cs="Times New Roman"/>
        </w:rPr>
        <w:t>,</w:t>
      </w:r>
      <w:r>
        <w:rPr>
          <w:rFonts w:ascii="Microsoft YaHei" w:hAnsi="Microsoft YaHei" w:eastAsia="Microsoft YaHei" w:cs="Microsoft YaHei"/>
        </w:rPr>
        <w:t>并高抬自己超过万有</w:t>
      </w:r>
      <w:r>
        <w:rPr>
          <w:rFonts w:ascii="Times New Roman" w:hAnsi="Times New Roman" w:eastAsia="Times New Roman" w:cs="Times New Roman"/>
        </w:rPr>
        <w:t>.</w:t>
      </w:r>
      <w:r>
        <w:rPr>
          <w:rFonts w:ascii="Microsoft YaHei" w:hAnsi="Microsoft YaHei" w:eastAsia="Microsoft YaHei" w:cs="Microsoft YaHei"/>
        </w:rPr>
        <w:t>我之所以说保罗和但以理</w:t>
      </w:r>
      <w:r>
        <w:rPr>
          <w:rFonts w:ascii="Times New Roman" w:hAnsi="Times New Roman" w:eastAsia="Times New Roman" w:cs="Times New Roman"/>
        </w:rPr>
        <w:t>,</w:t>
      </w:r>
      <w:r>
        <w:rPr>
          <w:rFonts w:ascii="Microsoft YaHei" w:hAnsi="Microsoft YaHei" w:eastAsia="Microsoft YaHei" w:cs="Microsoft YaHei"/>
        </w:rPr>
        <w:t>是因为大多数圣经注释家都承认：当保罗表明教皇的一个特征乃是他是一个彻底的自恋者时</w:t>
      </w:r>
      <w:r>
        <w:rPr>
          <w:rFonts w:ascii="Times New Roman" w:hAnsi="Times New Roman" w:eastAsia="Times New Roman" w:cs="Times New Roman"/>
        </w:rPr>
        <w:t>,</w:t>
      </w:r>
      <w:r>
        <w:rPr>
          <w:rFonts w:ascii="Microsoft YaHei" w:hAnsi="Microsoft YaHei" w:eastAsia="Microsoft YaHei" w:cs="Microsoft YaHei"/>
        </w:rPr>
        <w:t>保罗不过是在引用但以理在</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第十一章中对教皇的描述</w:t>
      </w:r>
      <w:r>
        <w:rPr>
          <w:rFonts w:ascii="Times New Roman" w:hAnsi="Times New Roman" w:eastAsia="Times New Roman" w:cs="Times New Roman"/>
        </w:rPr>
        <w:t>;</w:t>
      </w:r>
      <w:r>
        <w:rPr>
          <w:rFonts w:ascii="Microsoft YaHei" w:hAnsi="Microsoft YaHei" w:eastAsia="Microsoft YaHei" w:cs="Microsoft YaHei"/>
        </w:rPr>
        <w:t>但以理在那里记载道：</w:t>
      </w:r>
    </w:p>
    <w:p>
      <w:pPr>
        <w:pStyle w:val="ArticleScripture"/>
        <w:jc w:val="left"/>
      </w:pPr>
      <w:r>
        <w:rPr>
          <w:rFonts w:ascii="Times New Roman" w:hAnsi="Times New Roman" w:eastAsia="Times New Roman" w:cs="Times New Roman"/>
        </w:rPr>
        <w:t>«И царь будет поступать по своему произволу, и вознесётся, и превознесётся выше всякого бога, и о Боге богов станет говорить изумительные вещи, и будет иметь успех, доколе не совершится гнев; ибо что предопределено, то исполнится». Даниил 11:36.</w:t>
      </w:r>
    </w:p>
    <w:p>
      <w:pPr>
        <w:pStyle w:val="ArticleBody"/>
        <w:jc w:val="left"/>
      </w:pPr>
      <w:r>
        <w:rPr>
          <w:rFonts w:ascii="Times New Roman" w:hAnsi="Times New Roman" w:eastAsia="Times New Roman" w:cs="Times New Roman"/>
        </w:rPr>
        <w:t>Da Paulo ao agganggan iti naarsog a kababalin ti papa, iparangna iti sabali a pannakaisaad ti bersikulo ni Daniel ken ibagana a ti papa ti “sumupiat ken agitan-ok iti bagina iti ngatoen ti amin a maawagan a Dios, wenno dayta a pagdaydayaw; tapno isu a kas Dios agtugaw iti templo ti Dios, nga ipakitana iti bagina a isu ket Dios.” Ti bersikulo idiay Daniel a mangilasin iti kababalin ti kinapapado ket tudtudoenna met ti “panawen” a naituding a “mangiparangarang” a ti kinapapado ket isu ti anticristo, idinto a ipakitana a ti kinapapado ket “agballigi” agingga a ti “pannakaunget ket magibus.”</w:t>
      </w:r>
    </w:p>
    <w:p>
      <w:pPr>
        <w:pStyle w:val="ArticleBody"/>
        <w:jc w:val="left"/>
      </w:pPr>
      <w:r>
        <w:rPr>
          <w:rFonts w:ascii="Times New Roman" w:hAnsi="Times New Roman" w:eastAsia="Times New Roman" w:cs="Times New Roman"/>
        </w:rPr>
        <w:t>L’« indignation » prit fin en 1798 ; ainsi, Daniel, dans ce verset (bien que celui-ci ne soit pas l’un des sept passages directs des livres de Daniel et de l’Apocalypse où l’histoire des 1260 ans est mentionnée), identifie néanmoins directement la puissance papale et signale qu’elle reçut, en 1798, « une blessure mortelle », comme Jean l’appelle. Ainsi, ce verset désigne la fin de la période de domination papale, sans toutefois en indiquer la durée.</w:t>
      </w:r>
    </w:p>
    <w:p>
      <w:pPr>
        <w:pStyle w:val="ArticleBody"/>
        <w:jc w:val="left"/>
      </w:pPr>
      <w:r>
        <w:rPr>
          <w:rFonts w:ascii="Times New Roman" w:hAnsi="Times New Roman" w:eastAsia="Times New Roman" w:cs="Times New Roman"/>
        </w:rPr>
        <w:t>A cikin wannan nassi, Bulus ya kuma bayyana wata iko da za ta hana papacy karɓar ikon duniya a shekara ta 538, sa’ad da ya bayyana cewa Tasalonikawa waɗanda yake rubuta wa sun riga sun san wannan gaskiya ta musamman. Ya tayar da tambayar nan: “Ashe, ba ku tuna ba, cewa, sa’ad da nake har yanzu tare da ku, na faɗa muku waɗannan abubuwa?” Ya tunatar da su cewa sun riga sun san “abin da yake hanawa” (wato, yake tsarewa) papacy har sai “a bayyana shi a lokacinsa.” Ikon da ya gabaci papacy kuma ya hana ta karɓar ikon duniya shi ne ikon da yake mulkin duniya a lokacin da Bulus ya rubuta wasiƙar. Ita ce Roma arna. Bulus ya rubuta cewa dole ne a “kawar da ita daga hanya” domin papacy ta karɓi ikon duniya.</w:t>
      </w:r>
    </w:p>
    <w:p>
      <w:pPr>
        <w:pStyle w:val="ArticleBody"/>
        <w:jc w:val="left"/>
      </w:pPr>
      <w:r>
        <w:rPr>
          <w:rFonts w:ascii="Times New Roman" w:hAnsi="Times New Roman" w:eastAsia="Times New Roman" w:cs="Times New Roman"/>
        </w:rPr>
        <w:t>C’est cette compréhension qui conduisit William Miller à reconnaître que la puissance symbolisée comme « le continuel » dans le livre de Daniel était la Rome païenne. L’adventisme reconnaît que la structure, et par conséquent l’ensemble des compréhensions prophétiques de William Miller, reposaient sur sa compréhension des livres de Daniel et de l’Apocalypse, et que ces deux livres traitent des deux puissances dévastatrices que sont la Rome païenne et la Rome papale. Dans le passage de Thessaloniciens, Miller, sachant déjà — comme tout protestant le savait en son temps — que le pape était l’antéchrist, lorsqu’il reconnut que la Rome païenne était la puissance historique qui précédait la domination papale, et que Paul avait déclaré que la Rome païenne devait être ôtée avant que la papauté ne montât sur le trône de la terre, établit alors le lien avec le livre de Daniel et « le continuel », où il est fait mention à trois reprises que le continuel devait être « ôté » avant que la papauté ne prît le contrôle du monde. Le témoignage de Paul permit à Miller de voir que la Rome païenne était « le continuel » de Daniel, et dès lors il put reconnaître que les deux puissances dévastatrices de Daniel étaient la Rome païenne et la Rome papale. Cette vérité représente le fondement du mouvement millérite. L’adventisme rejette assurément aujourd’hui l’œuvre de Miller, mais il comprend néanmoins que cet aperçu du développement, par Miller, de la compréhension du « continuel » dans Daniel prouve que la puissance dont Paul dit qu’elle « retient » l’ascension de la puissance papale jusqu’à ce qu’elle soit ôtée était la Rome païenne, et constitue l’analyse correcte de la pensée de Miller sur ces sujets.</w:t>
      </w:r>
    </w:p>
    <w:p>
      <w:pPr>
        <w:pStyle w:val="ArticleBody"/>
        <w:jc w:val="left"/>
      </w:pPr>
      <w:r>
        <w:rPr>
          <w:rFonts w:ascii="Times New Roman" w:hAnsi="Times New Roman" w:eastAsia="Times New Roman" w:cs="Times New Roman"/>
        </w:rPr>
        <w:t>En reconnaissant que, dans le livre de Daniel, « le continuel » est le symbole de la Rome païenne qui a précédé le royaume de la Rome papale, lequel Daniel avait représenté comme l’abomination de la désolation, Miller put alors discerner les temps prophétiques liés aux royaumes de la prophétie biblique; et, son intelligence s’ouvrant à ces aperçus, il rassembla une série de vérités qui constituent les fondements de l’adventisme. Ces vérités furent inscrites sur les deux tables des cartes pionnières de 1843 et de 1850. Ces vérités sont le fondement de l’adventisme, et elles reposaient sur la reconnaissance du « temps ». L’histoire du moment où ces fondements furent établis constitue un sujet principal dans les Tables d’Habacuc.</w:t>
      </w:r>
    </w:p>
    <w:p>
      <w:pPr>
        <w:pStyle w:val="ArticleBody"/>
        <w:jc w:val="left"/>
      </w:pPr>
      <w:r>
        <w:rPr>
          <w:rFonts w:ascii="Times New Roman" w:hAnsi="Times New Roman" w:eastAsia="Times New Roman" w:cs="Times New Roman"/>
        </w:rPr>
        <w:t>ما لا يُشار إليه في جداول حبقوق هو أن الأساسات التي كانت قائمة على الزمن قد أفرزت بناءً يوفّر المنظور اللازم لكي يُدرك الجيل الأخير أن هناك حقائق كانت مُمثَّلة بوصفها الأساسات. كانت هناك حقيقة أولى هي الحجر الأول بعينه الذي وُضع في الأساس، غير أن «المحرقة الدائمة» في سفر دانيال لم تكن الحقيقة الأولى عند ميلر. إن الحقيقة التي كان مقدّرًا لها أن تصير الحجر الأول في الأساس الذي أُقيم ميلر ليبنيه كانت «السبعة الأزمنة» في اللاويين ستة وعشرين، ولكن لولا حقيقة «المحرقة الدائمة» لما كان ميلر قد أدرك البنية النبوية التي كان ينبغي له أن يدركها لكي يقدّم رسالة الملاك الأول. وكانت بنيته تقوم على وضع النبوة في منظور قوتين مُخرِّبتين. كان ميلر يتناول التنين (روما الوثنية) والوحش (البابوية). أما الملاك الثالث فيتناول التنين (الأمم المتحدة)، والوحش (البابوية)، والنبي الكذاب (الولايات المتحدة).</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w:t>
      </w:r>
      <w:r>
        <w:rPr>
          <w:rFonts w:ascii="Nirmala UI" w:hAnsi="Nirmala UI" w:eastAsia="Nirmala UI" w:cs="Nirmala UI"/>
        </w:rPr>
        <w:t>पड़ताल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परखना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व्यक्तिगत</w:t>
      </w:r>
      <w:r>
        <w:rPr>
          <w:rFonts w:ascii="Times New Roman" w:hAnsi="Times New Roman" w:eastAsia="Times New Roman" w:cs="Times New Roman"/>
        </w:rPr>
        <w:t xml:space="preserve"> </w:t>
      </w:r>
      <w:r>
        <w:rPr>
          <w:rFonts w:ascii="Nirmala UI" w:hAnsi="Nirmala UI" w:eastAsia="Nirmala UI" w:cs="Nirmala UI"/>
        </w:rPr>
        <w:t>दायित्व</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“Quelli che stanno come sentinelle di Dio sulle mura di Sion siano uomini capaci di vedere i pericoli davanti al popolo,—uomini che sappiano distinguere tra la verità e l’errore, la giustizia e l’ingiustizia.</w:t>
      </w:r>
    </w:p>
    <w:p>
      <w:pPr>
        <w:pStyle w:val="ArticleScripture"/>
        <w:jc w:val="left"/>
      </w:pPr>
      <w:r>
        <w:rPr>
          <w:rFonts w:ascii="Times New Roman" w:hAnsi="Times New Roman" w:eastAsia="Times New Roman" w:cs="Times New Roman"/>
        </w:rPr>
        <w:t>“Die waarskuwing het gekom: Niks mag toegelaat word om in te kom wat die fondament van die geloof sal versteur waarop ons gebou het vandat die boodskap in 1842, 1843 en 1844 gekom het nie. Ek was in hierdie boodskap, en sedertdien staan ek voor die wêreld, getrou aan die lig wat God aan ons gegee het. Ons is nie van voorneme om ons voete af te haal van die platform waarop hulle geplaas is terwyl ons dag vir dag die Here met ernstige gebed gesoek het en na lig gesoek het nie. Dink julle dat ek die lig wat God my gegee het, sou kon prysgee? Dit moet wees soos die Rots van die Eeue. Dit het my gelei vandat dit gegee is.” Review and Herald, 14 April 1903.</w:t>
      </w:r>
    </w:p>
    <w:p>
      <w:pPr>
        <w:pStyle w:val="ArticleBody"/>
        <w:jc w:val="left"/>
      </w:pPr>
      <w:r>
        <w:rPr>
          <w:rFonts w:ascii="Microsoft Himalaya" w:hAnsi="Microsoft Himalaya" w:eastAsia="Microsoft Himalaya" w:cs="Microsoft Himalaya"/>
        </w:rPr>
        <w:t>།གང་ཟག་གང་དག་གིས་ཐོས་ནས་མི་ལེར་རའི་ལོ་རྒྱུས་ནང་གི་དུས་ཚོད་ཀྱི་ལུང་བསྟན་རྣམས་དཔྱད་ཞིབ་བྱེད་པར།</w:t>
      </w:r>
      <w:r>
        <w:rPr>
          <w:rFonts w:ascii="Times New Roman" w:hAnsi="Times New Roman" w:eastAsia="Times New Roman" w:cs="Times New Roman"/>
        </w:rPr>
        <w:t xml:space="preserve"> </w:t>
      </w:r>
      <w:r>
        <w:rPr>
          <w:rFonts w:ascii="Microsoft Himalaya" w:hAnsi="Microsoft Himalaya" w:eastAsia="Microsoft Himalaya" w:cs="Microsoft Himalaya"/>
        </w:rPr>
        <w:t>དུས་ཚོད་ཀྱི་ལུང་བསྟན་གྱིས་མཚོན་པའི་ལོ་རྒྱུས་ཀྱི་དུས་ཡུན་རྣམས་ལ་ལྟ་བའི་བྱ་བ་དགོས།</w:t>
      </w:r>
      <w:r>
        <w:rPr>
          <w:rFonts w:ascii="Times New Roman" w:hAnsi="Times New Roman" w:eastAsia="Times New Roman" w:cs="Times New Roman"/>
        </w:rPr>
        <w:t xml:space="preserve"> </w:t>
      </w:r>
      <w:r>
        <w:rPr>
          <w:rFonts w:ascii="Microsoft Himalaya" w:hAnsi="Microsoft Himalaya" w:eastAsia="Microsoft Himalaya" w:cs="Microsoft Himalaya"/>
        </w:rPr>
        <w:t>འདིས་ནི་བྱུང་བ་རྣམས་དུས་ཐིག་གི་སྟེང་དུ་གསལ་སྟོན་བྱེད་པའི་ལས་ཀ་མཚོན།</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ལུང་བསྟན་སློབ་མ་ཞིག་གིས་མི་ལེར་པ་རྣམས་ཀྱིས་གསུང་རབ་ནས་ངོས་བཟུང་ཞིང་།</w:t>
      </w:r>
      <w:r>
        <w:rPr>
          <w:rFonts w:ascii="Times New Roman" w:hAnsi="Times New Roman" w:eastAsia="Times New Roman" w:cs="Times New Roman"/>
        </w:rPr>
        <w:t xml:space="preserve"> </w:t>
      </w:r>
      <w:r>
        <w:rPr>
          <w:rFonts w:ascii="Microsoft Himalaya" w:hAnsi="Microsoft Himalaya" w:eastAsia="Microsoft Himalaya" w:cs="Microsoft Himalaya"/>
        </w:rPr>
        <w:t>དེའི་རྗེས་སུ་ལོ་རྒྱུས་ཀྱི་ཐོ་གཞུང་གིས་རྒྱབ་སྐྱོར་བྱས་པའི་ལུང་བསྟན་གྱི་དུས་ཡུན་དེ་དག་ལ་བསམ་ཞིབ་བྱེད་པའི་གནས་ཚད་ལ་སླེབས་པ་ན།</w:t>
      </w:r>
      <w:r>
        <w:rPr>
          <w:rFonts w:ascii="Times New Roman" w:hAnsi="Times New Roman" w:eastAsia="Times New Roman" w:cs="Times New Roman"/>
        </w:rPr>
        <w:t xml:space="preserve"> </w:t>
      </w:r>
      <w:r>
        <w:rPr>
          <w:rFonts w:ascii="Microsoft Himalaya" w:hAnsi="Microsoft Himalaya" w:eastAsia="Microsoft Himalaya" w:cs="Microsoft Himalaya"/>
        </w:rPr>
        <w:t>ཁོ་ནི་དུས་ཚོད་ཀྱི་ལུང་བསྟན་དེའི་ཐོག་མའི་ལོ་རྒྱུས་ཀྱིས།</w:t>
      </w:r>
      <w:r>
        <w:rPr>
          <w:rFonts w:ascii="Times New Roman" w:hAnsi="Times New Roman" w:eastAsia="Times New Roman" w:cs="Times New Roman"/>
        </w:rPr>
        <w:t xml:space="preserve"> </w:t>
      </w:r>
      <w:r>
        <w:rPr>
          <w:rFonts w:ascii="Microsoft Himalaya" w:hAnsi="Microsoft Himalaya" w:eastAsia="Microsoft Himalaya" w:cs="Microsoft Himalaya"/>
        </w:rPr>
        <w:t>མཚོན་དོན་གྱིས་དུས་ཚོད་ལུང་བསྟན་དེ་ཉིད་ཀྱི་མཇུག་གི་ལོ་རྒྱུས་ལ་དཔེ་མཚོན་བྱེད་པ་ངོས་འཛིན་ནུས་པའི་གནས་སུ་གནས་ཡོད།</w:t>
      </w:r>
      <w:r>
        <w:rPr>
          <w:rFonts w:ascii="Times New Roman" w:hAnsi="Times New Roman" w:eastAsia="Times New Roman" w:cs="Times New Roman"/>
        </w:rPr>
        <w:t xml:space="preserve"> </w:t>
      </w:r>
      <w:r>
        <w:rPr>
          <w:rFonts w:ascii="Microsoft Himalaya" w:hAnsi="Microsoft Himalaya" w:eastAsia="Microsoft Himalaya" w:cs="Microsoft Himalaya"/>
        </w:rPr>
        <w:t>དེ་ལྟའི་ལྟ་སྟངས་ནས་སློབ་མ་དེས་ལོ་རྒྱུས་ནི་བསྐྱར་ཟློས་ཹིན་པ་ཤེས་པར་འོས།</w:t>
      </w:r>
      <w:r>
        <w:rPr>
          <w:rFonts w:ascii="Times New Roman" w:hAnsi="Times New Roman" w:eastAsia="Times New Roman" w:cs="Times New Roman"/>
        </w:rPr>
        <w:t xml:space="preserve"> </w:t>
      </w:r>
      <w:r>
        <w:rPr>
          <w:rFonts w:ascii="Microsoft Himalaya" w:hAnsi="Microsoft Himalaya" w:eastAsia="Microsoft Himalaya" w:cs="Microsoft Himalaya"/>
        </w:rPr>
        <w:t>གོ་བ་དེ་བཞག་པའི་ཐོག་ཏུ།</w:t>
      </w:r>
      <w:r>
        <w:rPr>
          <w:rFonts w:ascii="Times New Roman" w:hAnsi="Times New Roman" w:eastAsia="Times New Roman" w:cs="Times New Roman"/>
        </w:rPr>
        <w:t xml:space="preserve"> </w:t>
      </w:r>
      <w:r>
        <w:rPr>
          <w:rFonts w:ascii="Microsoft Himalaya" w:hAnsi="Microsoft Himalaya" w:eastAsia="Microsoft Himalaya" w:cs="Microsoft Himalaya"/>
        </w:rPr>
        <w:t>ཁོས་ཡེ་ཤུས་མཇུག་མཐའ་ནི་ཐོག་མས་གསལ་བཤད་མཛད་པའང་མཐོང་བར་འོས།</w:t>
      </w:r>
    </w:p>
    <w:p>
      <w:pPr>
        <w:pStyle w:val="ArticleBody"/>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भविष्यदर्शी</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विद्यार्थी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शीर्ष</w:t>
      </w:r>
      <w:r>
        <w:rPr>
          <w:rFonts w:ascii="Times New Roman" w:hAnsi="Times New Roman" w:eastAsia="Times New Roman" w:cs="Times New Roman"/>
        </w:rPr>
        <w:t>-</w:t>
      </w:r>
      <w:r>
        <w:rPr>
          <w:rFonts w:ascii="Nirmala UI" w:hAnsi="Nirmala UI" w:eastAsia="Nirmala UI" w:cs="Nirmala UI"/>
        </w:rPr>
        <w:t>शिला</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अतिरिक्त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भविष्यदर्शी</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विद्यार्थी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शीर्ष</w:t>
      </w:r>
      <w:r>
        <w:rPr>
          <w:rFonts w:ascii="Times New Roman" w:hAnsi="Times New Roman" w:eastAsia="Times New Roman" w:cs="Times New Roman"/>
        </w:rPr>
        <w:t>-</w:t>
      </w:r>
      <w:r>
        <w:rPr>
          <w:rFonts w:ascii="Nirmala UI" w:hAnsi="Nirmala UI" w:eastAsia="Nirmala UI" w:cs="Nirmala UI"/>
        </w:rPr>
        <w:t>शिला</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शिला</w:t>
      </w:r>
      <w:r>
        <w:rPr>
          <w:rFonts w:ascii="Times New Roman" w:hAnsi="Times New Roman" w:eastAsia="Times New Roman" w:cs="Times New Roman"/>
        </w:rPr>
        <w:t>—</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भविष्यदर्शी</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Selon la grâce de Dieu qui m’a été donnée, tel un sage architecte, j’ai posé le fondement, et un autre bâtit dessus. Mais que chacun prenne garde à la manière dont il bâtit dessus. Car nul ne peut poser un autre fondement que celui qui a été posé, lequel est Jésus-Christ. 1 Corinthiens 3:10, 11.</w:t>
      </w:r>
    </w:p>
    <w:p>
      <w:pPr>
        <w:pStyle w:val="ArticleBody"/>
        <w:jc w:val="left"/>
      </w:pPr>
      <w:r>
        <w:rPr>
          <w:rFonts w:ascii="Times New Roman" w:hAnsi="Times New Roman" w:eastAsia="Times New Roman" w:cs="Times New Roman"/>
        </w:rPr>
        <w:t>بولس کارِ خود را برپا داشتنِ هیکلی معرّفی می‌کند که شالوده یا آغاز آن را خود نهاده بود. او رسولِ امّت‌ها بود و برای نهادنِ بنیادِ کلیسای مسیحی به کار گرفته شد. در همان فراز، پولس همچنین تصریح می‌کند که بدن‌های ما هیکلِ روح‌القدس است. هیکلِ سلیمان و نیز مَقْدِسِ بیابان نیز وجود دارند که همگی دارای شالوده‌هایی هستند که جملگی نمودِ عیسی مسیح‌اند. شالوده‌ای که میلر برای برپا داشتنِ آن به کار گرفته شد، هیکلِ ادونتیسم بود، و شالودهٔ آن هیکل بی‌تردید عیسی مسیح است؛ امّا به‌گونه‌ای مشخص‌تر، آن هیکلی است که با مصالحی روحانی و نبوّتی بنا می‌گردد.</w:t>
      </w:r>
    </w:p>
    <w:p>
      <w:pPr>
        <w:pStyle w:val="ArticleBody"/>
        <w:jc w:val="left"/>
      </w:pPr>
      <w:r>
        <w:rPr>
          <w:rFonts w:ascii="Times New Roman" w:hAnsi="Times New Roman" w:eastAsia="Times New Roman" w:cs="Times New Roman"/>
        </w:rPr>
        <w:t>لہٰذا سرِسنگ بھی یسوع مسیح ہی ہونا چاہیے، لیکن سرِسنگ میں ایک اوّلین نبوی قاعدہ بھی شامل ہونا لازم ہے، کیونکہ ملر کو قواعد کا ایک مجموعہ دیا گیا تھا جس میں ملریوں کا بنیادی قاعدہ ’’ایک دن بمعنی ایک سال‘‘ کا اصول تھا۔ اس قاعدے کے بغیر زمانہ کی نبوت کی کوئی پہچان نہیں ہوتی، اور یوں کوئی بنیاد بھی قائم نہیں ہوتی۔ آخر میں بھی ایک ہم سرشت امر ہونا چاہیے جو یسوع مسیح (بنیاد) کی نمائندگی کرے، اور جو قواعد کے ایک مجموعے کے اندر ایک اوّلین قاعدہ ہو جو مکاشفۂ یسوع مسیح کو قائم کرتا ہے۔ یہ قاعدہ یقیناً ’’اولین ذکر‘‘ کا قاعدہ ہے، جو مسیح کے سیرت کے اُس وصف کی نمائندگی کرتا ہے جو ابتدا ہی سے انتہا کو ظاہر کرتا ہے۔</w:t>
      </w:r>
    </w:p>
    <w:p>
      <w:pPr>
        <w:pStyle w:val="ArticleBody"/>
        <w:jc w:val="left"/>
      </w:pPr>
      <w:r>
        <w:rPr>
          <w:rFonts w:ascii="Nirmala UI" w:hAnsi="Nirmala UI" w:eastAsia="Nirmala UI" w:cs="Nirmala UI"/>
        </w:rPr>
        <w:t>૨</w:t>
      </w:r>
      <w:r>
        <w:rPr>
          <w:rFonts w:ascii="Times New Roman" w:hAnsi="Times New Roman" w:eastAsia="Times New Roman" w:cs="Times New Roman"/>
        </w:rPr>
        <w:t xml:space="preserve"> </w:t>
      </w:r>
      <w:r>
        <w:rPr>
          <w:rFonts w:ascii="Nirmala UI" w:hAnsi="Nirmala UI" w:eastAsia="Nirmala UI" w:cs="Nirmala UI"/>
        </w:rPr>
        <w:t>થેસ્સલોનિકીઓમાં</w:t>
      </w:r>
      <w:r>
        <w:rPr>
          <w:rFonts w:ascii="Times New Roman" w:hAnsi="Times New Roman" w:eastAsia="Times New Roman" w:cs="Times New Roman"/>
        </w:rPr>
        <w:t xml:space="preserve"> </w:t>
      </w:r>
      <w:r>
        <w:rPr>
          <w:rFonts w:ascii="Nirmala UI" w:hAnsi="Nirmala UI" w:eastAsia="Nirmala UI" w:cs="Nirmala UI"/>
        </w:rPr>
        <w:t>જેમણે</w:t>
      </w:r>
      <w:r>
        <w:rPr>
          <w:rFonts w:ascii="Times New Roman" w:hAnsi="Times New Roman" w:eastAsia="Times New Roman" w:cs="Times New Roman"/>
        </w:rPr>
        <w:t xml:space="preserve"> </w:t>
      </w:r>
      <w:r>
        <w:rPr>
          <w:rFonts w:ascii="Nirmala UI" w:hAnsi="Nirmala UI" w:eastAsia="Nirmala UI" w:cs="Nirmala UI"/>
        </w:rPr>
        <w:t>ઉદ્ધાર</w:t>
      </w:r>
      <w:r>
        <w:rPr>
          <w:rFonts w:ascii="Times New Roman" w:hAnsi="Times New Roman" w:eastAsia="Times New Roman" w:cs="Times New Roman"/>
        </w:rPr>
        <w:t xml:space="preserve"> </w:t>
      </w:r>
      <w:r>
        <w:rPr>
          <w:rFonts w:ascii="Nirmala UI" w:hAnsi="Nirmala UI" w:eastAsia="Nirmala UI" w:cs="Nirmala UI"/>
        </w:rPr>
        <w:t>પામવા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પ્રેમને</w:t>
      </w:r>
      <w:r>
        <w:rPr>
          <w:rFonts w:ascii="Times New Roman" w:hAnsi="Times New Roman" w:eastAsia="Times New Roman" w:cs="Times New Roman"/>
        </w:rPr>
        <w:t xml:space="preserve"> </w:t>
      </w:r>
      <w:r>
        <w:rPr>
          <w:rFonts w:ascii="Nirmala UI" w:hAnsi="Nirmala UI" w:eastAsia="Nirmala UI" w:cs="Nirmala UI"/>
        </w:rPr>
        <w:t>સ્વીકાર્યો</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અસ્વીકાર્યું</w:t>
      </w:r>
      <w:r>
        <w:rPr>
          <w:rFonts w:ascii="Times New Roman" w:hAnsi="Times New Roman" w:eastAsia="Times New Roman" w:cs="Times New Roman"/>
        </w:rPr>
        <w:t>—</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ગ્રીક</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હિબ્રૂના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શબ્દમાંથી</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અક્ષરો</w:t>
      </w:r>
      <w:r>
        <w:rPr>
          <w:rFonts w:ascii="Times New Roman" w:hAnsi="Times New Roman" w:eastAsia="Times New Roman" w:cs="Times New Roman"/>
        </w:rPr>
        <w:t xml:space="preserve"> </w:t>
      </w:r>
      <w:r>
        <w:rPr>
          <w:rFonts w:ascii="Nirmala UI" w:hAnsi="Nirmala UI" w:eastAsia="Nirmala UI" w:cs="Nirmala UI"/>
        </w:rPr>
        <w:t>વડે</w:t>
      </w:r>
      <w:r>
        <w:rPr>
          <w:rFonts w:ascii="Times New Roman" w:hAnsi="Times New Roman" w:eastAsia="Times New Roman" w:cs="Times New Roman"/>
        </w:rPr>
        <w:t xml:space="preserve"> </w:t>
      </w:r>
      <w:r>
        <w:rPr>
          <w:rFonts w:ascii="Nirmala UI" w:hAnsi="Nirmala UI" w:eastAsia="Nirmala UI" w:cs="Nirmala UI"/>
        </w:rPr>
        <w:t>રચાયેલો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કરારમાં</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અનુવાદિત</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સમૂહ</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પ્રબળ</w:t>
      </w:r>
      <w:r>
        <w:rPr>
          <w:rFonts w:ascii="Times New Roman" w:hAnsi="Times New Roman" w:eastAsia="Times New Roman" w:cs="Times New Roman"/>
        </w:rPr>
        <w:t xml:space="preserve"> </w:t>
      </w:r>
      <w:r>
        <w:rPr>
          <w:rFonts w:ascii="Nirmala UI" w:hAnsi="Nirmala UI" w:eastAsia="Nirmala UI" w:cs="Nirmala UI"/>
        </w:rPr>
        <w:t>ભ્રમણા</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ખોટાને</w:t>
      </w:r>
      <w:r>
        <w:rPr>
          <w:rFonts w:ascii="Times New Roman" w:hAnsi="Times New Roman" w:eastAsia="Times New Roman" w:cs="Times New Roman"/>
        </w:rPr>
        <w:t xml:space="preserve"> </w:t>
      </w:r>
      <w:r>
        <w:rPr>
          <w:rFonts w:ascii="Nirmala UI" w:hAnsi="Nirmala UI" w:eastAsia="Nirmala UI" w:cs="Nirmala UI"/>
        </w:rPr>
        <w:t>માન્યો</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ફરવાનું</w:t>
      </w:r>
      <w:r>
        <w:rPr>
          <w:rFonts w:ascii="Times New Roman" w:hAnsi="Times New Roman" w:eastAsia="Times New Roman" w:cs="Times New Roman"/>
        </w:rPr>
        <w:t>—</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ચાર્ટોમાં</w:t>
      </w:r>
      <w:r>
        <w:rPr>
          <w:rFonts w:ascii="Times New Roman" w:hAnsi="Times New Roman" w:eastAsia="Times New Roman" w:cs="Times New Roman"/>
        </w:rPr>
        <w:t xml:space="preserve"> </w:t>
      </w:r>
      <w:r>
        <w:rPr>
          <w:rFonts w:ascii="Nirmala UI" w:hAnsi="Nirmala UI" w:eastAsia="Nirmala UI" w:cs="Nirmala UI"/>
        </w:rPr>
        <w:t>પ્રતિનિધિત</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એડ્વેન્ટિઝમની</w:t>
      </w:r>
      <w:r>
        <w:rPr>
          <w:rFonts w:ascii="Times New Roman" w:hAnsi="Times New Roman" w:eastAsia="Times New Roman" w:cs="Times New Roman"/>
        </w:rPr>
        <w:t xml:space="preserve"> </w:t>
      </w:r>
      <w:r>
        <w:rPr>
          <w:rFonts w:ascii="Nirmala UI" w:hAnsi="Nirmala UI" w:eastAsia="Nirmala UI" w:cs="Nirmala UI"/>
        </w:rPr>
        <w:t>પાયાઓ</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ફરવાનું</w:t>
      </w:r>
      <w:r>
        <w:rPr>
          <w:rFonts w:ascii="Times New Roman" w:hAnsi="Times New Roman" w:eastAsia="Times New Roman" w:cs="Times New Roman"/>
        </w:rPr>
        <w:t>—</w:t>
      </w:r>
      <w:r>
        <w:rPr>
          <w:rFonts w:ascii="Nirmala UI" w:hAnsi="Nirmala UI" w:eastAsia="Nirmala UI" w:cs="Nirmala UI"/>
        </w:rPr>
        <w:t>અસ્વીકાર્યું</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અનુચ્છેદ</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કેટલાક</w:t>
      </w:r>
      <w:r>
        <w:rPr>
          <w:rFonts w:ascii="Times New Roman" w:hAnsi="Times New Roman" w:eastAsia="Times New Roman" w:cs="Times New Roman"/>
        </w:rPr>
        <w:t xml:space="preserve"> </w:t>
      </w:r>
      <w:r>
        <w:rPr>
          <w:rFonts w:ascii="Nirmala UI" w:hAnsi="Nirmala UI" w:eastAsia="Nirmala UI" w:cs="Nirmala UI"/>
        </w:rPr>
        <w:t>સમયથી</w:t>
      </w:r>
      <w:r>
        <w:rPr>
          <w:rFonts w:ascii="Times New Roman" w:hAnsi="Times New Roman" w:eastAsia="Times New Roman" w:cs="Times New Roman"/>
        </w:rPr>
        <w:t xml:space="preserve"> </w:t>
      </w:r>
      <w:r>
        <w:rPr>
          <w:rFonts w:ascii="Nirmala UI" w:hAnsi="Nirmala UI" w:eastAsia="Nirmala UI" w:cs="Nirmala UI"/>
        </w:rPr>
        <w:t>વિચાર</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“Johni ko‘rsatma bergan qudratli farishta Iso Masihning O‘zidan kam bo‘lmagan zot edi. Uning o‘ng oyog‘ini dengiz ustiga, chap oyog‘ini esa quruqlik ustiga qo‘yishi, Shayton bilan bo‘layotgan ulug‘ kurashning yakuniy sahnalarida U qanday vazifani ado etayotganini ko‘rsatadi. Bu holat Uning butun yer yuzi ustidan oliy qudrati va hokimiyatini bildiradi. Bu kurash asrdan asrga tobora kuchayib, yanada qat’iy tus olib bordi va zulmat kuchlarining mohirona faoliyati o‘z cho‘qqisiga yetadigan yakuniy sahnalargacha shunday davom etadi. Shayton, yovuz odamlar bilan birlashib, haqiqat sevgisini qabul qilmagan butun dunyoni va jamoatlarni aldab qo‘yadi. Ammo qudratli farishta e’tibor talab qiladi. U baland ovoz bilan nido qiladi. U Shayton bilan birlashib, haqiqatga qarshi turganlarga O‘z ovozining qudrati va hokimiyatini ko‘rsatishi lozim.” The Seventh-day Adventist Bible Commentary, volume 7, 971.</w:t>
      </w:r>
    </w:p>
    <w:p>
      <w:pPr>
        <w:pStyle w:val="ArticleBody"/>
        <w:jc w:val="left"/>
      </w:pPr>
      <w:r>
        <w:rPr>
          <w:rFonts w:ascii="Times New Roman" w:hAnsi="Times New Roman" w:eastAsia="Times New Roman" w:cs="Times New Roman"/>
        </w:rPr>
        <w:t>Katika kifungu hiki kilichotangulia, “makanisa ambayo hayakuipokea upendo wa ile kweli” ndiyo mabikira waovu na wapumbavu wa Danieli na wa Mathayo, ambao Amos 8:12 anawatambulisha kuwa wataanza kuitafuta jumbe ya mwisho ya onyo ya Mungu wakati ambapo itakuwa imechelewa mno. Imechelewa mno, kwa sababu waliamini uongo kuhusu misingi ya Waadventista. Uadventista ulianza kwanza kuinyonya hiyo uongo mwaka 1863, na tangu wakati huo njia yote ilikuwa ni ya kushuka tu.</w:t>
      </w:r>
    </w:p>
    <w:p>
      <w:pPr>
        <w:pStyle w:val="ArticleBody"/>
        <w:jc w:val="left"/>
      </w:pPr>
      <w:r>
        <w:rPr>
          <w:rFonts w:ascii="Times New Roman" w:hAnsi="Times New Roman" w:eastAsia="Times New Roman" w:cs="Times New Roman"/>
        </w:rPr>
        <w:t>Waxaan u malaynayaa in waxa aan qori doono ay gebi ahaanba tahay arrin ku xiran aragti shakhsiyeed; hase yeeshee, iftiin nebinnimo oo cusub oo noocee ah ayaa lagu soo kordhiyey Adventism-ka tan iyo 1863? Ellen White waxay ka tidhaahdaa farriintii 1888 ee Jones iyo Waggoner in ay ahayd farriintii ay iyadu sannado badan soo bandhigaysay. Farriintoodu waxay u ekaan kartay wax cusub oo Adventism-ka ku noqday lama filaan iyo gilgilasho sannadkii 1888, laakiin cusaybkaas iyo gilgilashadaas waxa sababay ma ahayn farriin cusub, ee waxa sababay indho-la’aan ku soo degaysay dadka Ilaah tan iyo 1863.</w:t>
      </w:r>
    </w:p>
    <w:p>
      <w:pPr>
        <w:pStyle w:val="ArticleBody"/>
        <w:jc w:val="left"/>
      </w:pPr>
      <w:r>
        <w:rPr>
          <w:rFonts w:ascii="Times New Roman" w:hAnsi="Times New Roman" w:eastAsia="Times New Roman" w:cs="Times New Roman"/>
        </w:rPr>
        <w:t>Ellen White a identifié l’adventisme comme étant dans la condition de Laodicée avant 1863; ainsi, l’aveuglement de Laodicée empiétait déjà sur l’adventisme avant 1863. Mais en 1863, l’Église mit officiellement de côté la vérité concernant les « sept temps » de Lévitique vingt-six, laquelle constituait la toute première « prophétie de temps » que Miller avait découverte. Aucune lumière prophétique n’a surgi dans l’adventisme depuis 1863 ! Qu’est-ce qui a changé ?</w:t>
      </w:r>
    </w:p>
    <w:p>
      <w:pPr>
        <w:pStyle w:val="ArticleBody"/>
        <w:jc w:val="left"/>
      </w:pPr>
      <w:r>
        <w:rPr>
          <w:rFonts w:ascii="Times New Roman" w:hAnsi="Times New Roman" w:eastAsia="Times New Roman" w:cs="Times New Roman"/>
        </w:rPr>
        <w:t>The very first stone of the temple foundation that was built upon prophetic time and represented Jesus Christ, was set aside by Adventism in 1863. The first stone placed by Miller into the temple foundation that was based upon time as presented in Daniel by Christ who represented Himself as Palmoni the “wonderful numberer” was rejected and set aside. The very first stone Miller discovered…</w:t>
      </w:r>
    </w:p>
    <w:p>
      <w:pPr>
        <w:pStyle w:val="ArticleScripture"/>
        <w:jc w:val="left"/>
      </w:pPr>
      <w:r>
        <w:rPr>
          <w:rFonts w:ascii="Times New Roman" w:hAnsi="Times New Roman" w:eastAsia="Times New Roman" w:cs="Times New Roman"/>
        </w:rPr>
        <w:t>«Beim Zitieren der Weissagung vom verworfenen Stein bezog sich Christus auf ein tatsächliches Geschehen in der Geschichte Israels. Dieser Vorfall stand mit dem Bau des ersten Tempels in Verbindung. Während er zur Zeit des ersten Kommens Christi eine besondere Anwendung hatte und mit besonderer Kraft zu den Juden hätte sprechen sollen, enthält er auch für uns eine Lehre. Als der Tempel Salomos errichtet wurde, waren die gewaltigen Steine für die Mauern und das Fundament vollständig im Steinbruch zugerichtet worden; nachdem sie an den Bauplatz gebracht worden waren, durfte kein Werkzeug an ihnen verwendet werden; die Arbeiter hatten sie nur an ihren Platz zu setzen. Für die Verwendung im Fundament war ein Stein von ungewöhnlicher Größe und eigentümlicher Form herbeigebracht worden; doch die Arbeiter konnten keinen Platz für ihn finden und wollten ihn nicht annehmen. Er war ihnen lästig, da er unbenutzt im Wege lag. Lange blieb er ein verworfener Stein. Als die Bauleute jedoch zur Legung der Ecke kamen, suchten sie lange nach einem Stein von hinreichender Größe und Festigkeit und von der rechten Form, um jenen besonderen Platz einzunehmen und das große Gewicht zu tragen, das auf ihm ruhen würde. Hätten sie für diesen wichtigen Platz eine unweise Wahl getroffen, so wäre die Sicherheit des ganzen Bauwerks gefährdet worden. Sie mussten einen Stein finden, der dem Einfluss von Sonne, Frost und Sturm standzuhalten vermochte. Mehrere Steine waren zu verschiedenen Zeiten ausgewählt worden, doch unter dem Druck gewaltiger Lasten waren sie in Stücke zerbrochen. Andere konnten die Prüfung der plötzlichen Veränderungen der Witterung nicht bestehen. Schließlich aber wurde die Aufmerksamkeit auf den so lange verworfenen Stein gelenkt. Er war der Luft, Sonne und dem Sturm ausgesetzt gewesen, ohne auch nur den geringsten Riss zu zeigen. Die Bauleute untersuchten diesen Stein. Er hatte jede Probe bestanden bis auf eine. Wenn er der Prüfung schweren Druckes standhalten könne, beschlossen sie, ihn als Eckstein anzunehmen. Die Probe wurde gemacht. Der Stein wurde angenommen, an seinen bestimmten Platz gebracht und als genau passend befunden. In prophetischer Schau wurde Jesaja gezeigt, dass dieser Stein ein Sinnbild Christi war. Er sagt:»</w:t>
      </w:r>
    </w:p>
    <w:p>
      <w:pPr>
        <w:pStyle w:val="ArticleScripture"/>
        <w:jc w:val="left"/>
      </w:pPr>
      <w:r>
        <w:rPr>
          <w:rFonts w:ascii="Times New Roman" w:hAnsi="Times New Roman" w:eastAsia="Times New Roman" w:cs="Times New Roman"/>
        </w:rPr>
        <w:t>«Սրբացրե՛ք զորաց Տիրոջը Ինքը, և Նա՛ թող լինի ձեր երկյուղը, և Նա՛ թող լինի ձեր ահը։ Եվ Նա պիտի լինի սրբարան, բայց Իսրայելի երկու տների համար՝ գայթակղության քար և վիժեցման վեմ, Երուսաղեմի բնակիչների համար՝ որոգայթ և թակարդ։ Եվ նրանցից շատերը պիտի սայթաքեն, և պիտի ընկնեն, և պիտի կոտրվեն, և պիտի որոգայթվեն, և պիտի բռնվեն»։ Մարգարեական տեսիլքով տեղափոխվելով դեպի առաջին գալուստը՝ մարգարեին ցույց է տրվում, որ Քրիստոսը պիտի կրի փորձություններ և քննություններ, որոնց խորհրդանիշն էր Սողոմոնի տաճարի գլխավոր անկյունաքարի նկատմամբ վերաբերմունքը։ «Ուստի այսպես է ասում Տեր Աստվածը. Ահա Ես Սիոնում հիմքի համար մի քար եմ դնում, փորձված քար, պատվական անկյունաքար, հաստատուն հիմք. ով հավատում է, չի շտապի»։ Եսայիա 8:13–15; 28:16.</w:t>
      </w:r>
    </w:p>
    <w:p>
      <w:pPr>
        <w:pStyle w:val="ArticleScripture"/>
        <w:jc w:val="left"/>
      </w:pPr>
      <w:r>
        <w:rPr>
          <w:rFonts w:ascii="Times New Roman" w:hAnsi="Times New Roman" w:eastAsia="Times New Roman" w:cs="Times New Roman"/>
        </w:rPr>
        <w:t>“I guddommelig visdom valgte Gud hjørnesteinen og la den selv. Han kalte den «en fast grunnvoll». Hele verden kan legge sine byrder og sorger på den; den kan bære dem alle. Med fullkommen trygghet kan de bygge på den. Kristus er «en prøvet stein». Dem som setter sin lit til ham, svikter han aldri. Han har bestått enhver prøve. Han har utholdt tyngden av Adams skyld og hans etterslekts skyld, og har gått seirende ut, mer enn en overvinner, over ondskapens makter. Han har båret de byrder som er lagt på ham av enhver angrende synder. I Kristus har det skyldtyngede hjerte funnet lindring. Han er den faste grunnvoll. Alle som gjør ham til sin støtte, hviler i fullkommen trygghet.</w:t>
      </w:r>
    </w:p>
    <w:p>
      <w:pPr>
        <w:pStyle w:val="ArticleScripture"/>
        <w:jc w:val="left"/>
      </w:pPr>
      <w:r>
        <w:rPr>
          <w:rFonts w:ascii="Times New Roman" w:hAnsi="Times New Roman" w:eastAsia="Times New Roman" w:cs="Times New Roman"/>
        </w:rPr>
        <w:t>“Ɛsɛ wɔ Yesaia nkɔmhyɛ mu no, wɔka fa Kristo ho sɛ ɔyɛ gyinabea a ɛmu yɛ den ne hintidua a ɛma wɔhwe ase. Ɔsomafo Petro, a ɔnam Honhom Kronkron no home so kyerɛwii no, da no adi pefee sɛ wɔn a Kristo yɛ fapem bo ma wɔn ne wɔn a ɔyɛ hintidua a ɛto wɔn hintidua no: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ខណៈពេលដែលអ្នករាល់គ្នាបានសាកល្បងរួចហើយថា</w:t>
      </w:r>
      <w:r>
        <w:rPr>
          <w:rFonts w:ascii="Times New Roman" w:hAnsi="Times New Roman" w:eastAsia="Times New Roman" w:cs="Times New Roman"/>
        </w:rPr>
        <w:t xml:space="preserve"> </w:t>
      </w:r>
      <w:r>
        <w:rPr>
          <w:rFonts w:ascii="Leelawadee UI" w:hAnsi="Leelawadee UI" w:eastAsia="Leelawadee UI" w:cs="Leelawadee UI"/>
        </w:rPr>
        <w:t>ព្រះអម្ចាស់ទ្រង់ពោរពេញដោយព្រះគុណ។</w:t>
      </w:r>
      <w:r>
        <w:rPr>
          <w:rFonts w:ascii="Times New Roman" w:hAnsi="Times New Roman" w:eastAsia="Times New Roman" w:cs="Times New Roman"/>
        </w:rPr>
        <w:t xml:space="preserve"> </w:t>
      </w:r>
      <w:r>
        <w:rPr>
          <w:rFonts w:ascii="Leelawadee UI" w:hAnsi="Leelawadee UI" w:eastAsia="Leelawadee UI" w:cs="Leelawadee UI"/>
        </w:rPr>
        <w:t>ដោយមករកទ្រង់</w:t>
      </w:r>
      <w:r>
        <w:rPr>
          <w:rFonts w:ascii="Times New Roman" w:hAnsi="Times New Roman" w:eastAsia="Times New Roman" w:cs="Times New Roman"/>
        </w:rPr>
        <w:t xml:space="preserve"> </w:t>
      </w:r>
      <w:r>
        <w:rPr>
          <w:rFonts w:ascii="Leelawadee UI" w:hAnsi="Leelawadee UI" w:eastAsia="Leelawadee UI" w:cs="Leelawadee UI"/>
        </w:rPr>
        <w:t>ដូចជាមករកថ្មរស់មួយ</w:t>
      </w:r>
      <w:r>
        <w:rPr>
          <w:rFonts w:ascii="Times New Roman" w:hAnsi="Times New Roman" w:eastAsia="Times New Roman" w:cs="Times New Roman"/>
        </w:rPr>
        <w:t xml:space="preserve"> </w:t>
      </w:r>
      <w:r>
        <w:rPr>
          <w:rFonts w:ascii="Leelawadee UI" w:hAnsi="Leelawadee UI" w:eastAsia="Leelawadee UI" w:cs="Leelawadee UI"/>
        </w:rPr>
        <w:t>ដែលមនុស្សបានបដិសេធពិតមែន</w:t>
      </w:r>
      <w:r>
        <w:rPr>
          <w:rFonts w:ascii="Times New Roman" w:hAnsi="Times New Roman" w:eastAsia="Times New Roman" w:cs="Times New Roman"/>
        </w:rPr>
        <w:t xml:space="preserve"> </w:t>
      </w:r>
      <w:r>
        <w:rPr>
          <w:rFonts w:ascii="Leelawadee UI" w:hAnsi="Leelawadee UI" w:eastAsia="Leelawadee UI" w:cs="Leelawadee UI"/>
        </w:rPr>
        <w:t>ប៉ុន្តែត្រូវបានព្រះជាម្ចាស់ជ្រើសរើស</w:t>
      </w:r>
      <w:r>
        <w:rPr>
          <w:rFonts w:ascii="Times New Roman" w:hAnsi="Times New Roman" w:eastAsia="Times New Roman" w:cs="Times New Roman"/>
        </w:rPr>
        <w:t xml:space="preserve"> </w:t>
      </w:r>
      <w:r>
        <w:rPr>
          <w:rFonts w:ascii="Leelawadee UI" w:hAnsi="Leelawadee UI" w:eastAsia="Leelawadee UI" w:cs="Leelawadee UI"/>
        </w:rPr>
        <w:t>និងមានតម្លៃវិសេស</w:t>
      </w:r>
      <w:r>
        <w:rPr>
          <w:rFonts w:ascii="Times New Roman" w:hAnsi="Times New Roman" w:eastAsia="Times New Roman" w:cs="Times New Roman"/>
        </w:rPr>
        <w:t xml:space="preserve"> </w:t>
      </w:r>
      <w:r>
        <w:rPr>
          <w:rFonts w:ascii="Leelawadee UI" w:hAnsi="Leelawadee UI" w:eastAsia="Leelawadee UI" w:cs="Leelawadee UI"/>
        </w:rPr>
        <w:t>អ្នករាល់គ្នាក៏ដូចជាថ្មរស់</w:t>
      </w:r>
      <w:r>
        <w:rPr>
          <w:rFonts w:ascii="Times New Roman" w:hAnsi="Times New Roman" w:eastAsia="Times New Roman" w:cs="Times New Roman"/>
        </w:rPr>
        <w:t xml:space="preserve"> </w:t>
      </w:r>
      <w:r>
        <w:rPr>
          <w:rFonts w:ascii="Leelawadee UI" w:hAnsi="Leelawadee UI" w:eastAsia="Leelawadee UI" w:cs="Leelawadee UI"/>
        </w:rPr>
        <w:t>ត្រូវបានស្ថាបនាឡើងជាព្រះវិហារខាងវិញ្ញាណ</w:t>
      </w:r>
      <w:r>
        <w:rPr>
          <w:rFonts w:ascii="Times New Roman" w:hAnsi="Times New Roman" w:eastAsia="Times New Roman" w:cs="Times New Roman"/>
        </w:rPr>
        <w:t xml:space="preserve"> </w:t>
      </w:r>
      <w:r>
        <w:rPr>
          <w:rFonts w:ascii="Leelawadee UI" w:hAnsi="Leelawadee UI" w:eastAsia="Leelawadee UI" w:cs="Leelawadee UI"/>
        </w:rPr>
        <w:t>ជាបព្វជិតដ៏បរិសុទ្ធ</w:t>
      </w:r>
      <w:r>
        <w:rPr>
          <w:rFonts w:ascii="Times New Roman" w:hAnsi="Times New Roman" w:eastAsia="Times New Roman" w:cs="Times New Roman"/>
        </w:rPr>
        <w:t xml:space="preserve"> </w:t>
      </w:r>
      <w:r>
        <w:rPr>
          <w:rFonts w:ascii="Leelawadee UI" w:hAnsi="Leelawadee UI" w:eastAsia="Leelawadee UI" w:cs="Leelawadee UI"/>
        </w:rPr>
        <w:t>ដើម្បីថ្វាយយញ្ញបូជាខាងវិញ្ញាណ</w:t>
      </w:r>
      <w:r>
        <w:rPr>
          <w:rFonts w:ascii="Times New Roman" w:hAnsi="Times New Roman" w:eastAsia="Times New Roman" w:cs="Times New Roman"/>
        </w:rPr>
        <w:t xml:space="preserve"> </w:t>
      </w:r>
      <w:r>
        <w:rPr>
          <w:rFonts w:ascii="Leelawadee UI" w:hAnsi="Leelawadee UI" w:eastAsia="Leelawadee UI" w:cs="Leelawadee UI"/>
        </w:rPr>
        <w:t>ដែលព្រះជាម្ចាស់ទទួលយកបាន</w:t>
      </w:r>
      <w:r>
        <w:rPr>
          <w:rFonts w:ascii="Times New Roman" w:hAnsi="Times New Roman" w:eastAsia="Times New Roman" w:cs="Times New Roman"/>
        </w:rPr>
        <w:t xml:space="preserve"> </w:t>
      </w:r>
      <w:r>
        <w:rPr>
          <w:rFonts w:ascii="Leelawadee UI" w:hAnsi="Leelawadee UI" w:eastAsia="Leelawadee UI" w:cs="Leelawadee UI"/>
        </w:rPr>
        <w:t>ដោយសារព្រះយេស៊ូវគ្រីស្ទ។</w:t>
      </w:r>
      <w:r>
        <w:rPr>
          <w:rFonts w:ascii="Times New Roman" w:hAnsi="Times New Roman" w:eastAsia="Times New Roman" w:cs="Times New Roman"/>
        </w:rPr>
        <w:t xml:space="preserve"> </w:t>
      </w:r>
      <w:r>
        <w:rPr>
          <w:rFonts w:ascii="Leelawadee UI" w:hAnsi="Leelawadee UI" w:eastAsia="Leelawadee UI" w:cs="Leelawadee UI"/>
        </w:rPr>
        <w:t>ហេតុនេះហើយបានជាមានសេចក្តីចែងទុកក្នុងបទគម្ពីរថា</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យើងដាក់នៅស៊ីយ៉ូនថ្មជ្រុងដ៏សំខាន់មួយ</w:t>
      </w:r>
      <w:r>
        <w:rPr>
          <w:rFonts w:ascii="Times New Roman" w:hAnsi="Times New Roman" w:eastAsia="Times New Roman" w:cs="Times New Roman"/>
        </w:rPr>
        <w:t xml:space="preserve"> </w:t>
      </w:r>
      <w:r>
        <w:rPr>
          <w:rFonts w:ascii="Leelawadee UI" w:hAnsi="Leelawadee UI" w:eastAsia="Leelawadee UI" w:cs="Leelawadee UI"/>
        </w:rPr>
        <w:t>ដែលបានជ្រើសរើស</w:t>
      </w:r>
      <w:r>
        <w:rPr>
          <w:rFonts w:ascii="Times New Roman" w:hAnsi="Times New Roman" w:eastAsia="Times New Roman" w:cs="Times New Roman"/>
        </w:rPr>
        <w:t xml:space="preserve"> </w:t>
      </w:r>
      <w:r>
        <w:rPr>
          <w:rFonts w:ascii="Leelawadee UI" w:hAnsi="Leelawadee UI" w:eastAsia="Leelawadee UI" w:cs="Leelawadee UI"/>
        </w:rPr>
        <w:t>និងមានតម្លៃវិសេស</w:t>
      </w:r>
      <w:r>
        <w:rPr>
          <w:rFonts w:ascii="Times New Roman" w:hAnsi="Times New Roman" w:eastAsia="Times New Roman" w:cs="Times New Roman"/>
        </w:rPr>
        <w:t xml:space="preserve"> </w:t>
      </w:r>
      <w:r>
        <w:rPr>
          <w:rFonts w:ascii="Leelawadee UI" w:hAnsi="Leelawadee UI" w:eastAsia="Leelawadee UI" w:cs="Leelawadee UI"/>
        </w:rPr>
        <w:t>ហើយអ្នកណាដែលជឿលើទ្រង់</w:t>
      </w:r>
      <w:r>
        <w:rPr>
          <w:rFonts w:ascii="Times New Roman" w:hAnsi="Times New Roman" w:eastAsia="Times New Roman" w:cs="Times New Roman"/>
        </w:rPr>
        <w:t xml:space="preserve"> </w:t>
      </w:r>
      <w:r>
        <w:rPr>
          <w:rFonts w:ascii="Leelawadee UI" w:hAnsi="Leelawadee UI" w:eastAsia="Leelawadee UI" w:cs="Leelawadee UI"/>
        </w:rPr>
        <w:t>នឹងមិនត្រូវអាម៉ាស់ឡើយ។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សម្រាប់អ្នករាល់គ្នាដែលជឿ</w:t>
      </w:r>
      <w:r>
        <w:rPr>
          <w:rFonts w:ascii="Times New Roman" w:hAnsi="Times New Roman" w:eastAsia="Times New Roman" w:cs="Times New Roman"/>
        </w:rPr>
        <w:t xml:space="preserve"> </w:t>
      </w:r>
      <w:r>
        <w:rPr>
          <w:rFonts w:ascii="Leelawadee UI" w:hAnsi="Leelawadee UI" w:eastAsia="Leelawadee UI" w:cs="Leelawadee UI"/>
        </w:rPr>
        <w:t>ទ្រង់ជាមានតម្លៃវិសេស</w:t>
      </w:r>
      <w:r>
        <w:rPr>
          <w:rFonts w:ascii="Times New Roman" w:hAnsi="Times New Roman" w:eastAsia="Times New Roman" w:cs="Times New Roman"/>
        </w:rPr>
        <w:t xml:space="preserve"> </w:t>
      </w:r>
      <w:r>
        <w:rPr>
          <w:rFonts w:ascii="Leelawadee UI" w:hAnsi="Leelawadee UI" w:eastAsia="Leelawadee UI" w:cs="Leelawadee UI"/>
        </w:rPr>
        <w:t>ប៉ុន្តែសម្រាប់ពួកដែលមិនស្តាប់បង្គាប់</w:t>
      </w:r>
      <w:r>
        <w:rPr>
          <w:rFonts w:ascii="Times New Roman" w:hAnsi="Times New Roman" w:eastAsia="Times New Roman" w:cs="Times New Roman"/>
        </w:rPr>
        <w:t xml:space="preserve"> </w:t>
      </w:r>
      <w:r>
        <w:rPr>
          <w:rFonts w:ascii="Leelawadee UI" w:hAnsi="Leelawadee UI" w:eastAsia="Leelawadee UI" w:cs="Leelawadee UI"/>
        </w:rPr>
        <w:t>ថ្មដែលពួកជាងសំណង់បានបដិសេធ</w:t>
      </w:r>
      <w:r>
        <w:rPr>
          <w:rFonts w:ascii="Times New Roman" w:hAnsi="Times New Roman" w:eastAsia="Times New Roman" w:cs="Times New Roman"/>
        </w:rPr>
        <w:t xml:space="preserve"> </w:t>
      </w:r>
      <w:r>
        <w:rPr>
          <w:rFonts w:ascii="Leelawadee UI" w:hAnsi="Leelawadee UI" w:eastAsia="Leelawadee UI" w:cs="Leelawadee UI"/>
        </w:rPr>
        <w:t>ថ្មនោះឯងបានក្លាយជាថ្មកំពូលនៃជ្រុង</w:t>
      </w:r>
      <w:r>
        <w:rPr>
          <w:rFonts w:ascii="Times New Roman" w:hAnsi="Times New Roman" w:eastAsia="Times New Roman" w:cs="Times New Roman"/>
        </w:rPr>
        <w:t xml:space="preserve"> </w:t>
      </w:r>
      <w:r>
        <w:rPr>
          <w:rFonts w:ascii="Leelawadee UI" w:hAnsi="Leelawadee UI" w:eastAsia="Leelawadee UI" w:cs="Leelawadee UI"/>
        </w:rPr>
        <w:t>ហើយជាថ្មនាំឲ្យជំពប់</w:t>
      </w:r>
      <w:r>
        <w:rPr>
          <w:rFonts w:ascii="Times New Roman" w:hAnsi="Times New Roman" w:eastAsia="Times New Roman" w:cs="Times New Roman"/>
        </w:rPr>
        <w:t xml:space="preserve"> </w:t>
      </w:r>
      <w:r>
        <w:rPr>
          <w:rFonts w:ascii="Leelawadee UI" w:hAnsi="Leelawadee UI" w:eastAsia="Leelawadee UI" w:cs="Leelawadee UI"/>
        </w:rPr>
        <w:t>និងជាថ្មដានាំឲ្យប្រមាថ</w:t>
      </w:r>
      <w:r>
        <w:rPr>
          <w:rFonts w:ascii="Times New Roman" w:hAnsi="Times New Roman" w:eastAsia="Times New Roman" w:cs="Times New Roman"/>
        </w:rPr>
        <w:t xml:space="preserve"> </w:t>
      </w:r>
      <w:r>
        <w:rPr>
          <w:rFonts w:ascii="Leelawadee UI" w:hAnsi="Leelawadee UI" w:eastAsia="Leelawadee UI" w:cs="Leelawadee UI"/>
        </w:rPr>
        <w:t>ដល់ពួកដែលជំពប់ដោយសារព្រះបន្ទូល</w:t>
      </w:r>
      <w:r>
        <w:rPr>
          <w:rFonts w:ascii="Times New Roman" w:hAnsi="Times New Roman" w:eastAsia="Times New Roman" w:cs="Times New Roman"/>
        </w:rPr>
        <w:t xml:space="preserve"> </w:t>
      </w:r>
      <w:r>
        <w:rPr>
          <w:rFonts w:ascii="Leelawadee UI" w:hAnsi="Leelawadee UI" w:eastAsia="Leelawadee UI" w:cs="Leelawadee UI"/>
        </w:rPr>
        <w:t>ព្រោះពួកគេមិនស្តាប់បង្គាប់។</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ពេត្រុស</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w:t>
      </w:r>
      <w:r>
        <w:rPr>
          <w:rFonts w:ascii="Leelawadee UI" w:hAnsi="Leelawadee UI" w:eastAsia="Leelawadee UI" w:cs="Leelawadee UI"/>
        </w:rPr>
        <w:t>៣</w:t>
      </w:r>
      <w:r>
        <w:rPr>
          <w:rFonts w:ascii="Times New Roman" w:hAnsi="Times New Roman" w:eastAsia="Times New Roman" w:cs="Times New Roman"/>
        </w:rPr>
        <w:t>–</w:t>
      </w:r>
      <w:r>
        <w:rPr>
          <w:rFonts w:ascii="Leelawadee UI" w:hAnsi="Leelawadee UI" w:eastAsia="Leelawadee UI" w:cs="Leelawadee UI"/>
        </w:rPr>
        <w:t>៨។</w:t>
      </w:r>
    </w:p>
    <w:p>
      <w:pPr>
        <w:pStyle w:val="ArticleScripture"/>
        <w:jc w:val="left"/>
      </w:pPr>
      <w:r>
        <w:rPr>
          <w:rFonts w:ascii="Times New Roman" w:hAnsi="Times New Roman" w:eastAsia="Times New Roman" w:cs="Times New Roman"/>
        </w:rPr>
        <w:t>«Для віруючих Христос є певною основою. Це ті, що падають на Скелю і розбиваються. Тут зображено покору Христові та віру в Нього. Впасти на Скелю й розбитися — означає відмовитися від власної праведності й прийти до Христа з дитячою покорою, каючись у своїх переступах і вірячи в Його прощаючу любов. Так само вірою і послухом ми будуємо на Христі як на нашій основі. »</w:t>
      </w:r>
    </w:p>
    <w:p>
      <w:pPr>
        <w:pStyle w:val="ArticleScripture"/>
        <w:jc w:val="left"/>
      </w:pPr>
      <w:r>
        <w:rPr>
          <w:rFonts w:ascii="Times New Roman" w:hAnsi="Times New Roman" w:eastAsia="Times New Roman" w:cs="Times New Roman"/>
        </w:rPr>
        <w:t>“Sur cette pierre vivante, Juifs et Gentils peuvent pareillement bâtir. C’est le seul fondement sur lequel nous puissions bâtir en sécurité. Il est assez large pour tous, et assez solide pour soutenir le poids et le fardeau du monde entier. Et, par l’union avec Christ, la pierre vivante, tous ceux qui bâtissent sur ce fondement deviennent des pierres vivantes. Beaucoup de personnes sont, par leurs propres efforts, taillées, polies et embellies ; mais elles ne peuvent devenir des « pierres vivantes », parce qu’elles ne sont pas unies à Christ. Sans cette union, nul ne peut être sauvé. Sans la vie de Christ en nous, nous ne pouvons résister aux tempêtes de la tentation. Notre sécurité éternelle dépend du fait que nous bâtissions sur le solide fondement. Des multitudes bâtissent aujourd’hui sur des fondements qui n’ont pas été éprouvés. Quand la pluie tombe, que la tempête fait rage, et que les flots surviennent, leur maison s’écroulera, parce qu’elle n’est pas fondée sur le Rocher éternel, la principale pierre angulaire, Jésus-Christ. »</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နာခံခြင်းမရှိဘဲ</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ခလုတ်တိုက်လဲကြသောသူတို့အတွက်</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ခလုတ်တိုက်စရာကျောက်ဖြစ်တော်မူ၏။</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ဆောက်လုပ်သူတို့</w:t>
      </w:r>
      <w:r>
        <w:rPr>
          <w:rFonts w:ascii="Times New Roman" w:hAnsi="Times New Roman" w:eastAsia="Times New Roman" w:cs="Times New Roman"/>
        </w:rPr>
        <w:t xml:space="preserve"> </w:t>
      </w:r>
      <w:r>
        <w:rPr>
          <w:rFonts w:ascii="Myanmar Text" w:hAnsi="Myanmar Text" w:eastAsia="Myanmar Text" w:cs="Myanmar Text"/>
        </w:rPr>
        <w:t>ပယ်ထားသောကျောက်တုံးသည်ပင်</w:t>
      </w:r>
      <w:r>
        <w:rPr>
          <w:rFonts w:ascii="Times New Roman" w:hAnsi="Times New Roman" w:eastAsia="Times New Roman" w:cs="Times New Roman"/>
        </w:rPr>
        <w:t xml:space="preserve"> </w:t>
      </w:r>
      <w:r>
        <w:rPr>
          <w:rFonts w:ascii="Myanmar Text" w:hAnsi="Myanmar Text" w:eastAsia="Myanmar Text" w:cs="Myanmar Text"/>
        </w:rPr>
        <w:t>ထောင့်ချုပ်၏</w:t>
      </w:r>
      <w:r>
        <w:rPr>
          <w:rFonts w:ascii="Times New Roman" w:hAnsi="Times New Roman" w:eastAsia="Times New Roman" w:cs="Times New Roman"/>
        </w:rPr>
        <w:t xml:space="preserve"> </w:t>
      </w:r>
      <w:r>
        <w:rPr>
          <w:rFonts w:ascii="Myanmar Text" w:hAnsi="Myanmar Text" w:eastAsia="Myanmar Text" w:cs="Myanmar Text"/>
        </w:rPr>
        <w:t>အဓိကကျောက်ဖြစ်လာသည်။</w:t>
      </w:r>
      <w:r>
        <w:rPr>
          <w:rFonts w:ascii="Times New Roman" w:hAnsi="Times New Roman" w:eastAsia="Times New Roman" w:cs="Times New Roman"/>
        </w:rPr>
        <w:t xml:space="preserve">’ </w:t>
      </w:r>
      <w:r>
        <w:rPr>
          <w:rFonts w:ascii="Myanmar Text" w:hAnsi="Myanmar Text" w:eastAsia="Myanmar Text" w:cs="Myanmar Text"/>
        </w:rPr>
        <w:t>ပယ်ချခံရသောကျောက်တုံးကဲ့သို့ပင်၊</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အမှုတော်ဆောင်ရွက်စဉ်</w:t>
      </w:r>
      <w:r>
        <w:rPr>
          <w:rFonts w:ascii="Times New Roman" w:hAnsi="Times New Roman" w:eastAsia="Times New Roman" w:cs="Times New Roman"/>
        </w:rPr>
        <w:t xml:space="preserve"> </w:t>
      </w:r>
      <w:r>
        <w:rPr>
          <w:rFonts w:ascii="Myanmar Text" w:hAnsi="Myanmar Text" w:eastAsia="Myanmar Text" w:cs="Myanmar Text"/>
        </w:rPr>
        <w:t>လျစ်လျူရှုခြင်းနှင့်</w:t>
      </w:r>
      <w:r>
        <w:rPr>
          <w:rFonts w:ascii="Times New Roman" w:hAnsi="Times New Roman" w:eastAsia="Times New Roman" w:cs="Times New Roman"/>
        </w:rPr>
        <w:t xml:space="preserve"> </w:t>
      </w:r>
      <w:r>
        <w:rPr>
          <w:rFonts w:ascii="Myanmar Text" w:hAnsi="Myanmar Text" w:eastAsia="Myanmar Text" w:cs="Myanmar Text"/>
        </w:rPr>
        <w:t>ညှဉ်းပန်းနှိပ်စက်ခြင်းတို့ကို</w:t>
      </w:r>
      <w:r>
        <w:rPr>
          <w:rFonts w:ascii="Times New Roman" w:hAnsi="Times New Roman" w:eastAsia="Times New Roman" w:cs="Times New Roman"/>
        </w:rPr>
        <w:t xml:space="preserve"> </w:t>
      </w:r>
      <w:r>
        <w:rPr>
          <w:rFonts w:ascii="Myanmar Text" w:hAnsi="Myanmar Text" w:eastAsia="Myanmar Text" w:cs="Myanmar Text"/>
        </w:rPr>
        <w:t>ခံတော်မူခဲ့၏။</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မထီမဲ့မြင်ပြုခြင်းကိုခံရ၍</w:t>
      </w:r>
      <w:r>
        <w:rPr>
          <w:rFonts w:ascii="Times New Roman" w:hAnsi="Times New Roman" w:eastAsia="Times New Roman" w:cs="Times New Roman"/>
        </w:rPr>
        <w:t xml:space="preserve"> </w:t>
      </w:r>
      <w:r>
        <w:rPr>
          <w:rFonts w:ascii="Myanmar Text" w:hAnsi="Myanmar Text" w:eastAsia="Myanmar Text" w:cs="Myanmar Text"/>
        </w:rPr>
        <w:t>ပယ်ချခြင်းကိုခံရသောသူ၊</w:t>
      </w:r>
      <w:r>
        <w:rPr>
          <w:rFonts w:ascii="Times New Roman" w:hAnsi="Times New Roman" w:eastAsia="Times New Roman" w:cs="Times New Roman"/>
        </w:rPr>
        <w:t xml:space="preserve"> </w:t>
      </w:r>
      <w:r>
        <w:rPr>
          <w:rFonts w:ascii="Myanmar Text" w:hAnsi="Myanmar Text" w:eastAsia="Myanmar Text" w:cs="Myanmar Text"/>
        </w:rPr>
        <w:t>ဝမ်းနည်းခြင်းနှင့်ပြည့်စုံ၍</w:t>
      </w:r>
      <w:r>
        <w:rPr>
          <w:rFonts w:ascii="Times New Roman" w:hAnsi="Times New Roman" w:eastAsia="Times New Roman" w:cs="Times New Roman"/>
        </w:rPr>
        <w:t xml:space="preserve"> </w:t>
      </w:r>
      <w:r>
        <w:rPr>
          <w:rFonts w:ascii="Myanmar Text" w:hAnsi="Myanmar Text" w:eastAsia="Myanmar Text" w:cs="Myanmar Text"/>
        </w:rPr>
        <w:t>နာကျင်ခြင်းကို</w:t>
      </w:r>
      <w:r>
        <w:rPr>
          <w:rFonts w:ascii="Times New Roman" w:hAnsi="Times New Roman" w:eastAsia="Times New Roman" w:cs="Times New Roman"/>
        </w:rPr>
        <w:t xml:space="preserve"> </w:t>
      </w:r>
      <w:r>
        <w:rPr>
          <w:rFonts w:ascii="Myanmar Text" w:hAnsi="Myanmar Text" w:eastAsia="Myanmar Text" w:cs="Myanmar Text"/>
        </w:rPr>
        <w:t>ကျွမ်းဝင်သောသူဖြစ်၏။</w:t>
      </w:r>
      <w:r>
        <w:rPr>
          <w:rFonts w:ascii="Times New Roman" w:hAnsi="Times New Roman" w:eastAsia="Times New Roman" w:cs="Times New Roman"/>
        </w:rPr>
        <w:t xml:space="preserve"> …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မထီမဲ့မြင်ပြုခြင်းကိုခံရ၍၊</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အလေးမထားကြ။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ဆိုထားသည်။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53:3</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ဘုန်းထင်ရှားတော်မူမည့်</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xml:space="preserve"> </w:t>
      </w:r>
      <w:r>
        <w:rPr>
          <w:rFonts w:ascii="Myanmar Text" w:hAnsi="Myanmar Text" w:eastAsia="Myanmar Text" w:cs="Myanmar Text"/>
        </w:rPr>
        <w:t>နီးကပ်လျက်ရှိခဲ့သည်။</w:t>
      </w:r>
      <w:r>
        <w:rPr>
          <w:rFonts w:ascii="Times New Roman" w:hAnsi="Times New Roman" w:eastAsia="Times New Roman" w:cs="Times New Roman"/>
        </w:rPr>
        <w:t xml:space="preserve"> </w:t>
      </w:r>
      <w:r>
        <w:rPr>
          <w:rFonts w:ascii="Myanmar Text" w:hAnsi="Myanmar Text" w:eastAsia="Myanmar Text" w:cs="Myanmar Text"/>
        </w:rPr>
        <w:t>သေခြင်းမှ</w:t>
      </w:r>
      <w:r>
        <w:rPr>
          <w:rFonts w:ascii="Times New Roman" w:hAnsi="Times New Roman" w:eastAsia="Times New Roman" w:cs="Times New Roman"/>
        </w:rPr>
        <w:t xml:space="preserve"> </w:t>
      </w:r>
      <w:r>
        <w:rPr>
          <w:rFonts w:ascii="Myanmar Text" w:hAnsi="Myanmar Text" w:eastAsia="Myanmar Text" w:cs="Myanmar Text"/>
        </w:rPr>
        <w:t>ရှင်ပြန်ထမြောက်ခြင်းအားဖြင့်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တန်ခိုးနှင့်တကွ</w:t>
      </w:r>
      <w:r>
        <w:rPr>
          <w:rFonts w:ascii="Times New Roman" w:hAnsi="Times New Roman" w:eastAsia="Times New Roman" w:cs="Times New Roman"/>
        </w:rPr>
        <w:t xml:space="preserve"> </w:t>
      </w:r>
      <w:r>
        <w:rPr>
          <w:rFonts w:ascii="Myanmar Text" w:hAnsi="Myanmar Text" w:eastAsia="Myanmar Text" w:cs="Myanmar Text"/>
        </w:rPr>
        <w:t>ဘုရားသခင်၏သားတော်</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ကြေညာခံတော်မူမည်ဖြစ်သည်။</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1:4</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ကြွလာတော်မူခြင်း၌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ကောင်းကင်နှင့်</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အရှင်သခင်အဖြစ်</w:t>
      </w:r>
      <w:r>
        <w:rPr>
          <w:rFonts w:ascii="Times New Roman" w:hAnsi="Times New Roman" w:eastAsia="Times New Roman" w:cs="Times New Roman"/>
        </w:rPr>
        <w:t xml:space="preserve"> </w:t>
      </w:r>
      <w:r>
        <w:rPr>
          <w:rFonts w:ascii="Myanmar Text" w:hAnsi="Myanmar Text" w:eastAsia="Myanmar Text" w:cs="Myanmar Text"/>
        </w:rPr>
        <w:t>ထင်ရှားတော်မူမည်။</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ရိုက်သတ်ရန်</w:t>
      </w:r>
      <w:r>
        <w:rPr>
          <w:rFonts w:ascii="Times New Roman" w:hAnsi="Times New Roman" w:eastAsia="Times New Roman" w:cs="Times New Roman"/>
        </w:rPr>
        <w:t xml:space="preserve"> </w:t>
      </w:r>
      <w:r>
        <w:rPr>
          <w:rFonts w:ascii="Myanmar Text" w:hAnsi="Myanmar Text" w:eastAsia="Myanmar Text" w:cs="Myanmar Text"/>
        </w:rPr>
        <w:t>ပြင်ဆင်နေကြသူတို့သည်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ကြီးမြတ်ခြင်းကို</w:t>
      </w:r>
      <w:r>
        <w:rPr>
          <w:rFonts w:ascii="Times New Roman" w:hAnsi="Times New Roman" w:eastAsia="Times New Roman" w:cs="Times New Roman"/>
        </w:rPr>
        <w:t xml:space="preserve"> </w:t>
      </w:r>
      <w:r>
        <w:rPr>
          <w:rFonts w:ascii="Myanmar Text" w:hAnsi="Myanmar Text" w:eastAsia="Myanmar Text" w:cs="Myanmar Text"/>
        </w:rPr>
        <w:t>အသိအမှတ်ပြုရကြမည်။</w:t>
      </w:r>
      <w:r>
        <w:rPr>
          <w:rFonts w:ascii="Times New Roman" w:hAnsi="Times New Roman" w:eastAsia="Times New Roman" w:cs="Times New Roman"/>
        </w:rPr>
        <w:t xml:space="preserve"> </w:t>
      </w:r>
      <w:r>
        <w:rPr>
          <w:rFonts w:ascii="Myanmar Text" w:hAnsi="Myanmar Text" w:eastAsia="Myanmar Text" w:cs="Myanmar Text"/>
        </w:rPr>
        <w:t>စကြဝဠာအရှေ့၌</w:t>
      </w:r>
      <w:r>
        <w:rPr>
          <w:rFonts w:ascii="Times New Roman" w:hAnsi="Times New Roman" w:eastAsia="Times New Roman" w:cs="Times New Roman"/>
        </w:rPr>
        <w:t xml:space="preserve"> </w:t>
      </w:r>
      <w:r>
        <w:rPr>
          <w:rFonts w:ascii="Myanmar Text" w:hAnsi="Myanmar Text" w:eastAsia="Myanmar Text" w:cs="Myanmar Text"/>
        </w:rPr>
        <w:t>ပယ်ထားခံရသော</w:t>
      </w:r>
      <w:r>
        <w:rPr>
          <w:rFonts w:ascii="Times New Roman" w:hAnsi="Times New Roman" w:eastAsia="Times New Roman" w:cs="Times New Roman"/>
        </w:rPr>
        <w:t xml:space="preserve"> </w:t>
      </w:r>
      <w:r>
        <w:rPr>
          <w:rFonts w:ascii="Myanmar Text" w:hAnsi="Myanmar Text" w:eastAsia="Myanmar Text" w:cs="Myanmar Text"/>
        </w:rPr>
        <w:t>ကျောက်တုံးသည်</w:t>
      </w:r>
      <w:r>
        <w:rPr>
          <w:rFonts w:ascii="Times New Roman" w:hAnsi="Times New Roman" w:eastAsia="Times New Roman" w:cs="Times New Roman"/>
        </w:rPr>
        <w:t xml:space="preserve"> </w:t>
      </w:r>
      <w:r>
        <w:rPr>
          <w:rFonts w:ascii="Myanmar Text" w:hAnsi="Myanmar Text" w:eastAsia="Myanmar Text" w:cs="Myanmar Text"/>
        </w:rPr>
        <w:t>ထောင့်ချုပ်၏</w:t>
      </w:r>
      <w:r>
        <w:rPr>
          <w:rFonts w:ascii="Times New Roman" w:hAnsi="Times New Roman" w:eastAsia="Times New Roman" w:cs="Times New Roman"/>
        </w:rPr>
        <w:t xml:space="preserve"> </w:t>
      </w:r>
      <w:r>
        <w:rPr>
          <w:rFonts w:ascii="Myanmar Text" w:hAnsi="Myanmar Text" w:eastAsia="Myanmar Text" w:cs="Myanmar Text"/>
        </w:rPr>
        <w:t>အဓိကကျောက်ဖြစ်လာလိမ့်မည်။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kwa ‘yeyote ambaye jiwe hilo litamwangukia, litamsaga-saga awe mavumbi.’ Watu waliomkataa Kristo walikuwa karibu kuona mji wao na taifa lao vikiharibiwa. Utukufu wao ungefanywa vipandevipande na kutawanywa kama vumbi mbele ya upepo. Nayo ni nini kilichowaangamiza Wayahudi? Ni lile jiwe ambalo, kama wangalijenga juu yake, lingekuwa usalama wao. Ilikuwa ni wema wa Mungu uliodharauliwa, haki iliyokataliwa, rehema iliyopuuzwa. Wanadamu walijiweka wenyewe kinyume na Mungu, na yale yote ambayo yangekuwa wokovu wao yakageuzwa kuwa maangamizi yao. Yote ambayo Mungu alikusudia yawe kwa uzima walikuta yamekuwa kwao mauti. Katika Wayahudi kumsulubisha Kristo kulihusishwa na kuangamizwa kwa Yerusalemu. Damu iliyomwagika Kalvari ilikuwa uzito uliowazamisha katika uangamivu kwa ulimwengu huu na kwa ulimwengu ujao. Ndivyo itakavyokuwa katika ile siku kuu ya mwisho, hukumu itakapowaangukia wale wanaokataa neema ya Mungu. Kristo, mwamba wao wa kujikwaza, ndipo atakapowatokea kama mlima wa kisasi. Utukufu wa uso Wake, ambao kwa wenye haki ni uzima, kwa waovu utakuwa moto ulao. Kwa sababu ya upendo uliokataliwa, neema iliyodharauliwa, mwenye dhambi ataangamizwa.”</w:t>
      </w:r>
    </w:p>
    <w:p>
      <w:pPr>
        <w:pStyle w:val="ArticleScripture"/>
        <w:jc w:val="left"/>
      </w:pPr>
      <w:r>
        <w:rPr>
          <w:rFonts w:ascii="Times New Roman" w:hAnsi="Times New Roman" w:eastAsia="Times New Roman" w:cs="Times New Roman"/>
        </w:rPr>
        <w:t>«С помощью многих иллюстраций и повторяющихся предостережений Иисус показал, каков будет результат для иудеев, если они отвергнут Сына Божия. В этих словах Он обращался ко всем во всяком веке, кто отказывается принять Его как своего Искупителя. Всякое предостережение относится к ним. Осквернённый храм, непокорный сын, лживые виноградари, презрительные строители — всё это находит свой соответствующий образ в опыте каждого грешника. Если он не покается, участь, которую они предвозвещали, будет его участью». Желание веков, 597–600.</w:t>
      </w:r>
    </w:p>
    <w:p>
      <w:pPr>
        <w:pStyle w:val="ArticleBody"/>
        <w:jc w:val="left"/>
      </w:pPr>
      <w:r>
        <w:rPr>
          <w:rFonts w:ascii="Times New Roman" w:hAnsi="Times New Roman" w:eastAsia="Times New Roman" w:cs="Times New Roman"/>
        </w:rPr>
        <w:t>Nous poursuivrons ceci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Avertissements parallèles - Numéro quatre</dc:title>
  <dc:subject>Imisingi y’Ukwizera n’Akaga ko Kwibagirwa: Amasomo Akurwa mu Buhanuzi no mu Mateka</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