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Avertissements parallèles — Numéro cinq</w:t>
      </w:r>
    </w:p>
    <w:p>
      <w:pPr>
        <w:pStyle w:val="ArticleSubtitle"/>
        <w:jc w:val="left"/>
      </w:pPr>
      <w:r>
        <w:rPr>
          <w:rFonts w:ascii="Arial" w:hAnsi="Arial" w:eastAsia="Arial" w:cs="Arial"/>
        </w:rPr>
        <w:t>Закрытие сокровищницы изображения: раскрытие финальных сцен великой борьбы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Dans le passage que nous considérons encore, lequel commente le Christ comme l’ange qui descend dans Apocalypse dix, le Christ, en tant qu’ange puissant, illustre « le rôle qu’Il joue dans les scènes finales du grand conflit avec Satan ». La « position » que le Christ prit lorsqu’Il posa son pied droit sur la mer et son pied gauche sur la terre « dénote Sa puissance suprême et Son autorité sur toute la terre ». Lorsque le Christ poussa « un grand cri », Il « cria » « comme rugit un lion ».</w:t>
      </w:r>
    </w:p>
    <w:p>
      <w:pPr>
        <w:pStyle w:val="ArticleBody"/>
        <w:jc w:val="left"/>
      </w:pPr>
      <w:r>
        <w:rPr>
          <w:rFonts w:ascii="Times New Roman" w:hAnsi="Times New Roman" w:eastAsia="Times New Roman" w:cs="Times New Roman"/>
        </w:rPr>
        <w:t>Kristus akan menyatakan kemahakuasaan-Nya dalam “adegan-adegan penutup dari pertentangan besar” itu, dan ketika Kristus menyatakan kemahakuasaan-Nya, Ia melakukannya sebagai Singa dari suku Yehuda.</w:t>
      </w:r>
    </w:p>
    <w:p>
      <w:pPr>
        <w:pStyle w:val="ArticleScripture"/>
        <w:jc w:val="left"/>
      </w:pPr>
      <w:r>
        <w:rPr>
          <w:rFonts w:ascii="Times New Roman" w:hAnsi="Times New Roman" w:eastAsia="Times New Roman" w:cs="Times New Roman"/>
        </w:rPr>
        <w:t>“Le Sauveur est présenté à Jean sous les symboles du « Lion de la tribu de Juda » et d’« un Agneau comme immolé ». Apocalypse 5:5, 6. Ces symboles représentent l’union de la puissance omnipotente et de l’amour qui se sacrifie lui-même. Le Lion de Juda, si redoutable pour ceux qui rejettent sa grâce, sera l’Agneau de Dieu pour les obéissants et les fidèles.” Acts of the Apostles, 589.</w:t>
      </w:r>
    </w:p>
    <w:p>
      <w:pPr>
        <w:pStyle w:val="ArticleBody"/>
        <w:jc w:val="left"/>
      </w:pPr>
      <w:r>
        <w:rPr>
          <w:rFonts w:ascii="Times New Roman" w:hAnsi="Times New Roman" w:eastAsia="Times New Roman" w:cs="Times New Roman"/>
        </w:rPr>
        <w:t>La manifestation du Christ en tant que Lion de la tribu de Juda met en relief son œuvre consistant à sceller et à desceller la prophétie biblique, selon son calendrier divin. Juste avant la clôture du temps de grâce accordé à l’humanité, lorsque « le temps est proche », il y aura le descellement d’une vérité biblique particulière identifiant « les choses qui doivent arriver bientôt ».</w:t>
      </w:r>
    </w:p>
    <w:p>
      <w:pPr>
        <w:pStyle w:val="ArticleScripture"/>
        <w:jc w:val="left"/>
      </w:pPr>
      <w:r>
        <w:rPr>
          <w:rFonts w:ascii="Times New Roman" w:hAnsi="Times New Roman" w:eastAsia="Times New Roman" w:cs="Times New Roman"/>
        </w:rPr>
        <w:t>Ufunuo wa Yesu Kristo, ambao Mungu alimpa, ili awaonyeshe watumwa wake mambo ambayo hayana budi kutukia upesi; naye akautuma na kuufafanua kwa njia ya malaika wake kwa mtumwa wake Yohana; ambaye alilishuhudia neno la Mungu, na ushuhuda wa Yesu Kristo, na mambo yote aliyoyaona. Heri asomaye, na wao wayasikiao maneno ya unabii huu, na kuyashika yaliyoandikwa humo; kwa maana wakati u karibu. Ufunuo 1:1–3.</w:t>
      </w:r>
    </w:p>
    <w:p>
      <w:pPr>
        <w:pStyle w:val="ArticleBody"/>
        <w:jc w:val="left"/>
      </w:pPr>
      <w:r>
        <w:rPr>
          <w:rFonts w:ascii="Times New Roman" w:hAnsi="Times New Roman" w:eastAsia="Times New Roman" w:cs="Times New Roman"/>
        </w:rPr>
        <w:t>Panahon nga an “panahon” nga “haduol na” matuod nga moabot ngadto sa kasaysayan, adunay panalangin nga gipahayag ibabaw niadtong mga nagabasa, namati “ug nagabantay sa mga butang nga nahisulat didto.” Ang maong pinasahi nga mensahe usa ka mensahe nga masinati sa takdang panahon, ug mailhan lamang sa dihang “ang panahon haduol na.” Unya—nianang panahona, ug dili pa sa wala pa niana—ang mga tawo makahimo sa pagbasa, pagpamati “ug pagbantay sa mga butang nga nahisulat” sa basahon sa Pinadayag. Sa dihang “ang panahon haduol na,” ang panalangin nga gipahayag ibabaw niadtong “nagabasa”, “namati” “ug nagabantay sa mga butang nga nahisulat didto” nagakatugbang sa pag-abli sa basahon ni Daniel sa “panahon sa katapusan.”</w:t>
      </w:r>
    </w:p>
    <w:p>
      <w:pPr>
        <w:pStyle w:val="ArticleScripture"/>
        <w:jc w:val="left"/>
      </w:pPr>
      <w:r>
        <w:rPr>
          <w:rFonts w:ascii="Times New Roman" w:hAnsi="Times New Roman" w:eastAsia="Times New Roman" w:cs="Times New Roman"/>
        </w:rPr>
        <w:t>Но ты, о Даниил, сокрой слова сии и запечатай книгу сию до последнего времени; многие прочитают её, и умножится ведение. Даниил 12:4.</w:t>
      </w:r>
    </w:p>
    <w:p>
      <w:pPr>
        <w:pStyle w:val="ArticleBody"/>
        <w:jc w:val="left"/>
      </w:pPr>
      <w:r>
        <w:rPr>
          <w:rFonts w:ascii="Times New Roman" w:hAnsi="Times New Roman" w:eastAsia="Times New Roman" w:cs="Times New Roman"/>
        </w:rPr>
        <w:t>Bahalaleli “ba bangata” ba “eang ba bile ba khutla,” (e leng tšoantšetso ea ho ithuta Lentsoe la Molimo) ba etsa joalo “nakong ea bofelo” ha “mantsoe” a neng a “koaletsoe” ka “bukeng” ea Daniele a senoloa. Empa ho na le sehlopha se seng sa baroetsana se eang ba bile ba khutla hang ka mor’a molao oa Sontaha United States.</w:t>
      </w:r>
    </w:p>
    <w:p>
      <w:pPr>
        <w:pStyle w:val="ArticleScripture"/>
        <w:jc w:val="left"/>
      </w:pPr>
      <w:r>
        <w:rPr>
          <w:rFonts w:ascii="Times New Roman" w:hAnsi="Times New Roman" w:eastAsia="Times New Roman" w:cs="Times New Roman"/>
        </w:rPr>
        <w:t>« Voici, les jours viennent, dit le Seigneur, l’Éternel, où j’enverrai une famine dans le pays, non une famine de pain, ni une soif d’eau, mais la faim d’entendre les paroles de l’Éternel. Ils erreront d’une mer à l’autre, et du nord jusqu’à l’orient ; ils iront çà et là pour chercher la parole de l’Éternel, et ils ne la trouveront pas. En ce jour-là, les belles vierges et les jeunes hommes défailliront de soif. Ceux qui jurent par le péché de Samarie, et qui disent : Ton dieu, ô Dan, est vivant ! et : La voie de Beer-Shéba est vivante ! ceux-là tomberont, et ne se relèveront jamais. » Amos 8:11–14.</w:t>
      </w:r>
    </w:p>
    <w:p>
      <w:pPr>
        <w:pStyle w:val="ArticleBody"/>
        <w:jc w:val="left"/>
      </w:pPr>
      <w:r>
        <w:rPr>
          <w:rFonts w:ascii="Times New Roman" w:hAnsi="Times New Roman" w:eastAsia="Times New Roman" w:cs="Times New Roman"/>
        </w:rPr>
        <w:t>Lëkata e Samarisë ishte lëkata e përfaqësuar nga Ashabi dhe Jezebela, ku Ashabi përfaqëson Shtetet e Bashkuara dhe Jezebela kishën katolike. Jezebela, Ashabi dhe profetët e rremë në përballjen me Elian në malin Karmel janë tipologji e ligjit të së dielës. Në atë përballje kishte dy grupe profetësh të pashenjtë, profetët e Baalit dhe priftërinjtë e pyllit të shenjtë. Baali ishte një nga perënditë që adhuroheshin; tjetri që adhurohej në pyjet e shenjta ishte Ashtarothi. Baali ishte një perëndi mashkullore dhe Ashtarothi ishte një perëndi femërore. Së bashku, hyjnia mashkullore përfaqëson shtetin dhe ajo femërore kishën.</w:t>
      </w:r>
    </w:p>
    <w:p>
      <w:pPr>
        <w:pStyle w:val="ArticleBody"/>
        <w:jc w:val="left"/>
      </w:pPr>
      <w:r>
        <w:rPr>
          <w:rFonts w:ascii="Times New Roman" w:hAnsi="Times New Roman" w:eastAsia="Times New Roman" w:cs="Times New Roman"/>
        </w:rPr>
        <w:t>Mungu aliyesimamishwa huko Dani aliwekwa na mfalme wa kwanza wa Samaria, Yeroboamu, ambaye alisimamisha ndama wa dhahabu katika Betheli na Dani pia. Betheli maana yake ni nyumba ya Mungu, na Dani maana yake ni hukumu; na kwa pamoja huwakilisha muungano wa kanisa na serikali, unaotokea katika Marekani kabla ya kutekelezwa kwa utunzaji wa Jumapili. Ndama hao wawili wa dhahabu waliwakilishwa na ndama wa dhahabu wa Aroni.</w:t>
      </w:r>
    </w:p>
    <w:p>
      <w:pPr>
        <w:pStyle w:val="ArticleBody"/>
        <w:jc w:val="left"/>
      </w:pPr>
      <w:r>
        <w:rPr>
          <w:rFonts w:ascii="Times New Roman" w:hAnsi="Times New Roman" w:eastAsia="Times New Roman" w:cs="Times New Roman"/>
        </w:rPr>
        <w:t>Un veau est une bête, et une statue d’or est une image; ainsi, le veau d’or d’Aaron, ainsi que les deux veaux d’or de Jéroboam, représentent l’union de l’Église et de l’État qui se produit juste avant l’application de la loi du dimanche aux États-Unis. Dans le cas de Jéroboam, les deux villes fournissent un second témoignage au symbolisme de l’union de l’Église et de l’État, laquelle est définie comme l’image de la bête dans le livre de l’Apocalypse.</w:t>
      </w:r>
    </w:p>
    <w:p>
      <w:pPr>
        <w:pStyle w:val="ArticleBody"/>
        <w:jc w:val="left"/>
      </w:pPr>
      <w:r>
        <w:rPr>
          <w:rFonts w:ascii="Times New Roman" w:hAnsi="Times New Roman" w:eastAsia="Times New Roman" w:cs="Times New Roman"/>
        </w:rPr>
        <w:t>Tarz-e Beersheba ahd-e Abraham rā numāyandegī mīkonad. Nokhostīn yādkard az nām-e «Beersheba» dar Pīdāyesh bīst-o-yek ast; va īn haman gozarehī ast ke rasūl-e Pavlus ān rā barā-ye mokhālefat bā ānān ke dar rūzgār-e ū pīshnehād mīkardand ke barā-ye nejāt yāftan bāyad ahkām-e tashrīfātī va khatneh negah dāsht, be kār mībard. Pavlus az haman gozarehī estefāde mīkonad ke nokhostīn yādkard-e Beersheba dar ān jāst. Ū az ān tārīkh estefāde mīkonad tā dar yek dāstān-e vāhed, do ahd-e motefāvet va motazād rā bayān konad. Pavlus pesar-e kanīz (Esmāʿīl) rā namād-e ahdī qarār mīdahad ke bar tavān-e ensānī mobtanī ast, va Esmāʿīl rā bā Eshāq moqāyese mīkonad; ān kasī ke ū rā namād-e ahdī be kār mībarad ke bar qudrat-e Khodā mobtanī ast. Īn gozareh az Ketāb-e Moqaddas nokhostīn bārī ast ke Beersheba dar ān yādkard mīshavad, va baʿdan dar jaryān-e tārīkh, Pavlus az ān tārīkh estefāde mīkonad tā vazʿiyyatī rā dar tārīkh-e shakhṣī-ye khod wasf konad ke pīshā pīsh dar tārīkh-e Ketābī be tasvīr keshīde shode būd. Pavlus bāvar dāsht va taʿlīm mīdād ke tārīkh-e Ketābī tekrar mīshavad.</w:t>
      </w:r>
    </w:p>
    <w:p>
      <w:pPr>
        <w:pStyle w:val="ArticleBody"/>
        <w:jc w:val="left"/>
      </w:pPr>
      <w:r>
        <w:rPr>
          <w:rFonts w:ascii="Times New Roman" w:hAnsi="Times New Roman" w:eastAsia="Times New Roman" w:cs="Times New Roman"/>
        </w:rPr>
        <w:t>Miskiinnaa Paaloo kutaa kana Seera Uumamaa boqonnaa digdamii tokko keessaa kakuuwwan wal faallaa taʼan lama ibsuudhaaf yoo fayyadames, kutaicha keessatti kakuuwwan lama Waaqayyo Abrahaam wajjin gale ni jiru; garuu isaan kakuuwwan lamaan Paaloo seenaa sana irraa baase miti. Kutaicha keessatti Waaqayyo ammas waadaa Isaa, jechuun Yisihaaqiin karaa godhatee Abrahaam abbaa saboota baayʼee akka taʼu, ni raawwadha jedhee waadaa gale; akkasumas Ismaaʼeel abbaa saba guddaa akka taʼus waadaa gale. Kutaa tokko qofa keessatti kakuuwwan afur eeramaniiru; akkasumas keessatti yeroo jalqabaatiif Beer-Sheebaan Caaffata Qulqullaaʼoo keessatti maqaan ishii kaafame.</w:t>
      </w:r>
    </w:p>
    <w:p>
      <w:pPr>
        <w:pStyle w:val="ArticleScripture"/>
        <w:jc w:val="left"/>
      </w:pP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അബ്രാഹാമിനോടു</w:t>
      </w:r>
      <w:r>
        <w:rPr>
          <w:rFonts w:ascii="Times New Roman" w:hAnsi="Times New Roman" w:eastAsia="Times New Roman" w:cs="Times New Roman"/>
        </w:rPr>
        <w:t xml:space="preserve"> </w:t>
      </w:r>
      <w:r>
        <w:rPr>
          <w:rFonts w:ascii="Nirmala UI" w:hAnsi="Nirmala UI" w:eastAsia="Nirmala UI" w:cs="Nirmala UI"/>
        </w:rPr>
        <w:t>പറഞ്ഞു</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ദാസിയെക്കും</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മകനെയും</w:t>
      </w:r>
      <w:r>
        <w:rPr>
          <w:rFonts w:ascii="Times New Roman" w:hAnsi="Times New Roman" w:eastAsia="Times New Roman" w:cs="Times New Roman"/>
        </w:rPr>
        <w:t xml:space="preserve"> </w:t>
      </w:r>
      <w:r>
        <w:rPr>
          <w:rFonts w:ascii="Nirmala UI" w:hAnsi="Nirmala UI" w:eastAsia="Nirmala UI" w:cs="Nirmala UI"/>
        </w:rPr>
        <w:t>പുറത്താക്കുക</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ദാസിയുടെ</w:t>
      </w:r>
      <w:r>
        <w:rPr>
          <w:rFonts w:ascii="Times New Roman" w:hAnsi="Times New Roman" w:eastAsia="Times New Roman" w:cs="Times New Roman"/>
        </w:rPr>
        <w:t xml:space="preserve"> </w:t>
      </w:r>
      <w:r>
        <w:rPr>
          <w:rFonts w:ascii="Nirmala UI" w:hAnsi="Nirmala UI" w:eastAsia="Nirmala UI" w:cs="Nirmala UI"/>
        </w:rPr>
        <w:t>മകൻ</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മകനായ</w:t>
      </w:r>
      <w:r>
        <w:rPr>
          <w:rFonts w:ascii="Times New Roman" w:hAnsi="Times New Roman" w:eastAsia="Times New Roman" w:cs="Times New Roman"/>
        </w:rPr>
        <w:t xml:space="preserve"> </w:t>
      </w:r>
      <w:r>
        <w:rPr>
          <w:rFonts w:ascii="Nirmala UI" w:hAnsi="Nirmala UI" w:eastAsia="Nirmala UI" w:cs="Nirmala UI"/>
        </w:rPr>
        <w:t>യിസ്ഹാക്കിനോടുകൂടെ</w:t>
      </w:r>
      <w:r>
        <w:rPr>
          <w:rFonts w:ascii="Times New Roman" w:hAnsi="Times New Roman" w:eastAsia="Times New Roman" w:cs="Times New Roman"/>
        </w:rPr>
        <w:t xml:space="preserve"> </w:t>
      </w:r>
      <w:r>
        <w:rPr>
          <w:rFonts w:ascii="Nirmala UI" w:hAnsi="Nirmala UI" w:eastAsia="Nirmala UI" w:cs="Nirmala UI"/>
        </w:rPr>
        <w:t>അവകാശിയായി</w:t>
      </w:r>
      <w:r>
        <w:rPr>
          <w:rFonts w:ascii="Times New Roman" w:hAnsi="Times New Roman" w:eastAsia="Times New Roman" w:cs="Times New Roman"/>
        </w:rPr>
        <w:t xml:space="preserve"> </w:t>
      </w:r>
      <w:r>
        <w:rPr>
          <w:rFonts w:ascii="Nirmala UI" w:hAnsi="Nirmala UI" w:eastAsia="Nirmala UI" w:cs="Nirmala UI"/>
        </w:rPr>
        <w:t>ഇരിക്കയില്ല</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കാര്യം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മകനെക്കുറിച്ചു</w:t>
      </w:r>
      <w:r>
        <w:rPr>
          <w:rFonts w:ascii="Times New Roman" w:hAnsi="Times New Roman" w:eastAsia="Times New Roman" w:cs="Times New Roman"/>
        </w:rPr>
        <w:t xml:space="preserve"> </w:t>
      </w:r>
      <w:r>
        <w:rPr>
          <w:rFonts w:ascii="Nirmala UI" w:hAnsi="Nirmala UI" w:eastAsia="Nirmala UI" w:cs="Nirmala UI"/>
        </w:rPr>
        <w:t>അബ്രാഹാമിന്നു</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ദുഃഖകരമായി</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അബ്രാഹാമിനോടു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ബാലനെക്കുറിച്ചും</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ദാസിയെക്കുറിച്ചും</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ദൃഷ്ടിയിൽ</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ദുഃഖകരമാകരുതു</w:t>
      </w:r>
      <w:r>
        <w:rPr>
          <w:rFonts w:ascii="Times New Roman" w:hAnsi="Times New Roman" w:eastAsia="Times New Roman" w:cs="Times New Roman"/>
        </w:rPr>
        <w:t xml:space="preserve">; </w:t>
      </w:r>
      <w:r>
        <w:rPr>
          <w:rFonts w:ascii="Nirmala UI" w:hAnsi="Nirmala UI" w:eastAsia="Nirmala UI" w:cs="Nirmala UI"/>
        </w:rPr>
        <w:t>സാറാ</w:t>
      </w:r>
      <w:r>
        <w:rPr>
          <w:rFonts w:ascii="Times New Roman" w:hAnsi="Times New Roman" w:eastAsia="Times New Roman" w:cs="Times New Roman"/>
        </w:rPr>
        <w:t xml:space="preserve"> </w:t>
      </w:r>
      <w:r>
        <w:rPr>
          <w:rFonts w:ascii="Nirmala UI" w:hAnsi="Nirmala UI" w:eastAsia="Nirmala UI" w:cs="Nirmala UI"/>
        </w:rPr>
        <w:t>നിന്നോടു</w:t>
      </w:r>
      <w:r>
        <w:rPr>
          <w:rFonts w:ascii="Times New Roman" w:hAnsi="Times New Roman" w:eastAsia="Times New Roman" w:cs="Times New Roman"/>
        </w:rPr>
        <w:t xml:space="preserve"> </w:t>
      </w:r>
      <w:r>
        <w:rPr>
          <w:rFonts w:ascii="Nirmala UI" w:hAnsi="Nirmala UI" w:eastAsia="Nirmala UI" w:cs="Nirmala UI"/>
        </w:rPr>
        <w:t>പറഞ്ഞ</w:t>
      </w:r>
      <w:r>
        <w:rPr>
          <w:rFonts w:ascii="Times New Roman" w:hAnsi="Times New Roman" w:eastAsia="Times New Roman" w:cs="Times New Roman"/>
        </w:rPr>
        <w:t xml:space="preserve"> </w:t>
      </w:r>
      <w:r>
        <w:rPr>
          <w:rFonts w:ascii="Nirmala UI" w:hAnsi="Nirmala UI" w:eastAsia="Nirmala UI" w:cs="Nirmala UI"/>
        </w:rPr>
        <w:t>എല്ലാറ്റിലും</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വാക്കു</w:t>
      </w:r>
      <w:r>
        <w:rPr>
          <w:rFonts w:ascii="Times New Roman" w:hAnsi="Times New Roman" w:eastAsia="Times New Roman" w:cs="Times New Roman"/>
        </w:rPr>
        <w:t xml:space="preserve"> </w:t>
      </w:r>
      <w:r>
        <w:rPr>
          <w:rFonts w:ascii="Nirmala UI" w:hAnsi="Nirmala UI" w:eastAsia="Nirmala UI" w:cs="Nirmala UI"/>
        </w:rPr>
        <w:t>കേൾക്കുക</w:t>
      </w:r>
      <w:r>
        <w:rPr>
          <w:rFonts w:ascii="Times New Roman" w:hAnsi="Times New Roman" w:eastAsia="Times New Roman" w:cs="Times New Roman"/>
        </w:rPr>
        <w:t xml:space="preserve">; </w:t>
      </w:r>
      <w:r>
        <w:rPr>
          <w:rFonts w:ascii="Nirmala UI" w:hAnsi="Nirmala UI" w:eastAsia="Nirmala UI" w:cs="Nirmala UI"/>
        </w:rPr>
        <w:t>യിസ്ഹാക്കിൽ</w:t>
      </w:r>
      <w:r>
        <w:rPr>
          <w:rFonts w:ascii="Times New Roman" w:hAnsi="Times New Roman" w:eastAsia="Times New Roman" w:cs="Times New Roman"/>
        </w:rPr>
        <w:t xml:space="preserve"> </w:t>
      </w:r>
      <w:r>
        <w:rPr>
          <w:rFonts w:ascii="Nirmala UI" w:hAnsi="Nirmala UI" w:eastAsia="Nirmala UI" w:cs="Nirmala UI"/>
        </w:rPr>
        <w:t>നിന്നാകുന്നു</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സന്തതി</w:t>
      </w:r>
      <w:r>
        <w:rPr>
          <w:rFonts w:ascii="Times New Roman" w:hAnsi="Times New Roman" w:eastAsia="Times New Roman" w:cs="Times New Roman"/>
        </w:rPr>
        <w:t xml:space="preserve"> </w:t>
      </w:r>
      <w:r>
        <w:rPr>
          <w:rFonts w:ascii="Nirmala UI" w:hAnsi="Nirmala UI" w:eastAsia="Nirmala UI" w:cs="Nirmala UI"/>
        </w:rPr>
        <w:t>വിളിക്കപ്പെടുക</w:t>
      </w:r>
      <w:r>
        <w:rPr>
          <w:rFonts w:ascii="Times New Roman" w:hAnsi="Times New Roman" w:eastAsia="Times New Roman" w:cs="Times New Roman"/>
        </w:rPr>
        <w:t xml:space="preserve">. </w:t>
      </w:r>
      <w:r>
        <w:rPr>
          <w:rFonts w:ascii="Nirmala UI" w:hAnsi="Nirmala UI" w:eastAsia="Nirmala UI" w:cs="Nirmala UI"/>
        </w:rPr>
        <w:t>ദാസിയുടെ</w:t>
      </w:r>
      <w:r>
        <w:rPr>
          <w:rFonts w:ascii="Times New Roman" w:hAnsi="Times New Roman" w:eastAsia="Times New Roman" w:cs="Times New Roman"/>
        </w:rPr>
        <w:t xml:space="preserve"> </w:t>
      </w:r>
      <w:r>
        <w:rPr>
          <w:rFonts w:ascii="Nirmala UI" w:hAnsi="Nirmala UI" w:eastAsia="Nirmala UI" w:cs="Nirmala UI"/>
        </w:rPr>
        <w:t>മകനെയും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ജനതയാക്കും</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സന്തതിയാകകൊണ്ടു</w:t>
      </w:r>
      <w:r>
        <w:rPr>
          <w:rFonts w:ascii="Times New Roman" w:hAnsi="Times New Roman" w:eastAsia="Times New Roman" w:cs="Times New Roman"/>
        </w:rPr>
        <w:t xml:space="preserve">. </w:t>
      </w:r>
      <w:r>
        <w:rPr>
          <w:rFonts w:ascii="Nirmala UI" w:hAnsi="Nirmala UI" w:eastAsia="Nirmala UI" w:cs="Nirmala UI"/>
        </w:rPr>
        <w:t>അബ്രാഹാം</w:t>
      </w:r>
      <w:r>
        <w:rPr>
          <w:rFonts w:ascii="Times New Roman" w:hAnsi="Times New Roman" w:eastAsia="Times New Roman" w:cs="Times New Roman"/>
        </w:rPr>
        <w:t xml:space="preserve"> </w:t>
      </w:r>
      <w:r>
        <w:rPr>
          <w:rFonts w:ascii="Nirmala UI" w:hAnsi="Nirmala UI" w:eastAsia="Nirmala UI" w:cs="Nirmala UI"/>
        </w:rPr>
        <w:t>പുലർച്ചെ</w:t>
      </w:r>
      <w:r>
        <w:rPr>
          <w:rFonts w:ascii="Times New Roman" w:hAnsi="Times New Roman" w:eastAsia="Times New Roman" w:cs="Times New Roman"/>
        </w:rPr>
        <w:t xml:space="preserve"> </w:t>
      </w:r>
      <w:r>
        <w:rPr>
          <w:rFonts w:ascii="Nirmala UI" w:hAnsi="Nirmala UI" w:eastAsia="Nirmala UI" w:cs="Nirmala UI"/>
        </w:rPr>
        <w:t>എഴുന്നേറ്റു</w:t>
      </w:r>
      <w:r>
        <w:rPr>
          <w:rFonts w:ascii="Times New Roman" w:hAnsi="Times New Roman" w:eastAsia="Times New Roman" w:cs="Times New Roman"/>
        </w:rPr>
        <w:t xml:space="preserve"> </w:t>
      </w:r>
      <w:r>
        <w:rPr>
          <w:rFonts w:ascii="Nirmala UI" w:hAnsi="Nirmala UI" w:eastAsia="Nirmala UI" w:cs="Nirmala UI"/>
        </w:rPr>
        <w:t>അപ്പം</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വെള്ളക്കുപ്പിയും</w:t>
      </w:r>
      <w:r>
        <w:rPr>
          <w:rFonts w:ascii="Times New Roman" w:hAnsi="Times New Roman" w:eastAsia="Times New Roman" w:cs="Times New Roman"/>
        </w:rPr>
        <w:t xml:space="preserve"> </w:t>
      </w:r>
      <w:r>
        <w:rPr>
          <w:rFonts w:ascii="Nirmala UI" w:hAnsi="Nirmala UI" w:eastAsia="Nirmala UI" w:cs="Nirmala UI"/>
        </w:rPr>
        <w:t>എടുത്തു</w:t>
      </w:r>
      <w:r>
        <w:rPr>
          <w:rFonts w:ascii="Times New Roman" w:hAnsi="Times New Roman" w:eastAsia="Times New Roman" w:cs="Times New Roman"/>
        </w:rPr>
        <w:t xml:space="preserve"> </w:t>
      </w:r>
      <w:r>
        <w:rPr>
          <w:rFonts w:ascii="Nirmala UI" w:hAnsi="Nirmala UI" w:eastAsia="Nirmala UI" w:cs="Nirmala UI"/>
        </w:rPr>
        <w:t>ഹാഗാറിന്നു</w:t>
      </w:r>
      <w:r>
        <w:rPr>
          <w:rFonts w:ascii="Times New Roman" w:hAnsi="Times New Roman" w:eastAsia="Times New Roman" w:cs="Times New Roman"/>
        </w:rPr>
        <w:t xml:space="preserve"> </w:t>
      </w:r>
      <w:r>
        <w:rPr>
          <w:rFonts w:ascii="Nirmala UI" w:hAnsi="Nirmala UI" w:eastAsia="Nirmala UI" w:cs="Nirmala UI"/>
        </w:rPr>
        <w:t>കൊടുത്തു</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തോൾമേൽ</w:t>
      </w:r>
      <w:r>
        <w:rPr>
          <w:rFonts w:ascii="Times New Roman" w:hAnsi="Times New Roman" w:eastAsia="Times New Roman" w:cs="Times New Roman"/>
        </w:rPr>
        <w:t xml:space="preserve"> </w:t>
      </w:r>
      <w:r>
        <w:rPr>
          <w:rFonts w:ascii="Nirmala UI" w:hAnsi="Nirmala UI" w:eastAsia="Nirmala UI" w:cs="Nirmala UI"/>
        </w:rPr>
        <w:t>വെച്ചു</w:t>
      </w:r>
      <w:r>
        <w:rPr>
          <w:rFonts w:ascii="Times New Roman" w:hAnsi="Times New Roman" w:eastAsia="Times New Roman" w:cs="Times New Roman"/>
        </w:rPr>
        <w:t xml:space="preserve">, </w:t>
      </w:r>
      <w:r>
        <w:rPr>
          <w:rFonts w:ascii="Nirmala UI" w:hAnsi="Nirmala UI" w:eastAsia="Nirmala UI" w:cs="Nirmala UI"/>
        </w:rPr>
        <w:t>ബാലനെയും</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അയച്ചു</w:t>
      </w:r>
      <w:r>
        <w:rPr>
          <w:rFonts w:ascii="Times New Roman" w:hAnsi="Times New Roman" w:eastAsia="Times New Roman" w:cs="Times New Roman"/>
        </w:rPr>
        <w:t xml:space="preserve"> </w:t>
      </w:r>
      <w:r>
        <w:rPr>
          <w:rFonts w:ascii="Nirmala UI" w:hAnsi="Nirmala UI" w:eastAsia="Nirmala UI" w:cs="Nirmala UI"/>
        </w:rPr>
        <w:t>വിട്ടു</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പുറപ്പെട്ടുപോയി</w:t>
      </w:r>
      <w:r>
        <w:rPr>
          <w:rFonts w:ascii="Times New Roman" w:hAnsi="Times New Roman" w:eastAsia="Times New Roman" w:cs="Times New Roman"/>
        </w:rPr>
        <w:t xml:space="preserve"> </w:t>
      </w:r>
      <w:r>
        <w:rPr>
          <w:rFonts w:ascii="Nirmala UI" w:hAnsi="Nirmala UI" w:eastAsia="Nirmala UI" w:cs="Nirmala UI"/>
        </w:rPr>
        <w:t>ബേർശേബാ</w:t>
      </w:r>
      <w:r>
        <w:rPr>
          <w:rFonts w:ascii="Times New Roman" w:hAnsi="Times New Roman" w:eastAsia="Times New Roman" w:cs="Times New Roman"/>
        </w:rPr>
        <w:t xml:space="preserve"> </w:t>
      </w:r>
      <w:r>
        <w:rPr>
          <w:rFonts w:ascii="Nirmala UI" w:hAnsi="Nirmala UI" w:eastAsia="Nirmala UI" w:cs="Nirmala UI"/>
        </w:rPr>
        <w:t>മരുഭൂമിയിൽ</w:t>
      </w:r>
      <w:r>
        <w:rPr>
          <w:rFonts w:ascii="Times New Roman" w:hAnsi="Times New Roman" w:eastAsia="Times New Roman" w:cs="Times New Roman"/>
        </w:rPr>
        <w:t xml:space="preserve"> </w:t>
      </w:r>
      <w:r>
        <w:rPr>
          <w:rFonts w:ascii="Nirmala UI" w:hAnsi="Nirmala UI" w:eastAsia="Nirmala UI" w:cs="Nirmala UI"/>
        </w:rPr>
        <w:t>അലഞ്ഞു</w:t>
      </w:r>
      <w:r>
        <w:rPr>
          <w:rFonts w:ascii="Times New Roman" w:hAnsi="Times New Roman" w:eastAsia="Times New Roman" w:cs="Times New Roman"/>
        </w:rPr>
        <w:t xml:space="preserve"> </w:t>
      </w:r>
      <w:r>
        <w:rPr>
          <w:rFonts w:ascii="Nirmala UI" w:hAnsi="Nirmala UI" w:eastAsia="Nirmala UI" w:cs="Nirmala UI"/>
        </w:rPr>
        <w:t>നടന്നു</w:t>
      </w:r>
      <w:r>
        <w:rPr>
          <w:rFonts w:ascii="Times New Roman" w:hAnsi="Times New Roman" w:eastAsia="Times New Roman" w:cs="Times New Roman"/>
        </w:rPr>
        <w:t xml:space="preserve">. </w:t>
      </w:r>
      <w:r>
        <w:rPr>
          <w:rFonts w:ascii="Nirmala UI" w:hAnsi="Nirmala UI" w:eastAsia="Nirmala UI" w:cs="Nirmala UI"/>
        </w:rPr>
        <w:t>ഉല്പത്തി</w:t>
      </w:r>
      <w:r>
        <w:rPr>
          <w:rFonts w:ascii="Times New Roman" w:hAnsi="Times New Roman" w:eastAsia="Times New Roman" w:cs="Times New Roman"/>
        </w:rPr>
        <w:t xml:space="preserve"> 21:10–14.</w:t>
      </w:r>
    </w:p>
    <w:p>
      <w:pPr>
        <w:pStyle w:val="ArticleBody"/>
        <w:jc w:val="left"/>
      </w:pPr>
      <w:r>
        <w:rPr>
          <w:rFonts w:ascii="Times New Roman" w:hAnsi="Times New Roman" w:eastAsia="Times New Roman" w:cs="Times New Roman"/>
        </w:rPr>
        <w:t>Beer-Sheba représente l’alliance d’Abraham. Dans ce même chapitre, Abraham conclut aussi une alliance avec Abimélec.</w:t>
      </w:r>
    </w:p>
    <w:p>
      <w:pPr>
        <w:pStyle w:val="ArticleScripture"/>
        <w:jc w:val="left"/>
      </w:pPr>
      <w:r>
        <w:rPr>
          <w:rFonts w:ascii="Microsoft YaHei" w:hAnsi="Microsoft YaHei" w:eastAsia="Microsoft YaHei" w:cs="Microsoft YaHei"/>
        </w:rPr>
        <w:t>發生在那時</w:t>
      </w:r>
      <w:r>
        <w:rPr>
          <w:rFonts w:ascii="Times New Roman" w:hAnsi="Times New Roman" w:eastAsia="Times New Roman" w:cs="Times New Roman"/>
        </w:rPr>
        <w:t>,</w:t>
      </w:r>
      <w:r>
        <w:rPr>
          <w:rFonts w:ascii="Microsoft YaHei" w:hAnsi="Microsoft YaHei" w:eastAsia="Microsoft YaHei" w:cs="Microsoft YaHei"/>
        </w:rPr>
        <w:t>亞比米勒同他軍長非各對亞伯拉罕說：「凡你所行的事</w:t>
      </w:r>
      <w:r>
        <w:rPr>
          <w:rFonts w:ascii="Times New Roman" w:hAnsi="Times New Roman" w:eastAsia="Times New Roman" w:cs="Times New Roman"/>
        </w:rPr>
        <w:t>,</w:t>
      </w:r>
      <w:r>
        <w:rPr>
          <w:rFonts w:ascii="Microsoft YaHei" w:hAnsi="Microsoft YaHei" w:eastAsia="Microsoft YaHei" w:cs="Microsoft YaHei"/>
        </w:rPr>
        <w:t>都有</w:t>
      </w:r>
      <w:r>
        <w:rPr>
          <w:rFonts w:ascii="Times New Roman" w:hAnsi="Times New Roman" w:eastAsia="Times New Roman" w:cs="Times New Roman"/>
        </w:rPr>
        <w:t xml:space="preserve"> </w:t>
      </w:r>
      <w:r>
        <w:rPr>
          <w:rFonts w:ascii="Microsoft YaHei" w:hAnsi="Microsoft YaHei" w:eastAsia="Microsoft YaHei" w:cs="Microsoft YaHei"/>
        </w:rPr>
        <w:t>神與你同在</w:t>
      </w:r>
      <w:r>
        <w:rPr>
          <w:rFonts w:ascii="Times New Roman" w:hAnsi="Times New Roman" w:eastAsia="Times New Roman" w:cs="Times New Roman"/>
        </w:rPr>
        <w:t>.</w:t>
      </w:r>
      <w:r>
        <w:rPr>
          <w:rFonts w:ascii="Microsoft YaHei" w:hAnsi="Microsoft YaHei" w:eastAsia="Microsoft YaHei" w:cs="Microsoft YaHei"/>
        </w:rPr>
        <w:t>現在你在這裡指著</w:t>
      </w:r>
      <w:r>
        <w:rPr>
          <w:rFonts w:ascii="Times New Roman" w:hAnsi="Times New Roman" w:eastAsia="Times New Roman" w:cs="Times New Roman"/>
        </w:rPr>
        <w:t xml:space="preserve"> </w:t>
      </w:r>
      <w:r>
        <w:rPr>
          <w:rFonts w:ascii="Microsoft YaHei" w:hAnsi="Microsoft YaHei" w:eastAsia="Microsoft YaHei" w:cs="Microsoft YaHei"/>
        </w:rPr>
        <w:t>神向我起誓</w:t>
      </w:r>
      <w:r>
        <w:rPr>
          <w:rFonts w:ascii="Times New Roman" w:hAnsi="Times New Roman" w:eastAsia="Times New Roman" w:cs="Times New Roman"/>
        </w:rPr>
        <w:t>,</w:t>
      </w:r>
      <w:r>
        <w:rPr>
          <w:rFonts w:ascii="Microsoft YaHei" w:hAnsi="Microsoft YaHei" w:eastAsia="Microsoft YaHei" w:cs="Microsoft YaHei"/>
        </w:rPr>
        <w:t>不可欺哄我</w:t>
      </w:r>
      <w:r>
        <w:rPr>
          <w:rFonts w:ascii="Times New Roman" w:hAnsi="Times New Roman" w:eastAsia="Times New Roman" w:cs="Times New Roman"/>
        </w:rPr>
        <w:t>,</w:t>
      </w:r>
      <w:r>
        <w:rPr>
          <w:rFonts w:ascii="Microsoft YaHei" w:hAnsi="Microsoft YaHei" w:eastAsia="Microsoft YaHei" w:cs="Microsoft YaHei"/>
        </w:rPr>
        <w:t>也不可欺哄我的兒子和我的子孫</w:t>
      </w:r>
      <w:r>
        <w:rPr>
          <w:rFonts w:ascii="Times New Roman" w:hAnsi="Times New Roman" w:eastAsia="Times New Roman" w:cs="Times New Roman"/>
        </w:rPr>
        <w:t>;</w:t>
      </w:r>
      <w:r>
        <w:rPr>
          <w:rFonts w:ascii="Microsoft YaHei" w:hAnsi="Microsoft YaHei" w:eastAsia="Microsoft YaHei" w:cs="Microsoft YaHei"/>
        </w:rPr>
        <w:t>我怎樣恩待了你</w:t>
      </w:r>
      <w:r>
        <w:rPr>
          <w:rFonts w:ascii="Times New Roman" w:hAnsi="Times New Roman" w:eastAsia="Times New Roman" w:cs="Times New Roman"/>
        </w:rPr>
        <w:t>,</w:t>
      </w:r>
      <w:r>
        <w:rPr>
          <w:rFonts w:ascii="Microsoft YaHei" w:hAnsi="Microsoft YaHei" w:eastAsia="Microsoft YaHei" w:cs="Microsoft YaHei"/>
        </w:rPr>
        <w:t>你也要照樣恩待我</w:t>
      </w:r>
      <w:r>
        <w:rPr>
          <w:rFonts w:ascii="Times New Roman" w:hAnsi="Times New Roman" w:eastAsia="Times New Roman" w:cs="Times New Roman"/>
        </w:rPr>
        <w:t>,</w:t>
      </w:r>
      <w:r>
        <w:rPr>
          <w:rFonts w:ascii="Microsoft YaHei" w:hAnsi="Microsoft YaHei" w:eastAsia="Microsoft YaHei" w:cs="Microsoft YaHei"/>
        </w:rPr>
        <w:t>並恩待你所寄居之地</w:t>
      </w:r>
      <w:r>
        <w:rPr>
          <w:rFonts w:ascii="Times New Roman" w:hAnsi="Times New Roman" w:eastAsia="Times New Roman" w:cs="Times New Roman"/>
        </w:rPr>
        <w:t>.</w:t>
      </w:r>
      <w:r>
        <w:rPr>
          <w:rFonts w:ascii="Microsoft YaHei" w:hAnsi="Microsoft YaHei" w:eastAsia="Microsoft YaHei" w:cs="Microsoft YaHei"/>
        </w:rPr>
        <w:t>」亞伯拉罕說：「我願起誓</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I Abrahama ukori Abimeleka zbog studenca vode, koji su sluge Abimelekove silom bile oduzele. A Abimelek reče: Ne znam tko je to učinio; niti si mi ti to javio, niti sam ja za to čuo do danas.</w:t>
      </w:r>
    </w:p>
    <w:p>
      <w:pPr>
        <w:pStyle w:val="ArticleScripture"/>
        <w:jc w:val="left"/>
      </w:pPr>
      <w:r>
        <w:rPr>
          <w:rFonts w:ascii="Times New Roman" w:hAnsi="Times New Roman" w:eastAsia="Times New Roman" w:cs="Times New Roman"/>
        </w:rPr>
        <w:t>Ibrahim mengambil kambing domba dan lembu sapi, lalu memberikannya kepada Abimelekh; maka keduanya mengadakan suatu perjanjian. Dan Ibrahim memisahkan tujuh anak domba betina dari kawanan itu. Lalu Abimelekh berkata kepada Ibrahim, “Apakah arti ketujuh anak domba betina ini yang telah engkau pisahkan?”</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मेम्नियों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कुआँ</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बेएरशेबा</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खाई।</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बेएरशेबा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अबीमेलेक</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सेनापति</w:t>
      </w:r>
      <w:r>
        <w:rPr>
          <w:rFonts w:ascii="Times New Roman" w:hAnsi="Times New Roman" w:eastAsia="Times New Roman" w:cs="Times New Roman"/>
        </w:rPr>
        <w:t xml:space="preserve"> </w:t>
      </w:r>
      <w:r>
        <w:rPr>
          <w:rFonts w:ascii="Nirmala UI" w:hAnsi="Nirmala UI" w:eastAsia="Nirmala UI" w:cs="Nirmala UI"/>
        </w:rPr>
        <w:t>फीकोल</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पलिश्तियों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इब्राहीम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बेएरशेबा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इमली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p>
    <w:p>
      <w:pPr>
        <w:pStyle w:val="ArticleScripture"/>
        <w:jc w:val="left"/>
      </w:pPr>
      <w:r>
        <w:rPr>
          <w:rFonts w:ascii="Times New Roman" w:hAnsi="Times New Roman" w:eastAsia="Times New Roman" w:cs="Times New Roman"/>
        </w:rPr>
        <w:t>Et Abraham séjourna longtemps dans le pays des Philistins. Genèse 21:22–34.</w:t>
      </w:r>
    </w:p>
    <w:p>
      <w:pPr>
        <w:pStyle w:val="ArticleBody"/>
        <w:jc w:val="left"/>
      </w:pPr>
      <w:r>
        <w:rPr>
          <w:rFonts w:ascii="Nirmala UI" w:hAnsi="Nirmala UI" w:eastAsia="Nirmala UI" w:cs="Nirmala UI"/>
        </w:rPr>
        <w:t>બેરશેબા</w:t>
      </w:r>
      <w:r>
        <w:rPr>
          <w:rFonts w:ascii="Times New Roman" w:hAnsi="Times New Roman" w:eastAsia="Times New Roman" w:cs="Times New Roman"/>
        </w:rPr>
        <w:t xml:space="preserve"> </w:t>
      </w:r>
      <w:r>
        <w:rPr>
          <w:rFonts w:ascii="Nirmala UI" w:hAnsi="Nirmala UI" w:eastAsia="Nirmala UI" w:cs="Nirmala UI"/>
        </w:rPr>
        <w:t>અબ્રાહામ</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ઈશ્વરના</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બાઇબલમાં</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નોંધાયેલા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બેરશેબાને</w:t>
      </w:r>
      <w:r>
        <w:rPr>
          <w:rFonts w:ascii="Times New Roman" w:hAnsi="Times New Roman" w:eastAsia="Times New Roman" w:cs="Times New Roman"/>
        </w:rPr>
        <w:t xml:space="preserve"> </w:t>
      </w:r>
      <w:r>
        <w:rPr>
          <w:rFonts w:ascii="Nirmala UI" w:hAnsi="Nirmala UI" w:eastAsia="Nirmala UI" w:cs="Nirmala UI"/>
        </w:rPr>
        <w:t>અબ્રાહામના</w:t>
      </w:r>
      <w:r>
        <w:rPr>
          <w:rFonts w:ascii="Times New Roman" w:hAnsi="Times New Roman" w:eastAsia="Times New Roman" w:cs="Times New Roman"/>
        </w:rPr>
        <w:t xml:space="preserve"> </w:t>
      </w:r>
      <w:r>
        <w:rPr>
          <w:rFonts w:ascii="Nirmala UI" w:hAnsi="Nirmala UI" w:eastAsia="Nirmala UI" w:cs="Nirmala UI"/>
        </w:rPr>
        <w:t>કરાર</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જોડે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બેર</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કૂવો</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શેબા</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શેબા</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હિબ્રુ</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અનુવાદ</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વિલિયમ</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યોગ્ય</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લેવીયવ્યવસ્થા</w:t>
      </w:r>
      <w:r>
        <w:rPr>
          <w:rFonts w:ascii="Times New Roman" w:hAnsi="Times New Roman" w:eastAsia="Times New Roman" w:cs="Times New Roman"/>
        </w:rPr>
        <w:t xml:space="preserve"> </w:t>
      </w:r>
      <w:r>
        <w:rPr>
          <w:rFonts w:ascii="Nirmala UI" w:hAnsi="Nirmala UI" w:eastAsia="Nirmala UI" w:cs="Nirmala UI"/>
        </w:rPr>
        <w:t>છવીસમાં</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પાંચસો</w:t>
      </w:r>
      <w:r>
        <w:rPr>
          <w:rFonts w:ascii="Times New Roman" w:hAnsi="Times New Roman" w:eastAsia="Times New Roman" w:cs="Times New Roman"/>
        </w:rPr>
        <w:t xml:space="preserve"> </w:t>
      </w:r>
      <w:r>
        <w:rPr>
          <w:rFonts w:ascii="Nirmala UI" w:hAnsi="Nirmala UI" w:eastAsia="Nirmala UI" w:cs="Nirmala UI"/>
        </w:rPr>
        <w:t>વીસ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સમજી</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શોધેલી</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સર્વપ્રથમ</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1863</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મૂકી</w:t>
      </w:r>
      <w:r>
        <w:rPr>
          <w:rFonts w:ascii="Times New Roman" w:hAnsi="Times New Roman" w:eastAsia="Times New Roman" w:cs="Times New Roman"/>
        </w:rPr>
        <w:t xml:space="preserve"> </w:t>
      </w:r>
      <w:r>
        <w:rPr>
          <w:rFonts w:ascii="Nirmala UI" w:hAnsi="Nirmala UI" w:eastAsia="Nirmala UI" w:cs="Nirmala UI"/>
        </w:rPr>
        <w:t>દેવામાં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મૂળભૂત</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અવતરણમાં</w:t>
      </w:r>
      <w:r>
        <w:rPr>
          <w:rFonts w:ascii="Times New Roman" w:hAnsi="Times New Roman" w:eastAsia="Times New Roman" w:cs="Times New Roman"/>
        </w:rPr>
        <w:t xml:space="preserve"> “</w:t>
      </w:r>
      <w:r>
        <w:rPr>
          <w:rFonts w:ascii="Nirmala UI" w:hAnsi="Nirmala UI" w:eastAsia="Nirmala UI" w:cs="Nirmala UI"/>
        </w:rPr>
        <w:t>શેબા</w:t>
      </w:r>
      <w:r>
        <w:rPr>
          <w:rFonts w:ascii="Times New Roman" w:hAnsi="Times New Roman" w:eastAsia="Times New Roman" w:cs="Times New Roman"/>
        </w:rPr>
        <w:t xml:space="preserve">” </w:t>
      </w:r>
      <w:r>
        <w:rPr>
          <w:rFonts w:ascii="Nirmala UI" w:hAnsi="Nirmala UI" w:eastAsia="Nirmala UI" w:cs="Nirmala UI"/>
        </w:rPr>
        <w:t>શબ્દનો</w:t>
      </w:r>
      <w:r>
        <w:rPr>
          <w:rFonts w:ascii="Times New Roman" w:hAnsi="Times New Roman" w:eastAsia="Times New Roman" w:cs="Times New Roman"/>
        </w:rPr>
        <w:t xml:space="preserve"> </w:t>
      </w:r>
      <w:r>
        <w:rPr>
          <w:rFonts w:ascii="Nirmala UI" w:hAnsi="Nirmala UI" w:eastAsia="Nirmala UI" w:cs="Nirmala UI"/>
        </w:rPr>
        <w:t>અનુવાદ</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અલગ</w:t>
      </w:r>
      <w:r>
        <w:rPr>
          <w:rFonts w:ascii="Times New Roman" w:hAnsi="Times New Roman" w:eastAsia="Times New Roman" w:cs="Times New Roman"/>
        </w:rPr>
        <w:t>-</w:t>
      </w:r>
      <w:r>
        <w:rPr>
          <w:rFonts w:ascii="Nirmala UI" w:hAnsi="Nirmala UI" w:eastAsia="Nirmala UI" w:cs="Nirmala UI"/>
        </w:rPr>
        <w:t>અલગ</w:t>
      </w:r>
      <w:r>
        <w:rPr>
          <w:rFonts w:ascii="Times New Roman" w:hAnsi="Times New Roman" w:eastAsia="Times New Roman" w:cs="Times New Roman"/>
        </w:rPr>
        <w:t xml:space="preserve"> </w:t>
      </w:r>
      <w:r>
        <w:rPr>
          <w:rFonts w:ascii="Nirmala UI" w:hAnsi="Nirmala UI" w:eastAsia="Nirmala UI" w:cs="Nirmala UI"/>
        </w:rPr>
        <w:t>વચનોમાં</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પામતી</w:t>
      </w:r>
      <w:r>
        <w:rPr>
          <w:rFonts w:ascii="Times New Roman" w:hAnsi="Times New Roman" w:eastAsia="Times New Roman" w:cs="Times New Roman"/>
        </w:rPr>
        <w:t xml:space="preserve"> </w:t>
      </w:r>
      <w:r>
        <w:rPr>
          <w:rFonts w:ascii="Nirmala UI" w:hAnsi="Nirmala UI" w:eastAsia="Nirmala UI" w:cs="Nirmala UI"/>
        </w:rPr>
        <w:t>ઈશ્વરની</w:t>
      </w:r>
      <w:r>
        <w:rPr>
          <w:rFonts w:ascii="Times New Roman" w:hAnsi="Times New Roman" w:eastAsia="Times New Roman" w:cs="Times New Roman"/>
        </w:rPr>
        <w:t xml:space="preserve"> </w:t>
      </w:r>
      <w:r>
        <w:rPr>
          <w:rFonts w:ascii="Nirmala UI" w:hAnsi="Nirmala UI" w:eastAsia="Nirmala UI" w:cs="Nirmala UI"/>
        </w:rPr>
        <w:t>સજા</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વિવાદ</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Alors moi aussi, je marcherai à votre encontre, et je vous châtierai encore sept fois pour vos péchés. Et je ferai venir sur vous l’épée, qui vengera la querelle de mon alliance; et lorsque vous vous rassemblerez dans vos villes, j’enverrai la peste au milieu de vous; et vous serez livrés entre les mains de l’ennemi. Lévitique 26:24, 25.</w:t>
      </w:r>
    </w:p>
    <w:p>
      <w:pPr>
        <w:pStyle w:val="ArticleBody"/>
        <w:jc w:val="left"/>
      </w:pPr>
      <w:r>
        <w:rPr>
          <w:rFonts w:ascii="Times New Roman" w:hAnsi="Times New Roman" w:eastAsia="Times New Roman" w:cs="Times New Roman"/>
        </w:rPr>
        <w:t>Le mot traduit par « sept fois », qui représente la « querelle » de l’alliance de Dieu dans Lévitique vingt-six, et qui est « sheba » dans le mot Beer-Shéba, est aussi traduit à deux reprises dans le livre de Daniel : une fois par « le serment » qui est écrit dans la loi de Moïse, et une fois par « la malédiction ». Tant « le serment » que « la malédiction » sont traduits du mot « sheba », car celui-ci ne signifie pas seulement « sept », mais il renferme aussi la notion d’une alliance ou d’un « serment » qui, s’il est rompu, produit une « malédiction ».</w:t>
      </w:r>
    </w:p>
    <w:p>
      <w:pPr>
        <w:pStyle w:val="ArticleScripture"/>
        <w:jc w:val="left"/>
      </w:pPr>
      <w:r>
        <w:rPr>
          <w:rFonts w:ascii="Times New Roman" w:hAnsi="Times New Roman" w:eastAsia="Times New Roman" w:cs="Times New Roman"/>
        </w:rPr>
        <w:t>Oui, tout Israël a transgressé ta loi, en se détournant pour ne pas obéir à ta voix; c’est pourquoi la malédiction s’est répandue sur nous, ainsi que le serment qui est écrit dans la loi de Moïse, serviteur de Dieu, parce que nous avons péché contre lui. Daniel 9:11.</w:t>
      </w:r>
    </w:p>
    <w:p>
      <w:pPr>
        <w:pStyle w:val="ArticleBody"/>
        <w:jc w:val="left"/>
      </w:pPr>
      <w:r>
        <w:rPr>
          <w:rFonts w:ascii="Times New Roman" w:hAnsi="Times New Roman" w:eastAsia="Times New Roman" w:cs="Times New Roman"/>
        </w:rPr>
        <w:t>Le mot « sheba », ou « sept », qui représentait les sept agneaux offerts près d’un puits à Beer-Schéba, représente l’alliance. Et l’alliance de Dieu, ou Son serment, déclare que les obéissants vivent et que les désobéissants meurent.</w:t>
      </w:r>
    </w:p>
    <w:p>
      <w:pPr>
        <w:pStyle w:val="ArticleBody"/>
        <w:jc w:val="left"/>
      </w:pPr>
      <w:r>
        <w:rPr>
          <w:rFonts w:ascii="Nirmala UI" w:hAnsi="Nirmala UI" w:eastAsia="Nirmala UI" w:cs="Nirmala UI"/>
        </w:rPr>
        <w:t>ಬೇರ್ಷೆಬಾ</w:t>
      </w:r>
      <w:r>
        <w:rPr>
          <w:rFonts w:ascii="Times New Roman" w:hAnsi="Times New Roman" w:eastAsia="Times New Roman" w:cs="Times New Roman"/>
        </w:rPr>
        <w:t xml:space="preserve"> </w:t>
      </w:r>
      <w:r>
        <w:rPr>
          <w:rFonts w:ascii="Nirmala UI" w:hAnsi="Nirmala UI" w:eastAsia="Nirmala UI" w:cs="Nirmala UI"/>
        </w:rPr>
        <w:t>ಅಬ್ರಹಾಮನ</w:t>
      </w:r>
      <w:r>
        <w:rPr>
          <w:rFonts w:ascii="Times New Roman" w:hAnsi="Times New Roman" w:eastAsia="Times New Roman" w:cs="Times New Roman"/>
        </w:rPr>
        <w:t xml:space="preserve"> </w:t>
      </w:r>
      <w:r>
        <w:rPr>
          <w:rFonts w:ascii="Nirmala UI" w:hAnsi="Nirmala UI" w:eastAsia="Nirmala UI" w:cs="Nirmala UI"/>
        </w:rPr>
        <w:t>ನಂಬಿಕೆಯಿಂದ</w:t>
      </w:r>
      <w:r>
        <w:rPr>
          <w:rFonts w:ascii="Times New Roman" w:hAnsi="Times New Roman" w:eastAsia="Times New Roman" w:cs="Times New Roman"/>
        </w:rPr>
        <w:t xml:space="preserve"> </w:t>
      </w:r>
      <w:r>
        <w:rPr>
          <w:rFonts w:ascii="Nirmala UI" w:hAnsi="Nirmala UI" w:eastAsia="Nirmala UI" w:cs="Nirmala UI"/>
        </w:rPr>
        <w:t>ಪ್ರತಿನಿಧಿಸಲ್ಪಡುವ</w:t>
      </w:r>
      <w:r>
        <w:rPr>
          <w:rFonts w:ascii="Times New Roman" w:hAnsi="Times New Roman" w:eastAsia="Times New Roman" w:cs="Times New Roman"/>
        </w:rPr>
        <w:t xml:space="preserve"> </w:t>
      </w:r>
      <w:r>
        <w:rPr>
          <w:rFonts w:ascii="Nirmala UI" w:hAnsi="Nirmala UI" w:eastAsia="Nirmala UI" w:cs="Nirmala UI"/>
        </w:rPr>
        <w:t>ಒಡಂಬಡಿಕೆಯನ್ನು</w:t>
      </w:r>
      <w:r>
        <w:rPr>
          <w:rFonts w:ascii="Times New Roman" w:hAnsi="Times New Roman" w:eastAsia="Times New Roman" w:cs="Times New Roman"/>
        </w:rPr>
        <w:t xml:space="preserve"> </w:t>
      </w:r>
      <w:r>
        <w:rPr>
          <w:rFonts w:ascii="Nirmala UI" w:hAnsi="Nirmala UI" w:eastAsia="Nirmala UI" w:cs="Nirmala UI"/>
        </w:rPr>
        <w:t>ಸಂಕೇತಿಸುತ್ತದೆ</w:t>
      </w:r>
      <w:r>
        <w:rPr>
          <w:rFonts w:ascii="Times New Roman" w:hAnsi="Times New Roman" w:eastAsia="Times New Roman" w:cs="Times New Roman"/>
        </w:rPr>
        <w:t xml:space="preserve">. </w:t>
      </w:r>
      <w:r>
        <w:rPr>
          <w:rFonts w:ascii="Nirmala UI" w:hAnsi="Nirmala UI" w:eastAsia="Nirmala UI" w:cs="Nirmala UI"/>
        </w:rPr>
        <w:t>ಆದಕಾರಣ</w:t>
      </w:r>
      <w:r>
        <w:rPr>
          <w:rFonts w:ascii="Times New Roman" w:hAnsi="Times New Roman" w:eastAsia="Times New Roman" w:cs="Times New Roman"/>
        </w:rPr>
        <w:t xml:space="preserve">, </w:t>
      </w:r>
      <w:r>
        <w:rPr>
          <w:rFonts w:ascii="Nirmala UI" w:hAnsi="Nirmala UI" w:eastAsia="Nirmala UI" w:cs="Nirmala UI"/>
        </w:rPr>
        <w:t>ಅಮೋಸನ</w:t>
      </w:r>
      <w:r>
        <w:rPr>
          <w:rFonts w:ascii="Times New Roman" w:hAnsi="Times New Roman" w:eastAsia="Times New Roman" w:cs="Times New Roman"/>
        </w:rPr>
        <w:t xml:space="preserve"> </w:t>
      </w:r>
      <w:r>
        <w:rPr>
          <w:rFonts w:ascii="Nirmala UI" w:hAnsi="Nirmala UI" w:eastAsia="Nirmala UI" w:cs="Nirmala UI"/>
        </w:rPr>
        <w:t>ಎಂಟನೇ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ಸುಂದರ</w:t>
      </w:r>
      <w:r>
        <w:rPr>
          <w:rFonts w:ascii="Times New Roman" w:hAnsi="Times New Roman" w:eastAsia="Times New Roman" w:cs="Times New Roman"/>
        </w:rPr>
        <w:t xml:space="preserve"> </w:t>
      </w:r>
      <w:r>
        <w:rPr>
          <w:rFonts w:ascii="Nirmala UI" w:hAnsi="Nirmala UI" w:eastAsia="Nirmala UI" w:cs="Nirmala UI"/>
        </w:rPr>
        <w:t>ಕನ್ಯೆಗಳು</w:t>
      </w:r>
      <w:r>
        <w:rPr>
          <w:rFonts w:ascii="Times New Roman" w:hAnsi="Times New Roman" w:eastAsia="Times New Roman" w:cs="Times New Roman"/>
        </w:rPr>
        <w:t xml:space="preserve">,” </w:t>
      </w:r>
      <w:r>
        <w:rPr>
          <w:rFonts w:ascii="Nirmala UI" w:hAnsi="Nirmala UI" w:eastAsia="Nirmala UI" w:cs="Nirmala UI"/>
        </w:rPr>
        <w:t>ಮತ್ತಾಯನ</w:t>
      </w:r>
      <w:r>
        <w:rPr>
          <w:rFonts w:ascii="Times New Roman" w:hAnsi="Times New Roman" w:eastAsia="Times New Roman" w:cs="Times New Roman"/>
        </w:rPr>
        <w:t xml:space="preserve"> </w:t>
      </w:r>
      <w:r>
        <w:rPr>
          <w:rFonts w:ascii="Nirmala UI" w:hAnsi="Nirmala UI" w:eastAsia="Nirmala UI" w:cs="Nirmala UI"/>
        </w:rPr>
        <w:t>ಇಪ್ಪತ್ತೈದನೇ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ಮೂರ್ಖ</w:t>
      </w:r>
      <w:r>
        <w:rPr>
          <w:rFonts w:ascii="Times New Roman" w:hAnsi="Times New Roman" w:eastAsia="Times New Roman" w:cs="Times New Roman"/>
        </w:rPr>
        <w:t xml:space="preserve"> </w:t>
      </w:r>
      <w:r>
        <w:rPr>
          <w:rFonts w:ascii="Nirmala UI" w:hAnsi="Nirmala UI" w:eastAsia="Nirmala UI" w:cs="Nirmala UI"/>
        </w:rPr>
        <w:t>ಕನ್ಯೆಗಳು</w:t>
      </w:r>
      <w:r>
        <w:rPr>
          <w:rFonts w:ascii="Times New Roman" w:hAnsi="Times New Roman" w:eastAsia="Times New Roman" w:cs="Times New Roman"/>
        </w:rPr>
        <w:t xml:space="preserve">” </w:t>
      </w:r>
      <w:r>
        <w:rPr>
          <w:rFonts w:ascii="Nirmala UI" w:hAnsi="Nirmala UI" w:eastAsia="Nirmala UI" w:cs="Nirmala UI"/>
        </w:rPr>
        <w:t>ಆಗಿಯೂ</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ಹನ್ನೆರಡನೇ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ದುಷ್ಟರು</w:t>
      </w:r>
      <w:r>
        <w:rPr>
          <w:rFonts w:ascii="Times New Roman" w:hAnsi="Times New Roman" w:eastAsia="Times New Roman" w:cs="Times New Roman"/>
        </w:rPr>
        <w:t xml:space="preserve">” </w:t>
      </w:r>
      <w:r>
        <w:rPr>
          <w:rFonts w:ascii="Nirmala UI" w:hAnsi="Nirmala UI" w:eastAsia="Nirmala UI" w:cs="Nirmala UI"/>
        </w:rPr>
        <w:t>ಆಗಿಯೂ</w:t>
      </w:r>
      <w:r>
        <w:rPr>
          <w:rFonts w:ascii="Times New Roman" w:hAnsi="Times New Roman" w:eastAsia="Times New Roman" w:cs="Times New Roman"/>
        </w:rPr>
        <w:t xml:space="preserve"> </w:t>
      </w:r>
      <w:r>
        <w:rPr>
          <w:rFonts w:ascii="Nirmala UI" w:hAnsi="Nirmala UI" w:eastAsia="Nirmala UI" w:cs="Nirmala UI"/>
        </w:rPr>
        <w:t>ಇರುವವರು</w:t>
      </w:r>
      <w:r>
        <w:rPr>
          <w:rFonts w:ascii="Times New Roman" w:hAnsi="Times New Roman" w:eastAsia="Times New Roman" w:cs="Times New Roman"/>
        </w:rPr>
        <w:t xml:space="preserve"> “</w:t>
      </w:r>
      <w:r>
        <w:rPr>
          <w:rFonts w:ascii="Nirmala UI" w:hAnsi="Nirmala UI" w:eastAsia="Nirmala UI" w:cs="Nirmala UI"/>
        </w:rPr>
        <w:t>ಸಮಾರ್ಯದ</w:t>
      </w:r>
      <w:r>
        <w:rPr>
          <w:rFonts w:ascii="Times New Roman" w:hAnsi="Times New Roman" w:eastAsia="Times New Roman" w:cs="Times New Roman"/>
        </w:rPr>
        <w:t xml:space="preserve"> </w:t>
      </w:r>
      <w:r>
        <w:rPr>
          <w:rFonts w:ascii="Nirmala UI" w:hAnsi="Nirmala UI" w:eastAsia="Nirmala UI" w:cs="Nirmala UI"/>
        </w:rPr>
        <w:t>ಪಾಪದ</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ಪ್ರಮಾಣ</w:t>
      </w:r>
      <w:r>
        <w:rPr>
          <w:rFonts w:ascii="Times New Roman" w:hAnsi="Times New Roman" w:eastAsia="Times New Roman" w:cs="Times New Roman"/>
        </w:rPr>
        <w:t xml:space="preserve"> </w:t>
      </w:r>
      <w:r>
        <w:rPr>
          <w:rFonts w:ascii="Nirmala UI" w:hAnsi="Nirmala UI" w:eastAsia="Nirmala UI" w:cs="Nirmala UI"/>
        </w:rPr>
        <w:t>ಮಾಡುವಾಗ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ಅಹಾಬನೊಂದಿಗೆ</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ರಾಷ್ಟ್ರಗಳು</w:t>
      </w:r>
      <w:r>
        <w:rPr>
          <w:rFonts w:ascii="Times New Roman" w:hAnsi="Times New Roman" w:eastAsia="Times New Roman" w:cs="Times New Roman"/>
        </w:rPr>
        <w:t xml:space="preserve">) </w:t>
      </w:r>
      <w:r>
        <w:rPr>
          <w:rFonts w:ascii="Nirmala UI" w:hAnsi="Nirmala UI" w:eastAsia="Nirmala UI" w:cs="Nirmala UI"/>
        </w:rPr>
        <w:t>ವ್ಯಭಿಚಾರ</w:t>
      </w:r>
      <w:r>
        <w:rPr>
          <w:rFonts w:ascii="Times New Roman" w:hAnsi="Times New Roman" w:eastAsia="Times New Roman" w:cs="Times New Roman"/>
        </w:rPr>
        <w:t xml:space="preserve"> </w:t>
      </w:r>
      <w:r>
        <w:rPr>
          <w:rFonts w:ascii="Nirmala UI" w:hAnsi="Nirmala UI" w:eastAsia="Nirmala UI" w:cs="Nirmala UI"/>
        </w:rPr>
        <w:t>ಮಾಡಿದ</w:t>
      </w:r>
      <w:r>
        <w:rPr>
          <w:rFonts w:ascii="Times New Roman" w:hAnsi="Times New Roman" w:eastAsia="Times New Roman" w:cs="Times New Roman"/>
        </w:rPr>
        <w:t xml:space="preserve"> </w:t>
      </w:r>
      <w:r>
        <w:rPr>
          <w:rFonts w:ascii="Nirmala UI" w:hAnsi="Nirmala UI" w:eastAsia="Nirmala UI" w:cs="Nirmala UI"/>
        </w:rPr>
        <w:t>ಯೆಜಬೆಲಿನ</w:t>
      </w:r>
      <w:r>
        <w:rPr>
          <w:rFonts w:ascii="Times New Roman" w:hAnsi="Times New Roman" w:eastAsia="Times New Roman" w:cs="Times New Roman"/>
        </w:rPr>
        <w:t xml:space="preserve"> (</w:t>
      </w:r>
      <w:r>
        <w:rPr>
          <w:rFonts w:ascii="Nirmala UI" w:hAnsi="Nirmala UI" w:eastAsia="Nirmala UI" w:cs="Nirmala UI"/>
        </w:rPr>
        <w:t>ಪಾಪಾಸನದ</w:t>
      </w:r>
      <w:r>
        <w:rPr>
          <w:rFonts w:ascii="Times New Roman" w:hAnsi="Times New Roman" w:eastAsia="Times New Roman" w:cs="Times New Roman"/>
        </w:rPr>
        <w:t xml:space="preserve">) </w:t>
      </w:r>
      <w:r>
        <w:rPr>
          <w:rFonts w:ascii="Nirmala UI" w:hAnsi="Nirmala UI" w:eastAsia="Nirmala UI" w:cs="Nirmala UI"/>
        </w:rPr>
        <w:t>ಮುದ್ರೆಗೆ</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ನಿಷ್ಠೆಯನ್ನು</w:t>
      </w:r>
      <w:r>
        <w:rPr>
          <w:rFonts w:ascii="Times New Roman" w:hAnsi="Times New Roman" w:eastAsia="Times New Roman" w:cs="Times New Roman"/>
        </w:rPr>
        <w:t xml:space="preserve"> </w:t>
      </w:r>
      <w:r>
        <w:rPr>
          <w:rFonts w:ascii="Nirmala UI" w:hAnsi="Nirmala UI" w:eastAsia="Nirmala UI" w:cs="Nirmala UI"/>
        </w:rPr>
        <w:t>ಪ್ರಮಾಣ</w:t>
      </w:r>
      <w:r>
        <w:rPr>
          <w:rFonts w:ascii="Times New Roman" w:hAnsi="Times New Roman" w:eastAsia="Times New Roman" w:cs="Times New Roman"/>
        </w:rPr>
        <w:t xml:space="preserve"> </w:t>
      </w:r>
      <w:r>
        <w:rPr>
          <w:rFonts w:ascii="Nirmala UI" w:hAnsi="Nirmala UI" w:eastAsia="Nirmala UI" w:cs="Nirmala UI"/>
        </w:rPr>
        <w:t>ಮಾಡುತ್ತಿದ್ದಾರೆ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ಆಕೆಯು</w:t>
      </w:r>
      <w:r>
        <w:rPr>
          <w:rFonts w:ascii="Times New Roman" w:hAnsi="Times New Roman" w:eastAsia="Times New Roman" w:cs="Times New Roman"/>
        </w:rPr>
        <w:t xml:space="preserve"> </w:t>
      </w:r>
      <w:r>
        <w:rPr>
          <w:rFonts w:ascii="Nirmala UI" w:hAnsi="Nirmala UI" w:eastAsia="Nirmala UI" w:cs="Nirmala UI"/>
        </w:rPr>
        <w:t>ಮೃಗದ</w:t>
      </w:r>
      <w:r>
        <w:rPr>
          <w:rFonts w:ascii="Times New Roman" w:hAnsi="Times New Roman" w:eastAsia="Times New Roman" w:cs="Times New Roman"/>
        </w:rPr>
        <w:t xml:space="preserve"> </w:t>
      </w:r>
      <w:r>
        <w:rPr>
          <w:rFonts w:ascii="Nirmala UI" w:hAnsi="Nirmala UI" w:eastAsia="Nirmala UI" w:cs="Nirmala UI"/>
        </w:rPr>
        <w:t>ಪ್ರತಿಮೆಯ</w:t>
      </w:r>
      <w:r>
        <w:rPr>
          <w:rFonts w:ascii="Times New Roman" w:hAnsi="Times New Roman" w:eastAsia="Times New Roman" w:cs="Times New Roman"/>
        </w:rPr>
        <w:t xml:space="preserve"> (</w:t>
      </w:r>
      <w:r>
        <w:rPr>
          <w:rFonts w:ascii="Nirmala UI" w:hAnsi="Nirmala UI" w:eastAsia="Nirmala UI" w:cs="Nirmala UI"/>
        </w:rPr>
        <w:t>ಯುನೈಟೆಡ್</w:t>
      </w:r>
      <w:r>
        <w:rPr>
          <w:rFonts w:ascii="Times New Roman" w:hAnsi="Times New Roman" w:eastAsia="Times New Roman" w:cs="Times New Roman"/>
        </w:rPr>
        <w:t xml:space="preserve"> </w:t>
      </w:r>
      <w:r>
        <w:rPr>
          <w:rFonts w:ascii="Nirmala UI" w:hAnsi="Nirmala UI" w:eastAsia="Nirmala UI" w:cs="Nirmala UI"/>
        </w:rPr>
        <w:t>ಸ್ಟೇಟ್ಸ್</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ಆಳುತ್ತಾಳೆ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Ni wakati wale wale “wanawali wazuri” wanaposema, “Mungu wako, Ee Dani, yu hai,” wanainamia sanamu ya dhahabu ya ndama, kama ilivyotambuliwa na mashahidi wawili (Haruni na Yeroboamu). Ndama wa dhahabu anawakilisha sanamu ya yule mnyama, ambayo ni muungano wa kanisa na serikali.</w:t>
      </w:r>
    </w:p>
    <w:p>
      <w:pPr>
        <w:pStyle w:val="ArticleBody"/>
        <w:jc w:val="left"/>
      </w:pPr>
      <w:r>
        <w:rPr>
          <w:rFonts w:ascii="Times New Roman" w:hAnsi="Times New Roman" w:eastAsia="Times New Roman" w:cs="Times New Roman"/>
        </w:rPr>
        <w:t>Fa ne mi same maoli ketekepe he “fifili” ʻo Peasipa “ʻoku moʻui,” ko e lea “fifili” ʻoku ʻuhinga ia ko e “hala.” Ko e lea tatau pē eni ʻoku ngāueʻaki ke fakahaaʻi ʻa e “ngaahi hala” ʻo e “ngaahi hala motuʻa” ʻi Selimaia 6:16. ʻOku pehē ʻe he kau taʻahine ko ia, neongo kuo nau punou ki he ʻīmisi ʻo e manu fekai pea tali ʻa e fakaʻilonga ʻo hono mafai, ʻoku nau kei hoko pē ko e fānau ʻa ʻEpalahame. ʻOku nau lele fakavavevave holo ʻi he Folofola ʻa e ʻOtua ʻo kumi ki he pōpoaki ʻoku fakafofongaʻi ʻe he “hahake” mo e “tokelau” pea mei he “tahi ki he tahi,” pea kei pehē pē ko e Kau ʻAteniveti ʻo e ʻAho Fitu, ka kuo tōmui.</w:t>
      </w:r>
    </w:p>
    <w:p>
      <w:pPr>
        <w:pStyle w:val="ArticleScripture"/>
        <w:jc w:val="left"/>
      </w:pPr>
      <w:r>
        <w:rPr>
          <w:rFonts w:ascii="Times New Roman" w:hAnsi="Times New Roman" w:eastAsia="Times New Roman" w:cs="Times New Roman"/>
        </w:rPr>
        <w:t>Ma habari zitokazo mashariki na kaskazini zitamfadhaisha; kwa hiyo atatoka kwa ghadhabu kuu ili kuharibu, na kuwaangamiza kabisa wengi. Naye atasimamisha hema za jumba lake la kifalme kati ya bahari katika mlima mtakatifu wenye utukufu; hata hivyo atafika mwisho wake, wala hatakuwa na mtu wa kumsaidia. Danieli 11:44, 45.</w:t>
      </w:r>
    </w:p>
    <w:p>
      <w:pPr>
        <w:pStyle w:val="ArticleBody"/>
        <w:jc w:val="left"/>
      </w:pPr>
      <w:r>
        <w:rPr>
          <w:rFonts w:ascii="Nirmala UI" w:hAnsi="Nirmala UI" w:eastAsia="Nirmala UI" w:cs="Nirmala UI"/>
        </w:rPr>
        <w:t>ওই</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পূর্ববর্তী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অন্তিমকালে</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বর্ণিত</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প্রাক্তন</w:t>
      </w:r>
      <w:r>
        <w:rPr>
          <w:rFonts w:ascii="Times New Roman" w:hAnsi="Times New Roman" w:eastAsia="Times New Roman" w:cs="Times New Roman"/>
        </w:rPr>
        <w:t xml:space="preserve"> </w:t>
      </w:r>
      <w:r>
        <w:rPr>
          <w:rFonts w:ascii="Nirmala UI" w:hAnsi="Nirmala UI" w:eastAsia="Nirmala UI" w:cs="Nirmala UI"/>
        </w:rPr>
        <w:t>সোভিয়েত</w:t>
      </w:r>
      <w:r>
        <w:rPr>
          <w:rFonts w:ascii="Times New Roman" w:hAnsi="Times New Roman" w:eastAsia="Times New Roman" w:cs="Times New Roman"/>
        </w:rPr>
        <w:t xml:space="preserve"> </w:t>
      </w:r>
      <w:r>
        <w:rPr>
          <w:rFonts w:ascii="Nirmala UI" w:hAnsi="Nirmala UI" w:eastAsia="Nirmala UI" w:cs="Nirmala UI"/>
        </w:rPr>
        <w:t>ইউনিয়নের</w:t>
      </w:r>
      <w:r>
        <w:rPr>
          <w:rFonts w:ascii="Times New Roman" w:hAnsi="Times New Roman" w:eastAsia="Times New Roman" w:cs="Times New Roman"/>
        </w:rPr>
        <w:t xml:space="preserve"> </w:t>
      </w:r>
      <w:r>
        <w:rPr>
          <w:rFonts w:ascii="Nirmala UI" w:hAnsi="Nirmala UI" w:eastAsia="Nirmala UI" w:cs="Nirmala UI"/>
        </w:rPr>
        <w:t>প্রতিনিধিত্বকারী</w:t>
      </w:r>
      <w:r>
        <w:rPr>
          <w:rFonts w:ascii="Times New Roman" w:hAnsi="Times New Roman" w:eastAsia="Times New Roman" w:cs="Times New Roman"/>
        </w:rPr>
        <w:t xml:space="preserve"> “</w:t>
      </w:r>
      <w:r>
        <w:rPr>
          <w:rFonts w:ascii="Nirmala UI" w:hAnsi="Nirmala UI" w:eastAsia="Nirmala UI" w:cs="Nirmala UI"/>
        </w:rPr>
        <w:t>দেশসমূহ</w:t>
      </w:r>
      <w:r>
        <w:rPr>
          <w:rFonts w:ascii="Times New Roman" w:hAnsi="Times New Roman" w:eastAsia="Times New Roman" w:cs="Times New Roman"/>
        </w:rPr>
        <w:t xml:space="preserve">” </w:t>
      </w:r>
      <w:r>
        <w:rPr>
          <w:rFonts w:ascii="Nirmala UI" w:hAnsi="Nirmala UI" w:eastAsia="Nirmala UI" w:cs="Nirmala UI"/>
        </w:rPr>
        <w:t>পাপতন্ত্র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ঝেঁটিয়ে</w:t>
      </w:r>
      <w:r>
        <w:rPr>
          <w:rFonts w:ascii="Times New Roman" w:hAnsi="Times New Roman" w:eastAsia="Times New Roman" w:cs="Times New Roman"/>
        </w:rPr>
        <w:t xml:space="preserve"> </w:t>
      </w:r>
      <w:r>
        <w:rPr>
          <w:rFonts w:ascii="Nirmala UI" w:hAnsi="Nirmala UI" w:eastAsia="Nirmala UI" w:cs="Nirmala UI"/>
        </w:rPr>
        <w:t>সরিয়ে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পাপতন্ত্রের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উত্থান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পতনকে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উত্তরের</w:t>
      </w:r>
      <w:r>
        <w:rPr>
          <w:rFonts w:ascii="Times New Roman" w:hAnsi="Times New Roman" w:eastAsia="Times New Roman" w:cs="Times New Roman"/>
        </w:rPr>
        <w:t xml:space="preserve"> </w:t>
      </w:r>
      <w:r>
        <w:rPr>
          <w:rFonts w:ascii="Nirmala UI" w:hAnsi="Nirmala UI" w:eastAsia="Nirmala UI" w:cs="Nirmala UI"/>
        </w:rPr>
        <w:t>রাজাকে</w:t>
      </w:r>
      <w:r>
        <w:rPr>
          <w:rFonts w:ascii="Times New Roman" w:hAnsi="Times New Roman" w:eastAsia="Times New Roman" w:cs="Times New Roman"/>
        </w:rPr>
        <w:t xml:space="preserve"> (</w:t>
      </w:r>
      <w:r>
        <w:rPr>
          <w:rFonts w:ascii="Nirmala UI" w:hAnsi="Nirmala UI" w:eastAsia="Nirmala UI" w:cs="Nirmala UI"/>
        </w:rPr>
        <w:t>পোপকে</w:t>
      </w:r>
      <w:r>
        <w:rPr>
          <w:rFonts w:ascii="Times New Roman" w:hAnsi="Times New Roman" w:eastAsia="Times New Roman" w:cs="Times New Roman"/>
        </w:rPr>
        <w:t xml:space="preserve">) </w:t>
      </w:r>
      <w:r>
        <w:rPr>
          <w:rFonts w:ascii="Nirmala UI" w:hAnsi="Nirmala UI" w:eastAsia="Nirmala UI" w:cs="Nirmala UI"/>
        </w:rPr>
        <w:t>ক্রোধান্বিত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নির্যাতন</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পঁয়তাল্লিশতম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পাপতন্ত্র</w:t>
      </w:r>
      <w:r>
        <w:rPr>
          <w:rFonts w:ascii="Times New Roman" w:hAnsi="Times New Roman" w:eastAsia="Times New Roman" w:cs="Times New Roman"/>
        </w:rPr>
        <w:t xml:space="preserve"> “</w:t>
      </w:r>
      <w:r>
        <w:rPr>
          <w:rFonts w:ascii="Nirmala UI" w:hAnsi="Nirmala UI" w:eastAsia="Nirmala UI" w:cs="Nirmala UI"/>
        </w:rPr>
        <w:t>আবাসসমূহ</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হিব্রু</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এসেছে</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প্রাসাদের</w:t>
      </w:r>
      <w:r>
        <w:rPr>
          <w:rFonts w:ascii="Times New Roman" w:hAnsi="Times New Roman" w:eastAsia="Times New Roman" w:cs="Times New Roman"/>
        </w:rPr>
        <w:t>” “</w:t>
      </w:r>
      <w:r>
        <w:rPr>
          <w:rFonts w:ascii="Nirmala UI" w:hAnsi="Nirmala UI" w:eastAsia="Nirmala UI" w:cs="Nirmala UI"/>
        </w:rPr>
        <w:t>আবাস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রাষ্ট্রের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তাঁবুটি</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রাষ্ট্রের</w:t>
      </w:r>
      <w:r>
        <w:rPr>
          <w:rFonts w:ascii="Times New Roman" w:hAnsi="Times New Roman" w:eastAsia="Times New Roman" w:cs="Times New Roman"/>
        </w:rPr>
        <w:t xml:space="preserve"> </w:t>
      </w:r>
      <w:r>
        <w:rPr>
          <w:rFonts w:ascii="Nirmala UI" w:hAnsi="Nirmala UI" w:eastAsia="Nirmala UI" w:cs="Nirmala UI"/>
        </w:rPr>
        <w:t>সম্মিলনকে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w:t>
      </w:r>
      <w:r>
        <w:rPr>
          <w:rFonts w:ascii="Times New Roman" w:hAnsi="Times New Roman" w:eastAsia="Times New Roman" w:cs="Times New Roman"/>
        </w:rPr>
        <w:t xml:space="preserve">” </w:t>
      </w:r>
      <w:r>
        <w:rPr>
          <w:rFonts w:ascii="Nirmala UI" w:hAnsi="Nirmala UI" w:eastAsia="Nirmala UI" w:cs="Nirmala UI"/>
        </w:rPr>
        <w:t>বলেছেন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সমুদ্রসমূহের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বহুবচনে।</w:t>
      </w:r>
      <w:r>
        <w:rPr>
          <w:rFonts w:ascii="Times New Roman" w:hAnsi="Times New Roman" w:eastAsia="Times New Roman" w:cs="Times New Roman"/>
        </w:rPr>
        <w:t xml:space="preserve"> </w:t>
      </w:r>
      <w:r>
        <w:rPr>
          <w:rFonts w:ascii="Nirmala UI" w:hAnsi="Nirmala UI" w:eastAsia="Nirmala UI" w:cs="Nirmala UI"/>
        </w:rPr>
        <w:t>মনোরম</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পঁয়তাল্লিশতম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সতর্কবার্তার</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পরের</w:t>
      </w:r>
      <w:r>
        <w:rPr>
          <w:rFonts w:ascii="Times New Roman" w:hAnsi="Times New Roman" w:eastAsia="Times New Roman" w:cs="Times New Roman"/>
        </w:rPr>
        <w:t xml:space="preserve"> </w:t>
      </w:r>
      <w:r>
        <w:rPr>
          <w:rFonts w:ascii="Nirmala UI" w:hAnsi="Nirmala UI" w:eastAsia="Nirmala UI" w:cs="Nirmala UI"/>
        </w:rPr>
        <w:t>পদেই</w:t>
      </w:r>
      <w:r>
        <w:rPr>
          <w:rFonts w:ascii="Times New Roman" w:hAnsi="Times New Roman" w:eastAsia="Times New Roman" w:cs="Times New Roman"/>
        </w:rPr>
        <w:t xml:space="preserve"> </w:t>
      </w:r>
      <w:r>
        <w:rPr>
          <w:rFonts w:ascii="Nirmala UI" w:hAnsi="Nirmala UI" w:eastAsia="Nirmala UI" w:cs="Nirmala UI"/>
        </w:rPr>
        <w:t>মীখায়েল</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ওঠেন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অনুগ্রহকাল</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আমোস</w:t>
      </w:r>
      <w:r>
        <w:rPr>
          <w:rFonts w:ascii="Times New Roman" w:hAnsi="Times New Roman" w:eastAsia="Times New Roman" w:cs="Times New Roman"/>
        </w:rPr>
        <w:t xml:space="preserve"> </w:t>
      </w:r>
      <w:r>
        <w:rPr>
          <w:rFonts w:ascii="Nirmala UI" w:hAnsi="Nirmala UI" w:eastAsia="Nirmala UI" w:cs="Nirmala UI"/>
        </w:rPr>
        <w:t>৮</w:t>
      </w:r>
      <w:r>
        <w:rPr>
          <w:rFonts w:ascii="Times New Roman" w:hAnsi="Times New Roman" w:eastAsia="Times New Roman" w:cs="Times New Roman"/>
        </w:rPr>
        <w:t>:</w:t>
      </w:r>
      <w:r>
        <w:rPr>
          <w:rFonts w:ascii="Nirmala UI" w:hAnsi="Nirmala UI" w:eastAsia="Nirmala UI" w:cs="Nirmala UI"/>
        </w:rPr>
        <w:t>১৪</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মনোরম</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দাঁড়াবে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عندما تدّعي العذارى الحسان أنهنّ أدفنتست سبتيّون في الوقت عينه الذي يسجدن فيه لصورة الوحش، فإنّ يوحنّا يصوّرهنّ على أنهنّ يهودٌ يقلن إنهنّ يهود ولَسْنَ كذلك. إنهنّ يزعمْنَ أنهنّ أولادُ إبراهيم، لكنهنّ يكذبْن.</w:t>
      </w:r>
    </w:p>
    <w:p>
      <w:pPr>
        <w:pStyle w:val="ArticleScripture"/>
        <w:jc w:val="left"/>
      </w:pP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3:9</w:t>
      </w:r>
    </w:p>
    <w:p>
      <w:pPr>
        <w:pStyle w:val="ArticleBody"/>
        <w:jc w:val="left"/>
      </w:pPr>
      <w:r>
        <w:rPr>
          <w:rFonts w:ascii="Times New Roman" w:hAnsi="Times New Roman" w:eastAsia="Times New Roman" w:cs="Times New Roman"/>
        </w:rPr>
        <w:t>Laba waxay aqbaleen calaamadda baabtiisnimada roomaanka, sidaas darteedna waxay aqbaleen dabeecaddiisa. Waxay sheegtaan inay Yuhuud yihiin, ama waxay sheegtaan inay yihiin Adventist-yo sabtida dhawra, hase yeeshee markaas waxay leeyihiin dabeecadda baadariga, kaas oo waxyaalaha kale ka mid ah ku fadhiya “macbudka Ilaah.” Waxay sheegtaan inay Adventist-yo yihiin, ama waxay sheegtaan inay ku jiraan macbudka Adventist-ka, laakiin Adventist kama aha sida baadarigu uusan Masiixi u ahayn.</w:t>
      </w:r>
    </w:p>
    <w:p>
      <w:pPr>
        <w:pStyle w:val="ArticleBody"/>
        <w:jc w:val="left"/>
      </w:pPr>
      <w:r>
        <w:rPr>
          <w:rFonts w:ascii="Times New Roman" w:hAnsi="Times New Roman" w:eastAsia="Times New Roman" w:cs="Times New Roman"/>
        </w:rPr>
        <w:t>De, der løber “hid og did” for at søge “Herrens ord”, er ikke “de vise”, som omtales i Daniels bog — men de betegnes som “jomfruer”. Det er åbenbart, at de, som i versene vandrer om, sulter og dør af tørst, ikke “forstår” “Herrens ord”, for netop dette søger de i versene. Herrens ord, som åbenbares umiddelbart før nådetiden afsluttes, er Jesu Kristi Åbenbaring, og de dårlige, ugudelige eller “fagre jomfruer” er dem, som ikke forstod den tiltagende kundskab fra Daniels bog. De havde ikke den nødvendige olie til at følge med til brylluppet, sådan som Matthæus lærer.</w:t>
      </w:r>
    </w:p>
    <w:p>
      <w:pPr>
        <w:pStyle w:val="ArticleBody"/>
        <w:jc w:val="left"/>
      </w:pPr>
      <w:r>
        <w:rPr>
          <w:rFonts w:ascii="Times New Roman" w:hAnsi="Times New Roman" w:eastAsia="Times New Roman" w:cs="Times New Roman"/>
        </w:rPr>
        <w:t>That “famine” is the close of probation. Amos’s “virgins,” who in the verses are seeking bread (the Word of God) and water (the Holy Spirit), are Daniel’s “wicked” who do not “understand.” They are Matthew’s foolish virgins who are seeking the Holy Spirit, which, together upon the testimony of three witnesses, identifies those who realize that their opportunity to prepare for the marriage is past and that they have no garment with which to go to the wedding, for they refused to “hear” the special message that is now being unsealed. From the time when the special message is unsealed until the close of probation is the time of the last call for salvation. To come to that time unprepared is to prepare to hear the words, “Too late!”</w:t>
      </w:r>
    </w:p>
    <w:p>
      <w:pPr>
        <w:pStyle w:val="ArticleScripture"/>
        <w:jc w:val="left"/>
      </w:pPr>
      <w:r>
        <w:rPr>
          <w:rFonts w:ascii="Times New Roman" w:hAnsi="Times New Roman" w:eastAsia="Times New Roman" w:cs="Times New Roman"/>
        </w:rPr>
        <w:t>“</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জগৎ</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দুষ্টতার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প্রতারণা</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বিভ্রমের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ছায়ার</w:t>
      </w:r>
      <w:r>
        <w:rPr>
          <w:rFonts w:ascii="Times New Roman" w:hAnsi="Times New Roman" w:eastAsia="Times New Roman" w:cs="Times New Roman"/>
        </w:rPr>
        <w:t xml:space="preserve"> </w:t>
      </w:r>
      <w:r>
        <w:rPr>
          <w:rFonts w:ascii="Nirmala UI" w:hAnsi="Nirmala UI" w:eastAsia="Nirmala UI" w:cs="Nirmala UI"/>
        </w:rPr>
        <w:t>মধ্যেই</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w:t>
      </w:r>
      <w:r>
        <w:rPr>
          <w:rFonts w:ascii="Nirmala UI" w:hAnsi="Nirmala UI" w:eastAsia="Nirmala UI" w:cs="Nirmala UI"/>
        </w:rPr>
        <w:t>নিদ্রিত</w:t>
      </w:r>
      <w:r>
        <w:rPr>
          <w:rFonts w:ascii="Times New Roman" w:hAnsi="Times New Roman" w:eastAsia="Times New Roman" w:cs="Times New Roman"/>
        </w:rPr>
        <w:t xml:space="preserve">, </w:t>
      </w:r>
      <w:r>
        <w:rPr>
          <w:rFonts w:ascii="Nirmala UI" w:hAnsi="Nirmala UI" w:eastAsia="Nirmala UI" w:cs="Nirmala UI"/>
        </w:rPr>
        <w:t>নিদ্রিত।</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জাগিয়ে</w:t>
      </w:r>
      <w:r>
        <w:rPr>
          <w:rFonts w:ascii="Times New Roman" w:hAnsi="Times New Roman" w:eastAsia="Times New Roman" w:cs="Times New Roman"/>
        </w:rPr>
        <w:t xml:space="preserve"> </w:t>
      </w:r>
      <w:r>
        <w:rPr>
          <w:rFonts w:ascii="Nirmala UI" w:hAnsi="Nirmala UI" w:eastAsia="Nirmala UI" w:cs="Nirmala UI"/>
        </w:rPr>
        <w:t>তোলার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বেদনায়</w:t>
      </w:r>
      <w:r>
        <w:rPr>
          <w:rFonts w:ascii="Times New Roman" w:hAnsi="Times New Roman" w:eastAsia="Times New Roman" w:cs="Times New Roman"/>
        </w:rPr>
        <w:t xml:space="preserve"> </w:t>
      </w:r>
      <w:r>
        <w:rPr>
          <w:rFonts w:ascii="Nirmala UI" w:hAnsi="Nirmala UI" w:eastAsia="Nirmala UI" w:cs="Nirmala UI"/>
        </w:rPr>
        <w:t>কাতর</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কণ্ঠ</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ভবিষ্যতের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বহিত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সংকেত</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আসিতেছেন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সাক্ষাৎ</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প্রদীপ</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সংগ্রহ</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বিলম্ব</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অতিবিলম্বে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হস্তান্তরযোগ্য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Review and Herald, February 11, 1896.</w:t>
      </w:r>
    </w:p>
    <w:p>
      <w:pPr>
        <w:pStyle w:val="ArticleBody"/>
        <w:jc w:val="left"/>
      </w:pPr>
      <w:r>
        <w:rPr>
          <w:rFonts w:ascii="Times New Roman" w:hAnsi="Times New Roman" w:eastAsia="Times New Roman" w:cs="Times New Roman"/>
        </w:rPr>
        <w:t>Linja profetike e përfaqësuar nga shëmbëlltyra e dhjetë virgjëreshave e përdor vajin për të përfaqësuar karakterin, por “vaji i artë” dhe “vaji i shenjtë” përfaqësojnë gjithashtu mesazhet e “Frymës së Perëndisë.”</w:t>
      </w:r>
    </w:p>
    <w:p>
      <w:pPr>
        <w:pStyle w:val="ArticleScripture"/>
        <w:jc w:val="left"/>
      </w:pPr>
      <w:r>
        <w:rPr>
          <w:rFonts w:ascii="Times New Roman" w:hAnsi="Times New Roman" w:eastAsia="Times New Roman" w:cs="Times New Roman"/>
        </w:rPr>
        <w:t>„Die Gesalbten, die bei dem Herrn der ganzen Erde stehen, nehmen die Stellung ein, die einst Satan als schirmendem Cherub gegeben war. Durch die heiligen Wesen, die seinen Thron umgeben, unterhält der Herr eine beständige Verbindung mit den Bewohnern der Erde. Das goldene Öl stellt die Gnade dar, mit der Gott die Lampen der Gläubigen speist, damit sie nicht flackern und erlöschen. Würde dieses heilige Öl nicht durch die Botschaften des Geistes Gottes vom Himmel ausgegossen, so hätten die Mächte des Bösen die völlige Herrschaft über die Menschen.“</w:t>
      </w:r>
    </w:p>
    <w:p>
      <w:pPr>
        <w:pStyle w:val="ArticleScripture"/>
        <w:jc w:val="left"/>
      </w:pPr>
      <w:r>
        <w:rPr>
          <w:rFonts w:ascii="Times New Roman" w:hAnsi="Times New Roman" w:eastAsia="Times New Roman" w:cs="Times New Roman"/>
        </w:rPr>
        <w:t>“Dieu est déshonoré lorsque nous ne recevons pas les communications qu’il nous envoie. Ainsi, nous refusons l’huile d’or qu’il voudrait répandre dans nos âmes afin qu’elle soit communiquée à ceux qui sont dans les ténèbres. Lorsque retentira l’appel: ‘Voici, l’époux vient; allez à sa rencontre,’ ceux qui n’auront pas reçu l’huile sainte, qui n’auront pas entretenu dans leur cœur la grâce du Christ, découvriront, comme les vierges folles, qu’ils ne sont pas prêts à rencontrer leur Seigneur. Ils n’ont pas, en eux-mêmes, le pouvoir d’obtenir l’huile, et leur vie est ruinée. Mais si l’on demande le Saint-Esprit de Dieu, si nous supplions, comme le fit Moïse: ‘Fais-moi voir ta gloire,’ l’amour de Dieu sera répandu dans nos cœurs. Par les conduits d’or, l’huile d’or nous sera communiquée. ‘Ce n’est ni par la puissance ni par la force, mais c’est par mon Esprit, dit l’Éternel des armées.’ En recevant les rayons éclatants du Soleil de justice, les enfants de Dieu brillent comme des lumières dans le monde.” Review and Herald, 20 juillet 1897.</w:t>
      </w:r>
    </w:p>
    <w:p>
      <w:pPr>
        <w:pStyle w:val="ArticleBody"/>
        <w:jc w:val="left"/>
      </w:pPr>
      <w:r>
        <w:rPr>
          <w:rFonts w:ascii="Times New Roman" w:hAnsi="Times New Roman" w:eastAsia="Times New Roman" w:cs="Times New Roman"/>
        </w:rPr>
        <w:t>En ceux qui « courent çà et là » dans Amos s’ajoute un témoignage supplémentaire identifiant la catégorie des Adventistes du Septième Jour qui rejettent leur responsabilité de « comprendre » le message spécial du livre de l’Apocalypse, descellé lorsque « le temps est proche ».</w:t>
      </w:r>
    </w:p>
    <w:p>
      <w:pPr>
        <w:pStyle w:val="ArticleScripture"/>
        <w:jc w:val="left"/>
      </w:pPr>
      <w:r>
        <w:rPr>
          <w:rFonts w:ascii="Times New Roman" w:hAnsi="Times New Roman" w:eastAsia="Times New Roman" w:cs="Times New Roman"/>
        </w:rPr>
        <w:t>“Ni sasa tunaishi katika wakati wa hatari kuu sana, wala hakuna hata mmoja wetu anayepaswa kuchelewa kutafuta maandalizi kwa ajili ya kuja kwake Kristo. Mtu ye yote asifuate mfano wa wanawali wapumbavu, na kudhani kwamba itakuwa salama kungoja mpaka wakati wa msukosuko ufike kabla ya kupata maandalizi ya tabia yatakayomwezesha kusimama wakati huo. Itakuwa imechelewa mno kuutafuta uadilifu wa Kristo wakati wageni watakapoitwa waingie na kuchunguzwa. Sasa ndio wakati wa kuuvaa uadilifu wa Kristo,—vazi la arusi litakalokustahilisha kuingia katika karamu ya arusi ya Mwana-Kondoo. Katika mfano huo, wanawali wapumbavu wanaonyeshwa wakiomba mafuta, nao wakashindwa kuyapata walipoyaomba. Hili ni ishara ya wale ambao hawajajitayarisha kwa kuikuza tabia itakayoweza kusimama wakati wa msukosuko. Ni kana kwamba wangekwenda kwa jirani zao na kusema, Nipe tabia yako, la sivyo nitapotea. Wale waliokuwa na hekima hawakuweza kuyapa mafuta yao taa zilizokuwa zikizimika za wanawali wapumbavu. Tabia haihamishiki. Haiwezi kununuliwa wala kuuzwa; ni lazima ipatikane. Bwana amempa kila mtu fursa ya kupata tabia ya haki katika saa za rehema; lakini hajaweka njia ambayo kwa hiyo mtu mmoja aweze kumpa mwingine tabia aliyoikuza kwa kupitia mambo magumu, kwa kujifunza masomo kutoka kwa Mwalimu Mkuu, ili aweze kudhihirisha uvumilivu chini ya majaribu, na kutumia imani hata aweze kuondoa milima ya yasiyowezekana. Haiwezekani kuhamisha harufu nzuri ya upendo,—kumpa mwingine upole, busara, na ustahimilivu. Haiwezekani kwa moyo mmoja wa kibinadamu kuumimina ndani ya mwingine upendo wa Mungu na wa wanadamu.”</w:t>
      </w:r>
    </w:p>
    <w:p>
      <w:pPr>
        <w:pStyle w:val="ArticleScripture"/>
        <w:jc w:val="left"/>
      </w:pPr>
      <w:r>
        <w:rPr>
          <w:rFonts w:ascii="Times New Roman" w:hAnsi="Times New Roman" w:eastAsia="Times New Roman" w:cs="Times New Roman"/>
        </w:rPr>
        <w:t>“Ma siku inakuja, nayo iko karibu juu yetu, ambapo kila upande wa tabia utafunuliwa kwa majaribu ya pekee. Wale watakaobaki waaminifu kwa kanuni, wale watakaotumia imani mpaka mwisho, watakuwa ni wale ambao wamejithibitisha kuwa waaminifu chini ya mtihani na taabu katika saa zilizotangulia za muda wao wa rehema, na wameunda tabia kwa mfano wa Kristo. Watakuwa ni wale waliostawisha ukaribu wa karibu na Kristo, ambao, kwa hekima na neema yake, ni washirika wa asili ya uungu. Lakini hakuna mwanadamu awezaye kumpa mwingine kujitoa kwa moyo na sifa bora za akili, na kuziba upungufu wake kwa nguvu za maadili. Kila mmoja wetu aweza kumfanyia mwenzake mengi kwa kuwapa watu mfano unaofanana na wa Kristo, na hivyo kuwaathiri waende kwa Kristo ili wapate haki ambayo bila hiyo hawawezi kusimama katika hukumu. Watu wanapaswa kulitafakari kwa maombi jambo hili la muhimu la kujenga tabia, na kuunda tabia zao kwa kufuata kielelezo cha uungu.”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Avertissements parallèles — Numéro cinq</dc:title>
  <dc:subject>Закрытие сокровищницы изображения: раскрытие финальных сцен великой борьбы</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