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Ufunuo wa Yesu Kristo - Namba Moja</w:t>
      </w:r>
    </w:p>
    <w:p>
      <w:pPr>
        <w:pStyle w:val="ArticleSubtitle"/>
        <w:jc w:val="left"/>
      </w:pPr>
      <w:r>
        <w:rPr>
          <w:rFonts w:ascii="Arial" w:hAnsi="Arial" w:eastAsia="Arial" w:cs="Arial"/>
        </w:rPr>
        <w:t>Mbegu za Ufunuo: Kufunua Tapestri ya Kinabii kutoka Mithali hadi Onyo la Mwisho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Amerika Birleşik Devletleri Kutsal Kitap’ta açıkça tanımlanmaktadır. Dünyanın sonunda Amerika Birleşik Devletleri’ni özellikle tanımlayan birkaç Kutsal Kitap bölümü vardır. Vahiy kitabının on üçüncü bölümünde Amerika Birleşik Devletleri, yerden çıkan ve canavarın işaretine sahip olmayan hiç kimsenin alım satım yapmasına izin vermeyerek bütün dünyayı bundan men eden ikinci, yani iki boynuzlu canavardır.</w:t>
      </w:r>
    </w:p>
    <w:p>
      <w:pPr>
        <w:pStyle w:val="ArticleScripture"/>
        <w:jc w:val="left"/>
      </w:pPr>
      <w:r>
        <w:rPr>
          <w:rFonts w:ascii="Times New Roman" w:hAnsi="Times New Roman" w:eastAsia="Times New Roman" w:cs="Times New Roman"/>
        </w:rPr>
        <w:t>Puis je vis une autre bête montant de la terre; elle avait deux cornes semblables à celles d’un agneau, et elle parlait comme un dragon. Elle exerçait toute l’autorité de la première bête en sa présence, et elle faisait que la terre et ses habitants adorassent la première bête, dont la blessure mortelle avait été guérie. Elle opérait de grands prodiges, jusqu’à faire descendre du feu du ciel sur la terre, à la vue des hommes. Et elle séduisait les habitants de la terre par les prodiges qu’il lui avait été donné d’opérer en présence de la bête, disant aux habitants de la terre de faire une image à la bête qui avait été blessée par l’épée et avait vécu. Et il lui fut donné d’animer l’image de la bête, afin que l’image de la bête parlât, et qu’elle fît mettre à mort tous ceux qui n’adoreraient pas l’image de la bête. Et elle faisait que tous, petits et grands, riches et pauvres, libres et esclaves, reçussent une marque sur leur main droite ou sur leur front, et que nul ne pût acheter ni vendre, s’il n’avait la marque, le nom de la bête, ou le nombre de son nom.</w:t>
      </w:r>
    </w:p>
    <w:p>
      <w:pPr>
        <w:pStyle w:val="ArticleScripture"/>
        <w:jc w:val="left"/>
      </w:pPr>
      <w:r>
        <w:rPr>
          <w:rFonts w:ascii="Times New Roman" w:hAnsi="Times New Roman" w:eastAsia="Times New Roman" w:cs="Times New Roman"/>
        </w:rPr>
        <w:t>Aquí hay sabiduría. El que tiene entendimiento, calcule el número de la bestia, pues es número de hombre; y su número es seiscientos sesenta y seis. Apocalipsis 13:11–18.</w:t>
      </w:r>
    </w:p>
    <w:p>
      <w:pPr>
        <w:pStyle w:val="ArticleBody"/>
        <w:jc w:val="left"/>
      </w:pP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ഭാഗത്തിൽ</w:t>
      </w:r>
      <w:r>
        <w:rPr>
          <w:rFonts w:ascii="Times New Roman" w:hAnsi="Times New Roman" w:eastAsia="Times New Roman" w:cs="Times New Roman"/>
        </w:rPr>
        <w:t xml:space="preserve"> </w:t>
      </w:r>
      <w:r>
        <w:rPr>
          <w:rFonts w:ascii="Nirmala UI" w:hAnsi="Nirmala UI" w:eastAsia="Nirmala UI" w:cs="Nirmala UI"/>
        </w:rPr>
        <w:t>രണ്ടുകൊമ്പുള്ള</w:t>
      </w:r>
      <w:r>
        <w:rPr>
          <w:rFonts w:ascii="Times New Roman" w:hAnsi="Times New Roman" w:eastAsia="Times New Roman" w:cs="Times New Roman"/>
        </w:rPr>
        <w:t xml:space="preserve"> </w:t>
      </w:r>
      <w:r>
        <w:rPr>
          <w:rFonts w:ascii="Nirmala UI" w:hAnsi="Nirmala UI" w:eastAsia="Nirmala UI" w:cs="Nirmala UI"/>
        </w:rPr>
        <w:t>ഭൂമിമൃഗവുമായി</w:t>
      </w:r>
      <w:r>
        <w:rPr>
          <w:rFonts w:ascii="Times New Roman" w:hAnsi="Times New Roman" w:eastAsia="Times New Roman" w:cs="Times New Roman"/>
        </w:rPr>
        <w:t xml:space="preserve"> </w:t>
      </w:r>
      <w:r>
        <w:rPr>
          <w:rFonts w:ascii="Nirmala UI" w:hAnsi="Nirmala UI" w:eastAsia="Nirmala UI" w:cs="Nirmala UI"/>
        </w:rPr>
        <w:t>ബന്ധപ്പെട്ട</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പ്രധാന</w:t>
      </w:r>
      <w:r>
        <w:rPr>
          <w:rFonts w:ascii="Times New Roman" w:hAnsi="Times New Roman" w:eastAsia="Times New Roman" w:cs="Times New Roman"/>
        </w:rPr>
        <w:t xml:space="preserve"> </w:t>
      </w:r>
      <w:r>
        <w:rPr>
          <w:rFonts w:ascii="Nirmala UI" w:hAnsi="Nirmala UI" w:eastAsia="Nirmala UI" w:cs="Nirmala UI"/>
        </w:rPr>
        <w:t>പ്രവാചക</w:t>
      </w:r>
      <w:r>
        <w:rPr>
          <w:rFonts w:ascii="Times New Roman" w:hAnsi="Times New Roman" w:eastAsia="Times New Roman" w:cs="Times New Roman"/>
        </w:rPr>
        <w:t xml:space="preserve"> </w:t>
      </w:r>
      <w:r>
        <w:rPr>
          <w:rFonts w:ascii="Nirmala UI" w:hAnsi="Nirmala UI" w:eastAsia="Nirmala UI" w:cs="Nirmala UI"/>
        </w:rPr>
        <w:t>ലക്ഷണങ്ങൾ</w:t>
      </w:r>
      <w:r>
        <w:rPr>
          <w:rFonts w:ascii="Times New Roman" w:hAnsi="Times New Roman" w:eastAsia="Times New Roman" w:cs="Times New Roman"/>
        </w:rPr>
        <w:t xml:space="preserve"> </w:t>
      </w:r>
      <w:r>
        <w:rPr>
          <w:rFonts w:ascii="Nirmala UI" w:hAnsi="Nirmala UI" w:eastAsia="Nirmala UI" w:cs="Nirmala UI"/>
        </w:rPr>
        <w:t>ഉണ്ട്</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തനിക്കുമുമ്പുണ്ടായിരുന്ന</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അധികാരം</w:t>
      </w:r>
      <w:r>
        <w:rPr>
          <w:rFonts w:ascii="Times New Roman" w:hAnsi="Times New Roman" w:eastAsia="Times New Roman" w:cs="Times New Roman"/>
        </w:rPr>
        <w:t xml:space="preserve"> </w:t>
      </w:r>
      <w:r>
        <w:rPr>
          <w:rFonts w:ascii="Nirmala UI" w:hAnsi="Nirmala UI" w:eastAsia="Nirmala UI" w:cs="Nirmala UI"/>
        </w:rPr>
        <w:t>പ്രവർത്തിപ്പിക്കുന്നു</w:t>
      </w:r>
      <w:r>
        <w:rPr>
          <w:rFonts w:ascii="Times New Roman" w:hAnsi="Times New Roman" w:eastAsia="Times New Roman" w:cs="Times New Roman"/>
        </w:rPr>
        <w:t xml:space="preserve">; </w:t>
      </w:r>
      <w:r>
        <w:rPr>
          <w:rFonts w:ascii="Nirmala UI" w:hAnsi="Nirmala UI" w:eastAsia="Nirmala UI" w:cs="Nirmala UI"/>
        </w:rPr>
        <w:t>തനിക്കുമുമ്പുണ്ടായിരുന്ന</w:t>
      </w:r>
      <w:r>
        <w:rPr>
          <w:rFonts w:ascii="Times New Roman" w:hAnsi="Times New Roman" w:eastAsia="Times New Roman" w:cs="Times New Roman"/>
        </w:rPr>
        <w:t xml:space="preserve"> </w:t>
      </w:r>
      <w:r>
        <w:rPr>
          <w:rFonts w:ascii="Nirmala UI" w:hAnsi="Nirmala UI" w:eastAsia="Nirmala UI" w:cs="Nirmala UI"/>
        </w:rPr>
        <w:t>മൃഗത്തെ</w:t>
      </w:r>
      <w:r>
        <w:rPr>
          <w:rFonts w:ascii="Times New Roman" w:hAnsi="Times New Roman" w:eastAsia="Times New Roman" w:cs="Times New Roman"/>
        </w:rPr>
        <w:t xml:space="preserve"> </w:t>
      </w:r>
      <w:r>
        <w:rPr>
          <w:rFonts w:ascii="Nirmala UI" w:hAnsi="Nirmala UI" w:eastAsia="Nirmala UI" w:cs="Nirmala UI"/>
        </w:rPr>
        <w:t>ലോകത്തിലെ</w:t>
      </w:r>
      <w:r>
        <w:rPr>
          <w:rFonts w:ascii="Times New Roman" w:hAnsi="Times New Roman" w:eastAsia="Times New Roman" w:cs="Times New Roman"/>
        </w:rPr>
        <w:t xml:space="preserve"> </w:t>
      </w:r>
      <w:r>
        <w:rPr>
          <w:rFonts w:ascii="Nirmala UI" w:hAnsi="Nirmala UI" w:eastAsia="Nirmala UI" w:cs="Nirmala UI"/>
        </w:rPr>
        <w:t>എല്ലാവരും</w:t>
      </w:r>
      <w:r>
        <w:rPr>
          <w:rFonts w:ascii="Times New Roman" w:hAnsi="Times New Roman" w:eastAsia="Times New Roman" w:cs="Times New Roman"/>
        </w:rPr>
        <w:t xml:space="preserve"> </w:t>
      </w:r>
      <w:r>
        <w:rPr>
          <w:rFonts w:ascii="Nirmala UI" w:hAnsi="Nirmala UI" w:eastAsia="Nirmala UI" w:cs="Nirmala UI"/>
        </w:rPr>
        <w:t>നമസ്കരിക്കുമാറാക്കുന്നു</w:t>
      </w:r>
      <w:r>
        <w:rPr>
          <w:rFonts w:ascii="Times New Roman" w:hAnsi="Times New Roman" w:eastAsia="Times New Roman" w:cs="Times New Roman"/>
        </w:rPr>
        <w:t xml:space="preserve">; </w:t>
      </w:r>
      <w:r>
        <w:rPr>
          <w:rFonts w:ascii="Nirmala UI" w:hAnsi="Nirmala UI" w:eastAsia="Nirmala UI" w:cs="Nirmala UI"/>
        </w:rPr>
        <w:t>എല്ലാവരും</w:t>
      </w:r>
      <w:r>
        <w:rPr>
          <w:rFonts w:ascii="Times New Roman" w:hAnsi="Times New Roman" w:eastAsia="Times New Roman" w:cs="Times New Roman"/>
        </w:rPr>
        <w:t xml:space="preserve"> </w:t>
      </w:r>
      <w:r>
        <w:rPr>
          <w:rFonts w:ascii="Nirmala UI" w:hAnsi="Nirmala UI" w:eastAsia="Nirmala UI" w:cs="Nirmala UI"/>
        </w:rPr>
        <w:t>കാണുന്ന</w:t>
      </w:r>
      <w:r>
        <w:rPr>
          <w:rFonts w:ascii="Times New Roman" w:hAnsi="Times New Roman" w:eastAsia="Times New Roman" w:cs="Times New Roman"/>
        </w:rPr>
        <w:t xml:space="preserve">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അത്ഭുതങ്ങൾ</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ലോകത്തെയും</w:t>
      </w:r>
      <w:r>
        <w:rPr>
          <w:rFonts w:ascii="Times New Roman" w:hAnsi="Times New Roman" w:eastAsia="Times New Roman" w:cs="Times New Roman"/>
        </w:rPr>
        <w:t xml:space="preserve"> </w:t>
      </w:r>
      <w:r>
        <w:rPr>
          <w:rFonts w:ascii="Nirmala UI" w:hAnsi="Nirmala UI" w:eastAsia="Nirmala UI" w:cs="Nirmala UI"/>
        </w:rPr>
        <w:t>വഞ്ചിക്കുകയും</w:t>
      </w:r>
      <w:r>
        <w:rPr>
          <w:rFonts w:ascii="Times New Roman" w:hAnsi="Times New Roman" w:eastAsia="Times New Roman" w:cs="Times New Roman"/>
        </w:rPr>
        <w:t xml:space="preserve"> </w:t>
      </w:r>
      <w:r>
        <w:rPr>
          <w:rFonts w:ascii="Nirmala UI" w:hAnsi="Nirmala UI" w:eastAsia="Nirmala UI" w:cs="Nirmala UI"/>
        </w:rPr>
        <w:t>തനിക്കുമുമ്പുണ്ടായിരുന്ന</w:t>
      </w:r>
      <w:r>
        <w:rPr>
          <w:rFonts w:ascii="Times New Roman" w:hAnsi="Times New Roman" w:eastAsia="Times New Roman" w:cs="Times New Roman"/>
        </w:rPr>
        <w:t xml:space="preserve"> </w:t>
      </w:r>
      <w:r>
        <w:rPr>
          <w:rFonts w:ascii="Nirmala UI" w:hAnsi="Nirmala UI" w:eastAsia="Nirmala UI" w:cs="Nirmala UI"/>
        </w:rPr>
        <w:t>മൃഗത്തിനൊരു</w:t>
      </w:r>
      <w:r>
        <w:rPr>
          <w:rFonts w:ascii="Times New Roman" w:hAnsi="Times New Roman" w:eastAsia="Times New Roman" w:cs="Times New Roman"/>
        </w:rPr>
        <w:t xml:space="preserve"> </w:t>
      </w:r>
      <w:r>
        <w:rPr>
          <w:rFonts w:ascii="Nirmala UI" w:hAnsi="Nirmala UI" w:eastAsia="Nirmala UI" w:cs="Nirmala UI"/>
        </w:rPr>
        <w:t>പ്രതിമ</w:t>
      </w:r>
      <w:r>
        <w:rPr>
          <w:rFonts w:ascii="Times New Roman" w:hAnsi="Times New Roman" w:eastAsia="Times New Roman" w:cs="Times New Roman"/>
        </w:rPr>
        <w:t xml:space="preserve"> </w:t>
      </w:r>
      <w:r>
        <w:rPr>
          <w:rFonts w:ascii="Nirmala UI" w:hAnsi="Nirmala UI" w:eastAsia="Nirmala UI" w:cs="Nirmala UI"/>
        </w:rPr>
        <w:t>ഉണ്ടാക്കുവാൻ</w:t>
      </w:r>
      <w:r>
        <w:rPr>
          <w:rFonts w:ascii="Times New Roman" w:hAnsi="Times New Roman" w:eastAsia="Times New Roman" w:cs="Times New Roman"/>
        </w:rPr>
        <w:t xml:space="preserve"> </w:t>
      </w:r>
      <w:r>
        <w:rPr>
          <w:rFonts w:ascii="Nirmala UI" w:hAnsi="Nirmala UI" w:eastAsia="Nirmala UI" w:cs="Nirmala UI"/>
        </w:rPr>
        <w:t>ലോകത്തോടു</w:t>
      </w:r>
      <w:r>
        <w:rPr>
          <w:rFonts w:ascii="Times New Roman" w:hAnsi="Times New Roman" w:eastAsia="Times New Roman" w:cs="Times New Roman"/>
        </w:rPr>
        <w:t xml:space="preserve"> </w:t>
      </w:r>
      <w:r>
        <w:rPr>
          <w:rFonts w:ascii="Nirmala UI" w:hAnsi="Nirmala UI" w:eastAsia="Nirmala UI" w:cs="Nirmala UI"/>
        </w:rPr>
        <w:t>കല്പിക്കുകയും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പ്രതിമയ്ക്ക്</w:t>
      </w:r>
      <w:r>
        <w:rPr>
          <w:rFonts w:ascii="Times New Roman" w:hAnsi="Times New Roman" w:eastAsia="Times New Roman" w:cs="Times New Roman"/>
        </w:rPr>
        <w:t xml:space="preserve"> </w:t>
      </w:r>
      <w:r>
        <w:rPr>
          <w:rFonts w:ascii="Nirmala UI" w:hAnsi="Nirmala UI" w:eastAsia="Nirmala UI" w:cs="Nirmala UI"/>
        </w:rPr>
        <w:t>ജീവൻ</w:t>
      </w:r>
      <w:r>
        <w:rPr>
          <w:rFonts w:ascii="Times New Roman" w:hAnsi="Times New Roman" w:eastAsia="Times New Roman" w:cs="Times New Roman"/>
        </w:rPr>
        <w:t xml:space="preserve"> </w:t>
      </w:r>
      <w:r>
        <w:rPr>
          <w:rFonts w:ascii="Nirmala UI" w:hAnsi="Nirmala UI" w:eastAsia="Nirmala UI" w:cs="Nirmala UI"/>
        </w:rPr>
        <w:t>നൽകുന്നു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സംസാരിക്കുന്നു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മരണശിക്ഷയുടെ</w:t>
      </w:r>
      <w:r>
        <w:rPr>
          <w:rFonts w:ascii="Times New Roman" w:hAnsi="Times New Roman" w:eastAsia="Times New Roman" w:cs="Times New Roman"/>
        </w:rPr>
        <w:t xml:space="preserve"> </w:t>
      </w:r>
      <w:r>
        <w:rPr>
          <w:rFonts w:ascii="Nirmala UI" w:hAnsi="Nirmala UI" w:eastAsia="Nirmala UI" w:cs="Nirmala UI"/>
        </w:rPr>
        <w:t>ഭീഷണിയോടെ</w:t>
      </w:r>
      <w:r>
        <w:rPr>
          <w:rFonts w:ascii="Times New Roman" w:hAnsi="Times New Roman" w:eastAsia="Times New Roman" w:cs="Times New Roman"/>
        </w:rPr>
        <w:t xml:space="preserve"> </w:t>
      </w:r>
      <w:r>
        <w:rPr>
          <w:rFonts w:ascii="Nirmala UI" w:hAnsi="Nirmala UI" w:eastAsia="Nirmala UI" w:cs="Nirmala UI"/>
        </w:rPr>
        <w:t>മുഴുവൻ</w:t>
      </w:r>
      <w:r>
        <w:rPr>
          <w:rFonts w:ascii="Times New Roman" w:hAnsi="Times New Roman" w:eastAsia="Times New Roman" w:cs="Times New Roman"/>
        </w:rPr>
        <w:t xml:space="preserve"> </w:t>
      </w:r>
      <w:r>
        <w:rPr>
          <w:rFonts w:ascii="Nirmala UI" w:hAnsi="Nirmala UI" w:eastAsia="Nirmala UI" w:cs="Nirmala UI"/>
        </w:rPr>
        <w:t>ലോകത്തെയും</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പ്രതിമയെ</w:t>
      </w:r>
      <w:r>
        <w:rPr>
          <w:rFonts w:ascii="Times New Roman" w:hAnsi="Times New Roman" w:eastAsia="Times New Roman" w:cs="Times New Roman"/>
        </w:rPr>
        <w:t xml:space="preserve"> </w:t>
      </w:r>
      <w:r>
        <w:rPr>
          <w:rFonts w:ascii="Nirmala UI" w:hAnsi="Nirmala UI" w:eastAsia="Nirmala UI" w:cs="Nirmala UI"/>
        </w:rPr>
        <w:t>നമസ്കരിക്കുവാൻ</w:t>
      </w:r>
      <w:r>
        <w:rPr>
          <w:rFonts w:ascii="Times New Roman" w:hAnsi="Times New Roman" w:eastAsia="Times New Roman" w:cs="Times New Roman"/>
        </w:rPr>
        <w:t xml:space="preserve"> </w:t>
      </w:r>
      <w:r>
        <w:rPr>
          <w:rFonts w:ascii="Nirmala UI" w:hAnsi="Nirmala UI" w:eastAsia="Nirmala UI" w:cs="Nirmala UI"/>
        </w:rPr>
        <w:t>നിർബന്ധിക്കുന്നു</w:t>
      </w:r>
      <w:r>
        <w:rPr>
          <w:rFonts w:ascii="Times New Roman" w:hAnsi="Times New Roman" w:eastAsia="Times New Roman" w:cs="Times New Roman"/>
        </w:rPr>
        <w:t xml:space="preserve">; </w:t>
      </w:r>
      <w:r>
        <w:rPr>
          <w:rFonts w:ascii="Nirmala UI" w:hAnsi="Nirmala UI" w:eastAsia="Nirmala UI" w:cs="Nirmala UI"/>
        </w:rPr>
        <w:t>കൂടാതെ</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മുഴുവൻ</w:t>
      </w:r>
      <w:r>
        <w:rPr>
          <w:rFonts w:ascii="Times New Roman" w:hAnsi="Times New Roman" w:eastAsia="Times New Roman" w:cs="Times New Roman"/>
        </w:rPr>
        <w:t xml:space="preserve"> </w:t>
      </w:r>
      <w:r>
        <w:rPr>
          <w:rFonts w:ascii="Nirmala UI" w:hAnsi="Nirmala UI" w:eastAsia="Nirmala UI" w:cs="Nirmala UI"/>
        </w:rPr>
        <w:t>ലോകത്തെയും</w:t>
      </w:r>
      <w:r>
        <w:rPr>
          <w:rFonts w:ascii="Times New Roman" w:hAnsi="Times New Roman" w:eastAsia="Times New Roman" w:cs="Times New Roman"/>
        </w:rPr>
        <w:t xml:space="preserve"> </w:t>
      </w:r>
      <w:r>
        <w:rPr>
          <w:rFonts w:ascii="Nirmala UI" w:hAnsi="Nirmala UI" w:eastAsia="Nirmala UI" w:cs="Nirmala UI"/>
        </w:rPr>
        <w:t>നെറ്റിയിലോ</w:t>
      </w:r>
      <w:r>
        <w:rPr>
          <w:rFonts w:ascii="Times New Roman" w:hAnsi="Times New Roman" w:eastAsia="Times New Roman" w:cs="Times New Roman"/>
        </w:rPr>
        <w:t xml:space="preserve"> </w:t>
      </w:r>
      <w:r>
        <w:rPr>
          <w:rFonts w:ascii="Nirmala UI" w:hAnsi="Nirmala UI" w:eastAsia="Nirmala UI" w:cs="Nirmala UI"/>
        </w:rPr>
        <w:t>കയ്യിലോ</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മുദ്ര</w:t>
      </w:r>
      <w:r>
        <w:rPr>
          <w:rFonts w:ascii="Times New Roman" w:hAnsi="Times New Roman" w:eastAsia="Times New Roman" w:cs="Times New Roman"/>
        </w:rPr>
        <w:t xml:space="preserve"> </w:t>
      </w:r>
      <w:r>
        <w:rPr>
          <w:rFonts w:ascii="Nirmala UI" w:hAnsi="Nirmala UI" w:eastAsia="Nirmala UI" w:cs="Nirmala UI"/>
        </w:rPr>
        <w:t>സ്വീകരിക്കുവാൻ</w:t>
      </w:r>
      <w:r>
        <w:rPr>
          <w:rFonts w:ascii="Times New Roman" w:hAnsi="Times New Roman" w:eastAsia="Times New Roman" w:cs="Times New Roman"/>
        </w:rPr>
        <w:t xml:space="preserve"> </w:t>
      </w:r>
      <w:r>
        <w:rPr>
          <w:rFonts w:ascii="Nirmala UI" w:hAnsi="Nirmala UI" w:eastAsia="Nirmala UI" w:cs="Nirmala UI"/>
        </w:rPr>
        <w:t>നിർബന്ധിക്കുകയും</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മുദ്രയോ</w:t>
      </w:r>
      <w:r>
        <w:rPr>
          <w:rFonts w:ascii="Times New Roman" w:hAnsi="Times New Roman" w:eastAsia="Times New Roman" w:cs="Times New Roman"/>
        </w:rPr>
        <w:t xml:space="preserve"> </w:t>
      </w:r>
      <w:r>
        <w:rPr>
          <w:rFonts w:ascii="Nirmala UI" w:hAnsi="Nirmala UI" w:eastAsia="Nirmala UI" w:cs="Nirmala UI"/>
        </w:rPr>
        <w:t>പേരോ</w:t>
      </w:r>
      <w:r>
        <w:rPr>
          <w:rFonts w:ascii="Times New Roman" w:hAnsi="Times New Roman" w:eastAsia="Times New Roman" w:cs="Times New Roman"/>
        </w:rPr>
        <w:t xml:space="preserve"> </w:t>
      </w:r>
      <w:r>
        <w:rPr>
          <w:rFonts w:ascii="Nirmala UI" w:hAnsi="Nirmala UI" w:eastAsia="Nirmala UI" w:cs="Nirmala UI"/>
        </w:rPr>
        <w:t>സംഖ്യയോ</w:t>
      </w:r>
      <w:r>
        <w:rPr>
          <w:rFonts w:ascii="Times New Roman" w:hAnsi="Times New Roman" w:eastAsia="Times New Roman" w:cs="Times New Roman"/>
        </w:rPr>
        <w:t xml:space="preserve"> </w:t>
      </w:r>
      <w:r>
        <w:rPr>
          <w:rFonts w:ascii="Nirmala UI" w:hAnsi="Nirmala UI" w:eastAsia="Nirmala UI" w:cs="Nirmala UI"/>
        </w:rPr>
        <w:t>ഇല്ലാത്തവർക്കെതിരെ</w:t>
      </w:r>
      <w:r>
        <w:rPr>
          <w:rFonts w:ascii="Times New Roman" w:hAnsi="Times New Roman" w:eastAsia="Times New Roman" w:cs="Times New Roman"/>
        </w:rPr>
        <w:t xml:space="preserve"> </w:t>
      </w:r>
      <w:r>
        <w:rPr>
          <w:rFonts w:ascii="Nirmala UI" w:hAnsi="Nirmala UI" w:eastAsia="Nirmala UI" w:cs="Nirmala UI"/>
        </w:rPr>
        <w:t>വാങ്ങലും</w:t>
      </w:r>
      <w:r>
        <w:rPr>
          <w:rFonts w:ascii="Times New Roman" w:hAnsi="Times New Roman" w:eastAsia="Times New Roman" w:cs="Times New Roman"/>
        </w:rPr>
        <w:t xml:space="preserve"> </w:t>
      </w:r>
      <w:r>
        <w:rPr>
          <w:rFonts w:ascii="Nirmala UI" w:hAnsi="Nirmala UI" w:eastAsia="Nirmala UI" w:cs="Nirmala UI"/>
        </w:rPr>
        <w:t>വിൽപ്പനയും</w:t>
      </w:r>
      <w:r>
        <w:rPr>
          <w:rFonts w:ascii="Times New Roman" w:hAnsi="Times New Roman" w:eastAsia="Times New Roman" w:cs="Times New Roman"/>
        </w:rPr>
        <w:t xml:space="preserve"> </w:t>
      </w:r>
      <w:r>
        <w:rPr>
          <w:rFonts w:ascii="Nirmala UI" w:hAnsi="Nirmala UI" w:eastAsia="Nirmala UI" w:cs="Nirmala UI"/>
        </w:rPr>
        <w:t>നിരോധിക്കുകയും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Tabaqada khiyaanada ee uu fuliyo bahalkii ka soo baxay “dhulka” ee aayadda kow iyo tobnaad waa mid aad u marin-habaabin badan oo xoog leh, si ay “u khiyaanayso kuwa dhulka deggan.” Dunida oo dhan waxaa khiyaanayn doonta Maraykanku. Taas macnaheedu waa, marka laga reebo kiniisadda Ilaah—dunida oo dhan waxaa lagu khiyaanayn doonaa inay aqbasho calaamadda ka geesta Masiixa. Dhacdooyinka nebiyadeed ee ka horreeya khiyaanadan caalamiga ah durba way socdaan.</w:t>
      </w:r>
    </w:p>
    <w:p>
      <w:pPr>
        <w:pStyle w:val="ArticleBody"/>
        <w:jc w:val="left"/>
      </w:pPr>
      <w:r>
        <w:rPr>
          <w:rFonts w:ascii="Times New Roman" w:hAnsi="Times New Roman" w:eastAsia="Times New Roman" w:cs="Times New Roman"/>
        </w:rPr>
        <w:t>Ilin kaka-inna nga istoria manipud iti Biblia a kaaduan a tattao ket ammoda, uray no iti rabaw laeng ti pannakaawatda. Kaaduan ket nangngeganda ti maipapan kadagiti pannakasango ni Moises ken ni Faraon, ni Daniel ken ni Nabucodonosor, wenno ni Jesus ken ni Pilato. Ammo dagiti tattao dagitoy nga istoria iti Biblia iti nadumaduma a tukad ti pannakaawat, ngem saan a kankanayon a mabigbigda a ti padto ti Biblia ket diretso ken nalawag unay a mangituding kadagiti ar-ari ken pagarian. Pudno unay dayta ken Moises, Daniel, ken Cristo. Ti Egipto, Babilonia, ken Roma ket isuamin a natan-ok a naisangsangayan iti padto ti Biblia sakbay pay iti pakasaritaan a nangtungpalda kadagiti padto maipapan kadagiti bukodda a pagarian. Ti Dios saan pulos nga agbaliw.</w:t>
      </w:r>
    </w:p>
    <w:p>
      <w:pPr>
        <w:pStyle w:val="ArticleScripture"/>
        <w:jc w:val="left"/>
      </w:pPr>
      <w:r>
        <w:rPr>
          <w:rFonts w:ascii="Times New Roman" w:hAnsi="Times New Roman" w:eastAsia="Times New Roman" w:cs="Times New Roman"/>
        </w:rPr>
        <w:t>Car Je suis l’Éternel, je ne change pas; c’est pourquoi vous, fils de Jacob, vous n’êtes pas consumés. Malachie 3:6.</w:t>
      </w:r>
    </w:p>
    <w:p>
      <w:pPr>
        <w:pStyle w:val="ArticleScripture"/>
        <w:jc w:val="left"/>
      </w:pPr>
      <w:r>
        <w:rPr>
          <w:rFonts w:ascii="Times New Roman" w:hAnsi="Times New Roman" w:eastAsia="Times New Roman" w:cs="Times New Roman"/>
        </w:rPr>
        <w:t>Yesu Kristo ni yeye yule jana, na leo, na hata milele. Waebrania 13:8.</w:t>
      </w:r>
    </w:p>
    <w:p>
      <w:pPr>
        <w:pStyle w:val="ArticleBody"/>
        <w:jc w:val="left"/>
      </w:pPr>
      <w:r>
        <w:rPr>
          <w:rFonts w:ascii="Times New Roman" w:hAnsi="Times New Roman" w:eastAsia="Times New Roman" w:cs="Times New Roman"/>
        </w:rPr>
        <w:t>بما أن الله لا يتغير قط، فإن ذلك يتيح لنا أن نطبّق منطقًا بسيطًا على تأملنا في الوحش ذي القرنين الطالع من الأرض في رؤيا ثلاثة عشر. ولأننا نعلم أن الله قد أورد تنبؤات حدّدت على نحو مباشر ممالك مصر وبابل وروما، كلًّا منها حين تفاعلت مع كنيسة الله واضطهدتها، أمكننا أن نثبت بعض الحقائق المتعلقة بوحش الأرض في رؤيا ثلاثة عشر. فوحش الأرض، كما كان الشأن مع مصر وبابل وروما، سيُعرَّف تعريفًا مباشرًا في نبوة الكتاب المقدس قبل التاريخ الذي تتحقق فيه النبوة الخاصة بتلك الأمة. وأقول إننا نستطيع أن نثبت هذه الحقيقة استنادًا إلى قاعدة كتابية بسيطة للغاية، لكنها مهمة. وهذه القاعدة تقرر أن الحق يثبت بناءً على شهادة اثنين.</w:t>
      </w:r>
    </w:p>
    <w:p>
      <w:pPr>
        <w:pStyle w:val="ArticleScripture"/>
        <w:jc w:val="left"/>
      </w:pPr>
      <w:r>
        <w:rPr>
          <w:rFonts w:ascii="Times New Roman" w:hAnsi="Times New Roman" w:eastAsia="Times New Roman" w:cs="Times New Roman"/>
        </w:rPr>
        <w:t>Në gojën e dy dëshmitarëve, ose të tre dëshmitarëve, ai që është i denjë për vdekje le të vritet; por në gojën e një dëshmitari të vetëm të mos vritet. Ligji i Përtërirë 17:6.</w:t>
      </w:r>
    </w:p>
    <w:p>
      <w:pPr>
        <w:pStyle w:val="ArticleScripture"/>
        <w:jc w:val="left"/>
      </w:pPr>
      <w:r>
        <w:rPr>
          <w:rFonts w:ascii="Times New Roman" w:hAnsi="Times New Roman" w:eastAsia="Times New Roman" w:cs="Times New Roman"/>
        </w:rPr>
        <w:t>Lomuaka moko akotɛlɛma te mpo na kofunda moto na likambo moko ya mabe, to mpo na lisumu moko, na lisumu nyonso oyo asali; likambo ekolendisama na monɔkɔ ya batatoli mibale, to na monɔkɔ ya batatoli misato. Deteronome 19:15.</w:t>
      </w:r>
    </w:p>
    <w:p>
      <w:pPr>
        <w:pStyle w:val="ArticleScripture"/>
        <w:jc w:val="left"/>
      </w:pPr>
      <w:r>
        <w:rPr>
          <w:rFonts w:ascii="Times New Roman" w:hAnsi="Times New Roman" w:eastAsia="Times New Roman" w:cs="Times New Roman"/>
        </w:rPr>
        <w:t>Ceci est la troisième fois que je viens à vous. Toute parole sera établie sur la déposition de deux ou de trois témoins. 2 Corinthiens 13:1.</w:t>
      </w:r>
    </w:p>
    <w:p>
      <w:pPr>
        <w:pStyle w:val="ArticleScripture"/>
        <w:jc w:val="left"/>
      </w:pPr>
      <w:r>
        <w:rPr>
          <w:rFonts w:ascii="Leelawadee UI" w:hAnsi="Leelawadee UI" w:eastAsia="Leelawadee UI" w:cs="Leelawadee UI"/>
        </w:rPr>
        <w:t>ຢ່າຮັບຄໍາກ່າວຫາຕໍ່ຜູ້ເຖົ້າແກ່</w:t>
      </w:r>
      <w:r>
        <w:rPr>
          <w:rFonts w:ascii="Times New Roman" w:hAnsi="Times New Roman" w:eastAsia="Times New Roman" w:cs="Times New Roman"/>
        </w:rPr>
        <w:t xml:space="preserve"> </w:t>
      </w:r>
      <w:r>
        <w:rPr>
          <w:rFonts w:ascii="Leelawadee UI" w:hAnsi="Leelawadee UI" w:eastAsia="Leelawadee UI" w:cs="Leelawadee UI"/>
        </w:rPr>
        <w:t>ນອກຈາກວ່າຈະມີພະຍານສອງຫຼືສາມຄົນ</w:t>
      </w:r>
      <w:r>
        <w:rPr>
          <w:rFonts w:ascii="Times New Roman" w:hAnsi="Times New Roman" w:eastAsia="Times New Roman" w:cs="Times New Roman"/>
        </w:rPr>
        <w:t xml:space="preserve">. 1 </w:t>
      </w:r>
      <w:r>
        <w:rPr>
          <w:rFonts w:ascii="Leelawadee UI" w:hAnsi="Leelawadee UI" w:eastAsia="Leelawadee UI" w:cs="Leelawadee UI"/>
        </w:rPr>
        <w:t>ຕີໂມທຽວ</w:t>
      </w:r>
      <w:r>
        <w:rPr>
          <w:rFonts w:ascii="Times New Roman" w:hAnsi="Times New Roman" w:eastAsia="Times New Roman" w:cs="Times New Roman"/>
        </w:rPr>
        <w:t xml:space="preserve"> 5:19</w:t>
      </w:r>
    </w:p>
    <w:p>
      <w:pPr>
        <w:pStyle w:val="ArticleBody"/>
        <w:jc w:val="left"/>
      </w:pPr>
      <w:r>
        <w:rPr>
          <w:rFonts w:ascii="Times New Roman" w:hAnsi="Times New Roman" w:eastAsia="Times New Roman" w:cs="Times New Roman"/>
        </w:rPr>
        <w:t>Ptoleli ya Baebele e ne ya bolelela pele go wa ga Egepeto wa bogologolo fa Modimo a ne a dira le Faro wa Egepeto yo o neng a le mo boikgogomosong. Ptoleli ya Baebele e ne ya bolelela pele go tlhatloga le go wa ga Babilona wa bogologolo, gape e ntse e dira le dikgosi tsa Babilona tse di neng di le mo boikgogomosong. Ptoleli ya Baebele e ne ya bolelela pele go tlhatloga le go wa ga mmuso wa Roma wa boheitane, mme ya supa le go dira le baemedi ba Roma ba ba neng ba senyegile. Go sa fetogeng ga semelo sa Modimo, se se sa fetogeng le ka motlha, go supa gore bogosi jo bo botlhokwa thata jo bo umakilweng mo ptoleleng ya Baebele—sebatana sa lefatshe sa Tshenolo kgaolo ya lesome le boraro—ruri bo tla supiwa ke ptoleli ya Baebele.</w:t>
      </w:r>
    </w:p>
    <w:p>
      <w:pPr>
        <w:pStyle w:val="ArticleBody"/>
        <w:jc w:val="left"/>
      </w:pPr>
      <w:r>
        <w:rPr>
          <w:rFonts w:ascii="Times New Roman" w:hAnsi="Times New Roman" w:eastAsia="Times New Roman" w:cs="Times New Roman"/>
        </w:rPr>
        <w:t>Wakati unabii wa mnyama wa nchi wa Ufunuo kumi na tatu utakapokamilika, kanisa la Mungu litakuwa katika mapambano dhidi ya uongozi wa kisiasa na wa kidini wa mnyama huyo wa nchi, kama ilivyoonyeshwa kinabii na Musa, Danieli, na Kristo. Wajibu wa kinabii wa Marekani katika mwisho wa ulimwengu ni mada kuu ya unabii wa Biblia. Tunapoendeleza taarifa za kibiblia zinazoitambulisha nafasi ya Marekani katika unabii wa Biblia, tutatumia kanuni zinazopatikana ndani ya Biblia, kwa maana Neno la Mungu halihitaji ufafanuzi wa kibinadamu. Israeli ya kale ilipewa sheria za ibada za sherehe, sheria za afya, sheria kumi za maadili, sheria za kilimo, na kadhalika. Mungu ni wa utaratibu.</w:t>
      </w:r>
    </w:p>
    <w:p>
      <w:pPr>
        <w:pStyle w:val="ArticleScripture"/>
        <w:jc w:val="left"/>
      </w:pPr>
      <w:r>
        <w:rPr>
          <w:rFonts w:ascii="Times New Roman" w:hAnsi="Times New Roman" w:eastAsia="Times New Roman" w:cs="Times New Roman"/>
        </w:rPr>
        <w:t>Que toutes choses se fassent avec bienséance et avec ordre. 1 Corinthiens 14:40.</w:t>
      </w:r>
    </w:p>
    <w:p>
      <w:pPr>
        <w:pStyle w:val="ArticleBody"/>
        <w:jc w:val="left"/>
      </w:pPr>
      <w:r>
        <w:rPr>
          <w:rFonts w:ascii="Times New Roman" w:hAnsi="Times New Roman" w:eastAsia="Times New Roman" w:cs="Times New Roman"/>
        </w:rPr>
        <w:t>Le récit biblique ne fournit aucun témoignage laissant entendre qu’une personne serait bénie en se contentant d’ignorer les règles données par Dieu. Qui peut s’attendre à être béni s’il ignore les règles de l’interprétation prophétique établies dans la Bible et par elle en vue de l’étude prophétique ?</w:t>
      </w:r>
    </w:p>
    <w:p>
      <w:pPr>
        <w:pStyle w:val="ArticleScripture"/>
        <w:jc w:val="left"/>
      </w:pPr>
      <w:r>
        <w:rPr>
          <w:rFonts w:ascii="Times New Roman" w:hAnsi="Times New Roman" w:eastAsia="Times New Roman" w:cs="Times New Roman"/>
        </w:rPr>
        <w:t>Venez maintenant, et plaidons ensemble, dit l’Éternel : si vos péchés sont comme le cramoisi, ils deviendront blancs comme la neige ; s’ils sont rouges comme la pourpre, ils deviendront comme la laine. Ésaïe 1:18.</w:t>
      </w:r>
    </w:p>
    <w:p>
      <w:pPr>
        <w:pStyle w:val="ArticleBody"/>
        <w:jc w:val="left"/>
      </w:pPr>
      <w:r>
        <w:rPr>
          <w:rFonts w:ascii="Times New Roman" w:hAnsi="Times New Roman" w:eastAsia="Times New Roman" w:cs="Times New Roman"/>
        </w:rPr>
        <w:t>Wɔn si Biblia ƒe sewo dzi la, míana Biblia ŋutɔ naɖo kple naʋu be seawo nye vavãtɔ alo dzesiatsitsi. Abe alesi wòle kple Mawu ƒe sewo katã ene la, Satana ƒe atsyotsyo aɖe li ɖe seawo me. Eya ta la, edze be ne wòsi se aɖe dzi be yeatsɔ aɖo nyateƒe aɖe la, woado go nyateƒe si woɖo la kple se si wowɔ dɔe la siaa.</w:t>
      </w:r>
    </w:p>
    <w:p>
      <w:pPr>
        <w:pStyle w:val="ArticleScripture"/>
        <w:jc w:val="left"/>
      </w:pPr>
      <w:r>
        <w:rPr>
          <w:rFonts w:ascii="Times New Roman" w:hAnsi="Times New Roman" w:eastAsia="Times New Roman" w:cs="Times New Roman"/>
        </w:rPr>
        <w:t>Mpendwa, msiiamini kila roho, bali zijaribuni roho kwamba zimetokana na Mungu; kwa sababu manabii wengi wa uongo wametokea duniani. 1 Yohana 4:1.</w:t>
      </w:r>
    </w:p>
    <w:p>
      <w:pPr>
        <w:pStyle w:val="ArticleBody"/>
        <w:jc w:val="left"/>
      </w:pPr>
      <w:r>
        <w:rPr>
          <w:rFonts w:ascii="Times New Roman" w:hAnsi="Times New Roman" w:eastAsia="Times New Roman" w:cs="Times New Roman"/>
        </w:rPr>
        <w:t>Un autre objectif, au-delà de l’identification du rôle prophétique des États-Unis dans cette étude, est de mettre en lumière le message secret du livre de l’Apocalypse que Jésus a tenu caché jusqu’à cette génération particulière.</w:t>
      </w:r>
    </w:p>
    <w:p>
      <w:pPr>
        <w:pStyle w:val="ArticleScripture"/>
        <w:jc w:val="left"/>
      </w:pP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व्यवस्थाविवरण</w:t>
      </w:r>
      <w:r>
        <w:rPr>
          <w:rFonts w:ascii="Times New Roman" w:hAnsi="Times New Roman" w:eastAsia="Times New Roman" w:cs="Times New Roman"/>
        </w:rPr>
        <w:t xml:space="preserve"> 29:29.</w:t>
      </w:r>
    </w:p>
    <w:p>
      <w:pPr>
        <w:pStyle w:val="ArticleBody"/>
        <w:jc w:val="left"/>
      </w:pPr>
      <w:r>
        <w:rPr>
          <w:rFonts w:ascii="Times New Roman" w:hAnsi="Times New Roman" w:eastAsia="Times New Roman" w:cs="Times New Roman"/>
        </w:rPr>
        <w:t>Les secrets prophétiques de Dieu qui sont révélés ont pour but de permettre à ceux qui reçoivent le secret de garder sa loi. Les hommes ne peuvent garder sa loi que si elle est écrite sur leur cœur. Le secret qui est en train d’être descellé dans le livre de l’Apocalypse fait partie du processus par lequel le Saint-Esprit écrit la loi de Dieu dans nos entrailles et sur nos cœurs. Le secret qui est ouvert au peuple de Dieu, lorsqu’il est accepté par la foi, établit la nouvelle alliance.</w:t>
      </w:r>
    </w:p>
    <w:p>
      <w:pPr>
        <w:pStyle w:val="ArticleScripture"/>
        <w:jc w:val="left"/>
      </w:pPr>
      <w:r>
        <w:rPr>
          <w:rFonts w:ascii="Times New Roman" w:hAnsi="Times New Roman" w:eastAsia="Times New Roman" w:cs="Times New Roman"/>
        </w:rPr>
        <w:t>Voici, les jours viennent, dit le Seigneur, où je conclurai une alliance nouvelle avec la maison d’Israël et avec la maison de Juda; non selon l’alliance que j’ai faite avec leurs pères, au jour où je les ai pris par la main pour les faire sortir du pays d’Égypte; alliance qu’ils ont rompue, quoique j’eusse été pour eux un époux, dit le Seigneur. Mais voici l’alliance que je conclurai avec la maison d’Israël après ces jours-là, dit le Seigneur: je mettrai ma loi au dedans d’eux, et je l’écrirai dans leur cœur; et je serai leur Dieu, et ils seront mon peuple. Jérémie 31:31–33.</w:t>
      </w:r>
    </w:p>
    <w:p>
      <w:pPr>
        <w:pStyle w:val="ArticleScripture"/>
        <w:jc w:val="left"/>
      </w:pPr>
      <w:r>
        <w:rPr>
          <w:rFonts w:ascii="Times New Roman" w:hAnsi="Times New Roman" w:eastAsia="Times New Roman" w:cs="Times New Roman"/>
        </w:rPr>
        <w:t>« Au cours des derniers jours de l’histoire de cette terre, l’alliance de Dieu avec son peuple qui garde ses commandements doit être renouvelée. » Review and Herald, 26 février 1914.</w:t>
      </w:r>
    </w:p>
    <w:p>
      <w:pPr>
        <w:pStyle w:val="ArticleBody"/>
        <w:jc w:val="left"/>
      </w:pPr>
      <w:r>
        <w:rPr>
          <w:rFonts w:ascii="Times New Roman" w:hAnsi="Times New Roman" w:eastAsia="Times New Roman" w:cs="Times New Roman"/>
        </w:rPr>
        <w:t>Révélation 1:1–3 Le message final d’avertissement :</w:t>
      </w:r>
    </w:p>
    <w:p>
      <w:pPr>
        <w:pStyle w:val="ArticleScripture"/>
        <w:jc w:val="left"/>
      </w:pPr>
      <w:r>
        <w:rPr>
          <w:rFonts w:ascii="Times New Roman" w:hAnsi="Times New Roman" w:eastAsia="Times New Roman" w:cs="Times New Roman"/>
        </w:rPr>
        <w:t>Ваҳйи Исои Масеҳ, ки Худо онро ба Ӯ дод, то ба бандагони Худ чизҳоеро нишон диҳад, ки бояд ба зудӣ ба амал оянд; ва Ӯ онро ба васитаи фариштаи Худ ба бандаи Худ Юҳанно фиристода, маълум гардонид; ки ӯ ба каломи Худо, ва ба шаҳодати Исои Масеҳ, ва ба ҳамаи он чи дид, шаҳодат дод. Хушо он касе ки мехонад, ва онҳо ки суханони ин нубувватро мешунаванд ва он чиро, ки дар он навишта шудааст, нигоҳ медоранд; зеро вақт наздик аст. Ваҳй 1:1–3.</w:t>
      </w:r>
    </w:p>
    <w:p>
      <w:pPr>
        <w:pStyle w:val="ArticleBody"/>
        <w:jc w:val="left"/>
      </w:pPr>
      <w:r>
        <w:rPr>
          <w:rFonts w:ascii="Times New Roman" w:hAnsi="Times New Roman" w:eastAsia="Times New Roman" w:cs="Times New Roman"/>
        </w:rPr>
        <w:t>Les trois premiers versets du chapitre un de l’Apocalypse indiquent que la « Révélation de Jésus-Christ » est le message final pour l’humanité. Il s’agit clairement d’un message, car la « Révélation de Jésus-Christ » lui a été donnée par le Père céleste afin de montrer à ses serviteurs ce qui « doit arriver bientôt ».</w:t>
      </w:r>
    </w:p>
    <w:p>
      <w:pPr>
        <w:pStyle w:val="ArticleBody"/>
        <w:jc w:val="left"/>
      </w:pPr>
      <w:r>
        <w:rPr>
          <w:rFonts w:ascii="Times New Roman" w:hAnsi="Times New Roman" w:eastAsia="Times New Roman" w:cs="Times New Roman"/>
        </w:rPr>
        <w:t>On nous exhorte à considérer que le « Saint-Esprit a ainsi disposé les choses, tant dans la communication de la prophétie » que aussi « dans les événements représentés ».</w:t>
      </w:r>
    </w:p>
    <w:p>
      <w:pPr>
        <w:pStyle w:val="ArticleScripture"/>
        <w:jc w:val="left"/>
      </w:pPr>
      <w:r>
        <w:rPr>
          <w:rFonts w:ascii="Times New Roman" w:hAnsi="Times New Roman" w:eastAsia="Times New Roman" w:cs="Times New Roman"/>
        </w:rPr>
        <w:t>“Roho Mtakatifu ameyaumba mambo kwa namna hiyo, katika kutolewa kwa unabii na katika matukio yanayoelezwa, ili kufundisha kwamba chombo cha kibinadamu kinapaswa kuwekwa mbali na kuonekana, kifichwe katika Kristo, na kwamba Bwana Mungu wa mbinguni na sheria Yake wanapaswa kuinuliwa. Kisomeni kitabu cha Danieli. Kumbukeni, hatua kwa hatua, historia ya falme zinazoonyeshwa humo.” Testimonies to Ministers, 112.</w:t>
      </w:r>
    </w:p>
    <w:p>
      <w:pPr>
        <w:pStyle w:val="ArticleBody"/>
        <w:jc w:val="left"/>
      </w:pPr>
      <w:r>
        <w:rPr>
          <w:rFonts w:ascii="Times New Roman" w:hAnsi="Times New Roman" w:eastAsia="Times New Roman" w:cs="Times New Roman"/>
        </w:rPr>
        <w:t>“</w:t>
      </w:r>
      <w:r>
        <w:rPr>
          <w:rFonts w:ascii="Nirmala UI" w:hAnsi="Nirmala UI" w:eastAsia="Nirmala UI" w:cs="Nirmala UI"/>
        </w:rPr>
        <w:t>कढ़ांगु</w:t>
      </w:r>
      <w:r>
        <w:rPr>
          <w:rFonts w:ascii="Times New Roman" w:hAnsi="Times New Roman" w:eastAsia="Times New Roman" w:cs="Times New Roman"/>
        </w:rPr>
        <w:t xml:space="preserve"> </w:t>
      </w:r>
      <w:r>
        <w:rPr>
          <w:rFonts w:ascii="Nirmala UI" w:hAnsi="Nirmala UI" w:eastAsia="Nirmala UI" w:cs="Nirmala UI"/>
        </w:rPr>
        <w:t>गिदिङथि</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फ़ोरोंजा</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१</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थामखि</w:t>
      </w:r>
      <w:r>
        <w:rPr>
          <w:rFonts w:ascii="Times New Roman" w:hAnsi="Times New Roman" w:eastAsia="Times New Roman" w:cs="Times New Roman"/>
        </w:rPr>
        <w:t xml:space="preserve"> </w:t>
      </w:r>
      <w:r>
        <w:rPr>
          <w:rFonts w:ascii="Nirmala UI" w:hAnsi="Nirmala UI" w:eastAsia="Nirmala UI" w:cs="Nirmala UI"/>
        </w:rPr>
        <w:t>बिसोराव</w:t>
      </w:r>
      <w:r>
        <w:rPr>
          <w:rFonts w:ascii="Times New Roman" w:hAnsi="Times New Roman" w:eastAsia="Times New Roman" w:cs="Times New Roman"/>
        </w:rPr>
        <w:t xml:space="preserve"> “</w:t>
      </w:r>
      <w:r>
        <w:rPr>
          <w:rFonts w:ascii="Nirmala UI" w:hAnsi="Nirmala UI" w:eastAsia="Nirmala UI" w:cs="Nirmala UI"/>
        </w:rPr>
        <w:t>फोरोंजाखौ</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लोगोसे</w:t>
      </w:r>
      <w:r>
        <w:rPr>
          <w:rFonts w:ascii="Times New Roman" w:hAnsi="Times New Roman" w:eastAsia="Times New Roman" w:cs="Times New Roman"/>
        </w:rPr>
        <w:t xml:space="preserve">, </w:t>
      </w:r>
      <w:r>
        <w:rPr>
          <w:rFonts w:ascii="Nirmala UI" w:hAnsi="Nirmala UI" w:eastAsia="Nirmala UI" w:cs="Nirmala UI"/>
        </w:rPr>
        <w:t>इसोरहा</w:t>
      </w:r>
      <w:r>
        <w:rPr>
          <w:rFonts w:ascii="Times New Roman" w:hAnsi="Times New Roman" w:eastAsia="Times New Roman" w:cs="Times New Roman"/>
        </w:rPr>
        <w:t xml:space="preserve"> </w:t>
      </w:r>
      <w:r>
        <w:rPr>
          <w:rFonts w:ascii="Nirmala UI" w:hAnsi="Nirmala UI" w:eastAsia="Nirmala UI" w:cs="Nirmala UI"/>
        </w:rPr>
        <w:t>मावनिफ्राय</w:t>
      </w:r>
      <w:r>
        <w:rPr>
          <w:rFonts w:ascii="Times New Roman" w:hAnsi="Times New Roman" w:eastAsia="Times New Roman" w:cs="Times New Roman"/>
        </w:rPr>
        <w:t xml:space="preserve"> </w:t>
      </w:r>
      <w:r>
        <w:rPr>
          <w:rFonts w:ascii="Nirmala UI" w:hAnsi="Nirmala UI" w:eastAsia="Nirmala UI" w:cs="Nirmala UI"/>
        </w:rPr>
        <w:t>मावनिफोराव</w:t>
      </w:r>
      <w:r>
        <w:rPr>
          <w:rFonts w:ascii="Times New Roman" w:hAnsi="Times New Roman" w:eastAsia="Times New Roman" w:cs="Times New Roman"/>
        </w:rPr>
        <w:t xml:space="preserve"> </w:t>
      </w:r>
      <w:r>
        <w:rPr>
          <w:rFonts w:ascii="Nirmala UI" w:hAnsi="Nirmala UI" w:eastAsia="Nirmala UI" w:cs="Nirmala UI"/>
        </w:rPr>
        <w:t>बेखेव</w:t>
      </w:r>
      <w:r>
        <w:rPr>
          <w:rFonts w:ascii="Times New Roman" w:hAnsi="Times New Roman" w:eastAsia="Times New Roman" w:cs="Times New Roman"/>
        </w:rPr>
        <w:t xml:space="preserve"> </w:t>
      </w:r>
      <w:r>
        <w:rPr>
          <w:rFonts w:ascii="Nirmala UI" w:hAnsi="Nirmala UI" w:eastAsia="Nirmala UI" w:cs="Nirmala UI"/>
        </w:rPr>
        <w:t>बेंखेवै</w:t>
      </w:r>
      <w:r>
        <w:rPr>
          <w:rFonts w:ascii="Times New Roman" w:hAnsi="Times New Roman" w:eastAsia="Times New Roman" w:cs="Times New Roman"/>
        </w:rPr>
        <w:t xml:space="preserve"> </w:t>
      </w:r>
      <w:r>
        <w:rPr>
          <w:rFonts w:ascii="Nirmala UI" w:hAnsi="Nirmala UI" w:eastAsia="Nirmala UI" w:cs="Nirmala UI"/>
        </w:rPr>
        <w:t>मानवादाव</w:t>
      </w:r>
      <w:r>
        <w:rPr>
          <w:rFonts w:ascii="Times New Roman" w:hAnsi="Times New Roman" w:eastAsia="Times New Roman" w:cs="Times New Roman"/>
        </w:rPr>
        <w:t xml:space="preserve"> </w:t>
      </w:r>
      <w:r>
        <w:rPr>
          <w:rFonts w:ascii="Nirmala UI" w:hAnsi="Nirmala UI" w:eastAsia="Nirmala UI" w:cs="Nirmala UI"/>
        </w:rPr>
        <w:t>दांनायखौ</w:t>
      </w:r>
      <w:r>
        <w:rPr>
          <w:rFonts w:ascii="Times New Roman" w:hAnsi="Times New Roman" w:eastAsia="Times New Roman" w:cs="Times New Roman"/>
        </w:rPr>
        <w:t xml:space="preserve"> </w:t>
      </w:r>
      <w:r>
        <w:rPr>
          <w:rFonts w:ascii="Nirmala UI" w:hAnsi="Nirmala UI" w:eastAsia="Nirmala UI" w:cs="Nirmala UI"/>
        </w:rPr>
        <w:t>फोरोंजानायनि</w:t>
      </w:r>
      <w:r>
        <w:rPr>
          <w:rFonts w:ascii="Times New Roman" w:hAnsi="Times New Roman" w:eastAsia="Times New Roman" w:cs="Times New Roman"/>
        </w:rPr>
        <w:t xml:space="preserve"> </w:t>
      </w:r>
      <w:r>
        <w:rPr>
          <w:rFonts w:ascii="Nirmala UI" w:hAnsi="Nirmala UI" w:eastAsia="Nirmala UI" w:cs="Nirmala UI"/>
        </w:rPr>
        <w:t>प्रक्रियाखौ</w:t>
      </w:r>
      <w:r>
        <w:rPr>
          <w:rFonts w:ascii="Times New Roman" w:hAnsi="Times New Roman" w:eastAsia="Times New Roman" w:cs="Times New Roman"/>
        </w:rPr>
        <w:t xml:space="preserve"> </w:t>
      </w:r>
      <w:r>
        <w:rPr>
          <w:rFonts w:ascii="Nirmala UI" w:hAnsi="Nirmala UI" w:eastAsia="Nirmala UI" w:cs="Nirmala UI"/>
        </w:rPr>
        <w:t>बिसेसै</w:t>
      </w:r>
      <w:r>
        <w:rPr>
          <w:rFonts w:ascii="Times New Roman" w:hAnsi="Times New Roman" w:eastAsia="Times New Roman" w:cs="Times New Roman"/>
        </w:rPr>
        <w:t xml:space="preserve"> </w:t>
      </w:r>
      <w:r>
        <w:rPr>
          <w:rFonts w:ascii="Nirmala UI" w:hAnsi="Nirmala UI" w:eastAsia="Nirmala UI" w:cs="Nirmala UI"/>
        </w:rPr>
        <w:t>दिन्थिफोरदों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जाथायखौ</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ख्राइस्टनि</w:t>
      </w:r>
      <w:r>
        <w:rPr>
          <w:rFonts w:ascii="Times New Roman" w:hAnsi="Times New Roman" w:eastAsia="Times New Roman" w:cs="Times New Roman"/>
        </w:rPr>
        <w:t xml:space="preserve"> </w:t>
      </w:r>
      <w:r>
        <w:rPr>
          <w:rFonts w:ascii="Nirmala UI" w:hAnsi="Nirmala UI" w:eastAsia="Nirmala UI" w:cs="Nirmala UI"/>
        </w:rPr>
        <w:t>फोरोंजाखौ</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मोननाय</w:t>
      </w:r>
      <w:r>
        <w:rPr>
          <w:rFonts w:ascii="Times New Roman" w:hAnsi="Times New Roman" w:eastAsia="Times New Roman" w:cs="Times New Roman"/>
        </w:rPr>
        <w:t xml:space="preserve"> </w:t>
      </w:r>
      <w:r>
        <w:rPr>
          <w:rFonts w:ascii="Nirmala UI" w:hAnsi="Nirmala UI" w:eastAsia="Nirmala UI" w:cs="Nirmala UI"/>
        </w:rPr>
        <w:t>जायोमोन</w:t>
      </w:r>
      <w:r>
        <w:rPr>
          <w:rFonts w:ascii="Times New Roman" w:hAnsi="Times New Roman" w:eastAsia="Times New Roman" w:cs="Times New Roman"/>
        </w:rPr>
        <w:t xml:space="preserve"> </w:t>
      </w:r>
      <w:r>
        <w:rPr>
          <w:rFonts w:ascii="Nirmala UI" w:hAnsi="Nirmala UI" w:eastAsia="Nirmala UI" w:cs="Nirmala UI"/>
        </w:rPr>
        <w:t>बेयावो</w:t>
      </w:r>
      <w:r>
        <w:rPr>
          <w:rFonts w:ascii="Times New Roman" w:hAnsi="Times New Roman" w:eastAsia="Times New Roman" w:cs="Times New Roman"/>
        </w:rPr>
        <w:t xml:space="preserve"> </w:t>
      </w:r>
      <w:r>
        <w:rPr>
          <w:rFonts w:ascii="Nirmala UI" w:hAnsi="Nirmala UI" w:eastAsia="Nirmala UI" w:cs="Nirmala UI"/>
        </w:rPr>
        <w:t>चिन्हायो।</w:t>
      </w:r>
    </w:p>
    <w:p>
      <w:pPr>
        <w:pStyle w:val="ArticleBody"/>
        <w:jc w:val="left"/>
      </w:pPr>
      <w:r>
        <w:rPr>
          <w:rFonts w:ascii="Times New Roman" w:hAnsi="Times New Roman" w:eastAsia="Times New Roman" w:cs="Times New Roman"/>
        </w:rPr>
        <w:t>Yesu Kiristo rero yakoze ibintu bibiri ku butumwa yahawe n’Imana. Yabwohereje abunyujije ku mumarayika we kandi kandi ubwo butumwa yabugaragaje mu buryo bw’ibimenyetso abinyujije kuri uwo mumarayika. Uwo mumarayika we yahise ajyana ubwo butumwa ku muhanuzi Yohana, arabwandika, maze abwoherereza amatorero ku bwacu jye nawe. Imirongo itatu ya mbere “yabumbwe ityo” n’“Umwuka Wera” kugira ngo ishimangire byombi, ari bwo “butumwa” n’“uburyo bwo kubugeza ku bandi” bwakoreshejwe mu gutanga ubwo butumwa.</w:t>
      </w:r>
    </w:p>
    <w:p>
      <w:pPr>
        <w:pStyle w:val="ArticleBody"/>
        <w:jc w:val="left"/>
      </w:pPr>
      <w:r>
        <w:rPr>
          <w:rFonts w:ascii="Times New Roman" w:hAnsi="Times New Roman" w:eastAsia="Times New Roman" w:cs="Times New Roman"/>
        </w:rPr>
        <w:t>Les trois versets que nous examinons présentent le message final à l’humanité, mais non pas simplement le message final — plus important encore, ces trois versets constituent le dernier message d’« avertissement » adressé à la planète Terre. Le caractère d’« avertissement » de ce message est mis en évidence lorsqu’une catégorie de personnes est désignée comme « bienheureuse » pour avoir lu, entendu et gardé « les choses qui y sont écrites ». Il existe une catégorie de personnes qui ne liront ni n’entendront un avertissement représenté comme « la Révélation de Jésus-Christ ». Il leur est impossible d’être bienheureuses. Il est évident que s’il existe une catégorie qui est bienheureuse pour avoir lu, entendu et gardé les choses qui sont écrites, il en existe une autre qui n’est pas bienheureuse. Une personne lira-t-elle, entendra-t-elle et gardera-t-elle le message de la Révélation de Jésus-Christ ? Si oui, elle sera bienheureuse ; sinon, elle sera maudite.</w:t>
      </w:r>
    </w:p>
    <w:p>
      <w:pPr>
        <w:pStyle w:val="ArticleScripture"/>
        <w:jc w:val="left"/>
      </w:pPr>
      <w:r>
        <w:rPr>
          <w:rFonts w:ascii="Times New Roman" w:hAnsi="Times New Roman" w:eastAsia="Times New Roman" w:cs="Times New Roman"/>
        </w:rPr>
        <w:t>“Niaasema nabii: ‘Heri asomaye’—wapo wale ambao hawatasoma; baraka si yao. ‘Na wale wasikiao’—wapo pia wengine ambao hukataa kusikia lolote kuhusu unabii; baraka si ya kundi hili. ‘Na kuyashika yaliyoandikwa humo’—wengi hukataa kutii maonyo na maagizo yaliyomo katika Ufunuo; hakuna hata mmoja wa hao awezaye kudai baraka iliyoahidiwa. Wote wanaozidhihaki habari za unabii na kuyafanyia mzaha yale vielelezo vilivyotolewa hapa kwa uzito mkuu, wote wanaokataa kuirekebisha maisha yao na kujiandaa kwa ajili ya kuja kwake Mwana wa Adamu, watakuwa bila baraka.” The Great Controversy, 341.</w:t>
      </w:r>
    </w:p>
    <w:p>
      <w:pPr>
        <w:pStyle w:val="ArticleBody"/>
        <w:jc w:val="left"/>
      </w:pPr>
      <w:r>
        <w:rPr>
          <w:rFonts w:ascii="Times New Roman" w:hAnsi="Times New Roman" w:eastAsia="Times New Roman" w:cs="Times New Roman"/>
        </w:rPr>
        <w:t>Արտահայտությունը «ժամանակը մոտ է» երրորդ համարում ցույց է տալիս, որ պատմության մեջ գոյություն ունի որոշակի ժամանակ, երբ հասնում է վերջին նախազգուշացման լուրը։ «Ժամանակը»՝ (որոշակի ժամանակ) «մոտ է»։ Որոշակի ժամանակ շուտով պիտի հասնի, որովհետև այն մոտ է, և Աստծո ժողովուրդը (որին ներկայացնում է Հովհաննեսը) հասկանում է լուրը նախքան այդ «ժամանակի» գալը։ Հովհաննեսը Հայտնության գիրքը գրեց մոտավորապես առաջին դարի ավարտին, սակայն այս համարները ցույց են տալիս, որ պատմության մեջ, շատ ավելի ուշ, քան 100 թվականից հետո, պիտի լինի մի պահ, երբ կհռչակվի վերջին նախազգուշացման լուրը։ Երբ այդ «ժամանակը» «մոտ է», այն լուրը, որ մատնանշում է «այն բաները, որ շուտով պիտի լինեն», կհայտնվի Աստծո ծառաներին։</w:t>
      </w:r>
    </w:p>
    <w:p>
      <w:pPr>
        <w:pStyle w:val="ArticleBody"/>
        <w:jc w:val="left"/>
      </w:pPr>
      <w:r>
        <w:rPr>
          <w:rFonts w:ascii="Times New Roman" w:hAnsi="Times New Roman" w:eastAsia="Times New Roman" w:cs="Times New Roman"/>
        </w:rPr>
        <w:t>Maka nkuru z’uru ruhererekane, Bibiliya n’inyandiko za Ellen White ni byo bizakoreshwa nk’ububasha bwo gushyigikira ibisobanuro by’imirongo ya Bibiliya tuzaba twavuze.</w:t>
      </w:r>
    </w:p>
    <w:p>
      <w:pPr>
        <w:pStyle w:val="ArticleBody"/>
        <w:jc w:val="left"/>
      </w:pPr>
      <w:r>
        <w:rPr>
          <w:rFonts w:ascii="Times New Roman" w:hAnsi="Times New Roman" w:eastAsia="Times New Roman" w:cs="Times New Roman"/>
        </w:rPr>
        <w:t>We will also refer to the rules of prophetic interpretation assembled by William Miller and to the rules identified in the compilation titled Prophetic Keys. We will also employ the prophetic study called Habakkuk’s Tables.</w:t>
      </w:r>
    </w:p>
    <w:p>
      <w:pPr>
        <w:pStyle w:val="ArticleBody"/>
        <w:jc w:val="left"/>
      </w:pPr>
      <w:r>
        <w:rPr>
          <w:rFonts w:ascii="Times New Roman" w:hAnsi="Times New Roman" w:eastAsia="Times New Roman" w:cs="Times New Roman"/>
        </w:rPr>
        <w:t>Nous n’avons pas l’intention de définir chacune des règles que nous employons. Par souci de brièveté, nous nous contenterons de renvoyer à la compilation Prophetic Keys pour ceux qui souhaitent lire une démonstration plus détaillée de la règle. Avec la série des Tables d’Habacuc, nous entendons signaler certaines présentations dans lesquelles un sujet que nous n’aborderons ici que brièvement est traité plus en profondeur.</w:t>
      </w:r>
    </w:p>
    <w:p>
      <w:pPr>
        <w:pStyle w:val="ArticleBody"/>
        <w:jc w:val="left"/>
      </w:pPr>
      <w:r>
        <w:rPr>
          <w:rFonts w:ascii="Times New Roman" w:hAnsi="Times New Roman" w:eastAsia="Times New Roman" w:cs="Times New Roman"/>
        </w:rPr>
        <w:t>Lorsque nous avançons dans l’étude du livre de l’Apocalypse, nous encourageons les réactions du public, mais nous ne répondrons qu’aux interventions qui contribuent à l’étude en cours. Le champ de notre discussion portera sur la série actuelle de présentations, les règles prophétiques que nous appliquons et les informations contenues dans les Tables d’Habacuc.</w:t>
      </w:r>
    </w:p>
    <w:p>
      <w:pPr>
        <w:pStyle w:val="ArticleScripture"/>
        <w:jc w:val="left"/>
      </w:pPr>
      <w:r>
        <w:rPr>
          <w:rFonts w:ascii="Times New Roman" w:hAnsi="Times New Roman" w:eastAsia="Times New Roman" w:cs="Times New Roman"/>
        </w:rPr>
        <w:t>La Révélation de Jésus-Christ, que Dieu lui a donnée pour montrer à ses serviteurs les choses qui doivent arriver bientôt; et il l’a fait connaître, en l’envoyant par son ange à son serviteur Jean, lequel a rendu témoignage à la parole de Dieu, et au témoignage de Jésus-Christ, et à tout ce qu’il a vu. Heureux celui qui lit, et ceux qui entendent les paroles de cette prophétie, et qui gardent les choses qui y sont écrites; car le temps est proche. Apocalypse 1:1–3.</w:t>
      </w:r>
    </w:p>
    <w:p>
      <w:pPr>
        <w:pStyle w:val="ArticleBody"/>
        <w:jc w:val="left"/>
      </w:pPr>
      <w:r>
        <w:rPr>
          <w:rFonts w:ascii="Times New Roman" w:hAnsi="Times New Roman" w:eastAsia="Times New Roman" w:cs="Times New Roman"/>
        </w:rPr>
        <w:t>Koine keʹlelisiŋa Greekɛ ma “signified” ne toŋa “indicate.” E ɔiŋ fɛnɛri maŋa ma “his” angel, e ɔiŋ signified maŋa ma “his” angel. “His” angel ne Gabriel.</w:t>
      </w:r>
    </w:p>
    <w:p>
      <w:pPr>
        <w:pStyle w:val="ArticleScripture"/>
        <w:jc w:val="left"/>
      </w:pPr>
      <w:r>
        <w:rPr>
          <w:rFonts w:ascii="Times New Roman" w:hAnsi="Times New Roman" w:eastAsia="Times New Roman" w:cs="Times New Roman"/>
        </w:rPr>
        <w:t>« Mots anz lañjel : “Je suis Gabriel, qui me tiens en la présence de Dieu”, moster qu’il tient une place de grant enor es cours célestes. Quant il vint o un message a Daniel, il dist : “Il n’i a nul qui se maintiegne avec moi en ces choses, fors Michel [Christ] vostre Prince.” Daniel 10:21. De Gabriel li Sauveor parole en l’Apocalypse, disant que “Il l’a envoyée et signifiée par son ange a son serviteur Jean.” Apocalypse 1:1. » The Desire of Ages, 99.</w:t>
      </w:r>
    </w:p>
    <w:p>
      <w:pPr>
        <w:pStyle w:val="ArticleBody"/>
        <w:jc w:val="left"/>
      </w:pPr>
      <w:r>
        <w:rPr>
          <w:rFonts w:ascii="Times New Roman" w:hAnsi="Times New Roman" w:eastAsia="Times New Roman" w:cs="Times New Roman"/>
        </w:rPr>
        <w:t>Suru Gabriel a vatri duvri raqel, e suru Gabriel etu represe raqel et. Kave mankind arri na pointe in history tem “the time is at hand” du final warning message proclaime, ta final message etu represe pa un suru. In du livre de Revelation, “messages” often etu represe comme surus, e, bien sur, du mot grec translate comme “angel” in Revelation signifie messenger.</w:t>
      </w:r>
    </w:p>
    <w:p>
      <w:pPr>
        <w:pStyle w:val="ArticleBody"/>
        <w:jc w:val="left"/>
      </w:pPr>
      <w:r>
        <w:rPr>
          <w:rFonts w:ascii="Times New Roman" w:hAnsi="Times New Roman" w:eastAsia="Times New Roman" w:cs="Times New Roman"/>
        </w:rPr>
        <w:t>Բոլոր հայտնությունները, որով Աստծու ճշմարտությունը պատմության ընթացքում հասել է, անշուշտ Հիսուս Քրիստոսի հայտնություն են, բայց Հիսուս Քրիստոսի Հայտնությունը Հայտնության գրքի առաջին գլխում մարդկության համար վերջին նախազգուշացումն է, և այն տեղի է ունենում որոշակի մի պահին, որը ներկայացվում է որպես «ժամանակ»։ Հայտնության գրքում կա նաև մեկ այլ հատված, որտեղ Հովհաննեսը նշում է, որ «ժամանակը մոտ է»։ Այդ մյուս հատվածը երկրորդ վկայություն է տալիս՝ քննելու համար այն նախնական պնդումները, որ ես արել եմ առաջինից երրորդ համարների վերաբերյալ։</w:t>
      </w:r>
    </w:p>
    <w:p>
      <w:pPr>
        <w:pStyle w:val="ArticleScripture"/>
        <w:jc w:val="left"/>
      </w:pPr>
      <w:r>
        <w:rPr>
          <w:rFonts w:ascii="Times New Roman" w:hAnsi="Times New Roman" w:eastAsia="Times New Roman" w:cs="Times New Roman"/>
        </w:rPr>
        <w:t>Na aambia, Maneno haya ni ya kuaminika na ya kweli; naye Bwana Mungu wa manabii watakatifu alimtuma malaika wake kuwaonyesha watumishi wake mambo ambayo hayana budi kutukia upesi. Tazama, naja upesi; heri yeye ayashikaye maneno ya unabii wa kitabu hiki.</w:t>
      </w:r>
    </w:p>
    <w:p>
      <w:pPr>
        <w:pStyle w:val="ArticleScripture"/>
        <w:jc w:val="left"/>
      </w:pPr>
      <w:r>
        <w:rPr>
          <w:rFonts w:ascii="Times New Roman" w:hAnsi="Times New Roman" w:eastAsia="Times New Roman" w:cs="Times New Roman"/>
        </w:rPr>
        <w:t>Naanu Yohaana, ivugaḷannu kaṇḍenu mattu kēḷidenu. Naanu kēḷi nōḍida nantara, ivugaḷannu nanage tōrisida dēvadūtana pādagala muṁde ārādhisalu bīḍidenu.</w:t>
      </w:r>
    </w:p>
    <w:p>
      <w:pPr>
        <w:pStyle w:val="ArticleScripture"/>
        <w:jc w:val="left"/>
      </w:pPr>
      <w:r>
        <w:rPr>
          <w:rFonts w:ascii="Times New Roman" w:hAnsi="Times New Roman" w:eastAsia="Times New Roman" w:cs="Times New Roman"/>
        </w:rPr>
        <w:t>Puis il me dit : Garde-toi de le faire ! Car je suis ton compagnon de service, ainsi que celui de tes frères les prophètes, et de ceux qui gardent les paroles de ce livre : adore Dieu.</w:t>
      </w:r>
    </w:p>
    <w:p>
      <w:pPr>
        <w:pStyle w:val="ArticleScripture"/>
        <w:jc w:val="left"/>
      </w:pPr>
      <w:r>
        <w:rPr>
          <w:rFonts w:ascii="Times New Roman" w:hAnsi="Times New Roman" w:eastAsia="Times New Roman" w:cs="Times New Roman"/>
        </w:rPr>
        <w:t>Og han sier til meg: Forsegl ikke ordene i profetien i denne boken, for tiden er nær. Den som gjør urett, la ham fremdeles gjøre urett; og den som er uren, la ham fremdeles være uren; og den som er rettferdig, la ham fremdeles øve rettferdighet; og den som er hellig, la ham fremdeles være hellig. Åpenbaringen 22:6–11.</w:t>
      </w:r>
    </w:p>
    <w:p>
      <w:pPr>
        <w:pStyle w:val="ArticleBody"/>
        <w:jc w:val="left"/>
      </w:pPr>
      <w:r>
        <w:rPr>
          <w:rFonts w:ascii="Nirmala UI" w:hAnsi="Nirmala UI" w:eastAsia="Nirmala UI" w:cs="Nirmala UI"/>
        </w:rPr>
        <w:t>बाइबलको</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आरम्भमा</w:t>
      </w:r>
      <w:r>
        <w:rPr>
          <w:rFonts w:ascii="Times New Roman" w:hAnsi="Times New Roman" w:eastAsia="Times New Roman" w:cs="Times New Roman"/>
        </w:rPr>
        <w:t xml:space="preserve"> </w:t>
      </w:r>
      <w:r>
        <w:rPr>
          <w:rFonts w:ascii="Nirmala UI" w:hAnsi="Nirmala UI" w:eastAsia="Nirmala UI" w:cs="Nirmala UI"/>
        </w:rPr>
        <w:t>जस्तै</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भेट्टाउँछौँ।</w:t>
      </w:r>
      <w:r>
        <w:rPr>
          <w:rFonts w:ascii="Times New Roman" w:hAnsi="Times New Roman" w:eastAsia="Times New Roman" w:cs="Times New Roman"/>
        </w:rPr>
        <w:t xml:space="preserve"> </w:t>
      </w:r>
      <w:r>
        <w:rPr>
          <w:rFonts w:ascii="Nirmala UI" w:hAnsi="Nirmala UI" w:eastAsia="Nirmala UI" w:cs="Nirmala UI"/>
        </w:rPr>
        <w:t>सञ्चारको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एकपटक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दासहरूलाई</w:t>
      </w:r>
      <w:r>
        <w:rPr>
          <w:rFonts w:ascii="Times New Roman" w:hAnsi="Times New Roman" w:eastAsia="Times New Roman" w:cs="Times New Roman"/>
        </w:rPr>
        <w:t xml:space="preserve"> </w:t>
      </w:r>
      <w:r>
        <w:rPr>
          <w:rFonts w:ascii="Nirmala UI" w:hAnsi="Nirmala UI" w:eastAsia="Nirmala UI" w:cs="Nirmala UI"/>
        </w:rPr>
        <w:t>छिट्टै</w:t>
      </w:r>
      <w:r>
        <w:rPr>
          <w:rFonts w:ascii="Times New Roman" w:hAnsi="Times New Roman" w:eastAsia="Times New Roman" w:cs="Times New Roman"/>
        </w:rPr>
        <w:t xml:space="preserve"> </w:t>
      </w:r>
      <w:r>
        <w:rPr>
          <w:rFonts w:ascii="Nirmala UI" w:hAnsi="Nirmala UI" w:eastAsia="Nirmala UI" w:cs="Nirmala UI"/>
        </w:rPr>
        <w:t>हुनुपर्ने</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देखाउन</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पठाउनुभयो।</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दासहरूलाई</w:t>
      </w:r>
      <w:r>
        <w:rPr>
          <w:rFonts w:ascii="Times New Roman" w:hAnsi="Times New Roman" w:eastAsia="Times New Roman" w:cs="Times New Roman"/>
        </w:rPr>
        <w:t xml:space="preserve"> “</w:t>
      </w:r>
      <w:r>
        <w:rPr>
          <w:rFonts w:ascii="Nirmala UI" w:hAnsi="Nirmala UI" w:eastAsia="Nirmala UI" w:cs="Nirmala UI"/>
        </w:rPr>
        <w:t>छिट्टै</w:t>
      </w:r>
      <w:r>
        <w:rPr>
          <w:rFonts w:ascii="Times New Roman" w:hAnsi="Times New Roman" w:eastAsia="Times New Roman" w:cs="Times New Roman"/>
        </w:rPr>
        <w:t xml:space="preserve"> </w:t>
      </w:r>
      <w:r>
        <w:rPr>
          <w:rFonts w:ascii="Nirmala UI" w:hAnsi="Nirmala UI" w:eastAsia="Nirmala UI" w:cs="Nirmala UI"/>
        </w:rPr>
        <w:t>हुनुपर्ने</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चिनाउने</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देखाइएलगत्तै</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आउँदै</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आगमनभन्दा</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यसकारण</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चेतावनीको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पदहरूमा</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आशिष्</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दोहोर्याइएको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कथनद्वारा</w:t>
      </w:r>
      <w:r>
        <w:rPr>
          <w:rFonts w:ascii="Times New Roman" w:hAnsi="Times New Roman" w:eastAsia="Times New Roman" w:cs="Times New Roman"/>
        </w:rPr>
        <w:t>: “</w:t>
      </w:r>
      <w:r>
        <w:rPr>
          <w:rFonts w:ascii="Nirmala UI" w:hAnsi="Nirmala UI" w:eastAsia="Nirmala UI" w:cs="Nirmala UI"/>
        </w:rPr>
        <w:t>धन्य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वचनहरू</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Dans ces versets, nous trouvons un développement du processus de communication exposé au chapitre premier, car nous voyons qu’après que Gabriel a transmis le message à Jean, Jean est à ce point bouleversé par ce message qu’il cherche à adorer Gabriel; celui-ci se sert alors de la méprise de Jean pour montrer que les anges célestes, les prophètes terrestres et tous ceux qui gardent les paroles du message sont des « compagnons de service » qui doivent adorer le Dieu Créateur, et non la création de Dieu.</w:t>
      </w:r>
    </w:p>
    <w:p>
      <w:pPr>
        <w:pStyle w:val="ArticleBody"/>
        <w:jc w:val="left"/>
      </w:pP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पदहरूमा</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घटनाहरू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वचनहरू</w:t>
      </w:r>
      <w:r>
        <w:rPr>
          <w:rFonts w:ascii="Times New Roman" w:hAnsi="Times New Roman" w:eastAsia="Times New Roman" w:cs="Times New Roman"/>
        </w:rPr>
        <w:t xml:space="preserve"> </w:t>
      </w:r>
      <w:r>
        <w:rPr>
          <w:rFonts w:ascii="Nirmala UI" w:hAnsi="Nirmala UI" w:eastAsia="Nirmala UI" w:cs="Nirmala UI"/>
        </w:rPr>
        <w:t>दोहोर्याइरहेका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सेवकहरूलाई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छिट्टै</w:t>
      </w:r>
      <w:r>
        <w:rPr>
          <w:rFonts w:ascii="Times New Roman" w:hAnsi="Times New Roman" w:eastAsia="Times New Roman" w:cs="Times New Roman"/>
        </w:rPr>
        <w:t xml:space="preserve"> </w:t>
      </w:r>
      <w:r>
        <w:rPr>
          <w:rFonts w:ascii="Nirmala UI" w:hAnsi="Nirmala UI" w:eastAsia="Nirmala UI" w:cs="Nirmala UI"/>
        </w:rPr>
        <w:t>हुनैपर्छ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देखाउँछन्।</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एकपटक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सेवकहरूबीचको</w:t>
      </w:r>
      <w:r>
        <w:rPr>
          <w:rFonts w:ascii="Times New Roman" w:hAnsi="Times New Roman" w:eastAsia="Times New Roman" w:cs="Times New Roman"/>
        </w:rPr>
        <w:t xml:space="preserve"> </w:t>
      </w:r>
      <w:r>
        <w:rPr>
          <w:rFonts w:ascii="Nirmala UI" w:hAnsi="Nirmala UI" w:eastAsia="Nirmala UI" w:cs="Nirmala UI"/>
        </w:rPr>
        <w:t>सञ्चार</w:t>
      </w:r>
      <w:r>
        <w:rPr>
          <w:rFonts w:ascii="Times New Roman" w:hAnsi="Times New Roman" w:eastAsia="Times New Roman" w:cs="Times New Roman"/>
        </w:rPr>
        <w:t>-</w:t>
      </w:r>
      <w:r>
        <w:rPr>
          <w:rFonts w:ascii="Nirmala UI" w:hAnsi="Nirmala UI" w:eastAsia="Nirmala UI" w:cs="Nirmala UI"/>
        </w:rPr>
        <w:t>प्रक्रियाको</w:t>
      </w:r>
      <w:r>
        <w:rPr>
          <w:rFonts w:ascii="Times New Roman" w:hAnsi="Times New Roman" w:eastAsia="Times New Roman" w:cs="Times New Roman"/>
        </w:rPr>
        <w:t xml:space="preserve"> </w:t>
      </w:r>
      <w:r>
        <w:rPr>
          <w:rFonts w:ascii="Nirmala UI" w:hAnsi="Nirmala UI" w:eastAsia="Nirmala UI" w:cs="Nirmala UI"/>
        </w:rPr>
        <w:t>सन्दर्भमा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चेतावनीको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भेटिन्छ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हुनुअघि</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अघिको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अन्यायी</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अन्यायी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अशुद्ध</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रहोस्</w:t>
      </w:r>
      <w:r>
        <w:rPr>
          <w:rFonts w:ascii="Times New Roman" w:hAnsi="Times New Roman" w:eastAsia="Times New Roman" w:cs="Times New Roman"/>
        </w:rPr>
        <w:t>”—</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समाप्तिलाई</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विपत्तिहरूको</w:t>
      </w:r>
      <w:r>
        <w:rPr>
          <w:rFonts w:ascii="Times New Roman" w:hAnsi="Times New Roman" w:eastAsia="Times New Roman" w:cs="Times New Roman"/>
        </w:rPr>
        <w:t xml:space="preserve"> </w:t>
      </w:r>
      <w:r>
        <w:rPr>
          <w:rFonts w:ascii="Nirmala UI" w:hAnsi="Nirmala UI" w:eastAsia="Nirmala UI" w:cs="Nirmala UI"/>
        </w:rPr>
        <w:t>आरम्भलाई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आगमनसँगै</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हुन्छन्।</w:t>
      </w:r>
    </w:p>
    <w:p>
      <w:pPr>
        <w:pStyle w:val="ArticleScripture"/>
        <w:jc w:val="left"/>
      </w:pPr>
      <w:r>
        <w:rPr>
          <w:rFonts w:ascii="Times New Roman" w:hAnsi="Times New Roman" w:eastAsia="Times New Roman" w:cs="Times New Roman"/>
        </w:rPr>
        <w:t>“‘Ngeso leso Mikhayeli uyo sukuma, iNkhosana enkulu emi ngenxa yabantwana babantu bakho; futhi kuyakuba khona isikhathi sokuhlupheka esingakaze sibe khona selokhu kwaba khona isizwe kuze kube yileso sikhathi; futhi ngaleso sikhathi abantu bakho bayakusindiswa, wonke oyakutholakala ebhaliwe encwadini.’ Daniyeli 12:1.</w:t>
      </w:r>
    </w:p>
    <w:p>
      <w:pPr>
        <w:pStyle w:val="ArticleScripture"/>
        <w:jc w:val="left"/>
      </w:pPr>
      <w:r>
        <w:rPr>
          <w:rFonts w:ascii="Times New Roman" w:hAnsi="Times New Roman" w:eastAsia="Times New Roman" w:cs="Times New Roman"/>
        </w:rPr>
        <w:t>«Хоёр дахь тэнгэрэлчийн биш, харин гурав дахь тэнгэрэлчийн мэдээ төгсөхөд, нигүүлсэл газар дэлхийн гэмт оршин суугчдын төлөө цаашид зуучлан гуйхаа болино. Бурханы ард түмэн ажлаа гүйцээсэн байна. Тэд “сүүлчийн бороо”, “Эзэний оршихуйгаас ирэх сэргэлэн тэнхрэл”-ийг хүлээн авсан бөгөөд өөрсдийн өмнө буй сорилттой цагт бэлтгэгдсэн байна. Тэнгэрт тэнгэрэлч нар ийш тийш яаран хөдөлж байна. Дэлхийгээс буцан ирж буй нэгэн тэнгэрэлч өөрийн ажил дууссаныг мэдэгдэнэ; эцсийн сорилт дэлхий дээр ирүүлэгдсэн бөгөөд тэнгэрлэг хуулиудад үнэнч гэдгээ нотолсон бүх хүн “амьд Бурханы тамга”-ыг хүлээн авсан байна. Тэгээд Есүс дээрх ариун сүм дэх Өөрийн зуучлалаа зогсооно. Тэр гараа өргөн, чанга дуугаар: “Гүйцлээ” хэмээн айлдана; Тэрхүү сүр жавхлант тунхаглалыг хийхэд бүх тэнгэрэлчийн цэрэг титмээ тайлна: “Шударга бус нэгэн нь цаашид ч шударга бусаараа байг; бузар нэгэн нь цаашид ч бузраараа байг; зөвт нэгэн нь цаашид ч зөвтөөрөө байг; ариун нэгэн нь цаашид ч ариунаараа байг.” Илчлэлт 22:11. Хэрэг бүр амь эсвэл үхлийн төлөө нэгэнт шийдэгдсэн байна.» Агуу тэмцэл, 613.</w:t>
      </w:r>
    </w:p>
    <w:p>
      <w:pPr>
        <w:pStyle w:val="ArticleBody"/>
        <w:jc w:val="left"/>
      </w:pPr>
      <w:r>
        <w:rPr>
          <w:rFonts w:ascii="Times New Roman" w:hAnsi="Times New Roman" w:eastAsia="Times New Roman" w:cs="Times New Roman"/>
        </w:rPr>
        <w:t>Pub sa sinugdanan sa basahon sa Pinadayag ug sa katapusan sa basahon sa Pinadayag, mao ra gihapon nga sugilanon ang gipadayag. Pinaagi sa paghiusa niining duha ka mga pahayag, masabtan nato nga ang “Pinadayag ni Jesu-Cristo” mao ang katapusang mensahe sa pasidaan ngadto sa katawhan sa dili pa ang Ikaduhang Pag-anhi ni Cristo. Kining mensahea gihulagway sa paagi nga simboliko pinaagi sa usa ka manolunda nga moabot sa dili pa ang pagsira sa panahon sa panulay. Gibahin sa maong mensahe ang katawhan ngadto sa duha ka hut-ong sumala sa kon sila mobasa, mamati, ug motuman sa mensahe nga maablihan sa diha nga ang “panahon haduol na,”—sa dili pa matapos ang panahon sa panulay.</w:t>
      </w:r>
    </w:p>
    <w:p>
      <w:pPr>
        <w:pStyle w:val="ArticleScripture"/>
        <w:jc w:val="left"/>
      </w:pPr>
      <w:r>
        <w:rPr>
          <w:rFonts w:ascii="Times New Roman" w:hAnsi="Times New Roman" w:eastAsia="Times New Roman" w:cs="Times New Roman"/>
        </w:rPr>
        <w:t>“Señalando que nos acercamos al fin de la historia de este mundo, las profecías relativas a los últimos días exigen de manera especial nuestro estudio. El último libro del Nuevo Testamento está lleno de verdades que necesitamos comprender. Satanás ha cegado el entendimiento de muchos, de modo que se han complacido en cualquier pretexto para no hacer del Apocalipsis objeto de su estudio.</w:t>
      </w:r>
    </w:p>
    <w:p>
      <w:pPr>
        <w:pStyle w:val="ArticleScripture"/>
        <w:jc w:val="left"/>
      </w:pPr>
      <w:r>
        <w:rPr>
          <w:rFonts w:ascii="Times New Roman" w:hAnsi="Times New Roman" w:eastAsia="Times New Roman" w:cs="Times New Roman"/>
        </w:rPr>
        <w:t>“</w:t>
      </w:r>
      <w:r>
        <w:rPr>
          <w:rFonts w:ascii="Nirmala UI" w:hAnsi="Nirmala UI" w:eastAsia="Nirmala UI" w:cs="Nirmala UI"/>
        </w:rPr>
        <w:t>प्रकटीकरणाचे</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दानिएलाच्या</w:t>
      </w:r>
      <w:r>
        <w:rPr>
          <w:rFonts w:ascii="Times New Roman" w:hAnsi="Times New Roman" w:eastAsia="Times New Roman" w:cs="Times New Roman"/>
        </w:rPr>
        <w:t xml:space="preserve"> </w:t>
      </w:r>
      <w:r>
        <w:rPr>
          <w:rFonts w:ascii="Nirmala UI" w:hAnsi="Nirmala UI" w:eastAsia="Nirmala UI" w:cs="Nirmala UI"/>
        </w:rPr>
        <w:t>पुस्तकाच्या</w:t>
      </w:r>
      <w:r>
        <w:rPr>
          <w:rFonts w:ascii="Times New Roman" w:hAnsi="Times New Roman" w:eastAsia="Times New Roman" w:cs="Times New Roman"/>
        </w:rPr>
        <w:t xml:space="preserve"> </w:t>
      </w:r>
      <w:r>
        <w:rPr>
          <w:rFonts w:ascii="Nirmala UI" w:hAnsi="Nirmala UI" w:eastAsia="Nirmala UI" w:cs="Nirmala UI"/>
        </w:rPr>
        <w:t>संदर्भात</w:t>
      </w:r>
      <w:r>
        <w:rPr>
          <w:rFonts w:ascii="Times New Roman" w:hAnsi="Times New Roman" w:eastAsia="Times New Roman" w:cs="Times New Roman"/>
        </w:rPr>
        <w:t xml:space="preserve">, </w:t>
      </w:r>
      <w:r>
        <w:rPr>
          <w:rFonts w:ascii="Nirmala UI" w:hAnsi="Nirmala UI" w:eastAsia="Nirmala UI" w:cs="Nirmala UI"/>
        </w:rPr>
        <w:t>अत्यंत</w:t>
      </w:r>
      <w:r>
        <w:rPr>
          <w:rFonts w:ascii="Times New Roman" w:hAnsi="Times New Roman" w:eastAsia="Times New Roman" w:cs="Times New Roman"/>
        </w:rPr>
        <w:t xml:space="preserve"> </w:t>
      </w:r>
      <w:r>
        <w:rPr>
          <w:rFonts w:ascii="Nirmala UI" w:hAnsi="Nirmala UI" w:eastAsia="Nirmala UI" w:cs="Nirmala UI"/>
        </w:rPr>
        <w:t>बारकाईने</w:t>
      </w:r>
      <w:r>
        <w:rPr>
          <w:rFonts w:ascii="Times New Roman" w:hAnsi="Times New Roman" w:eastAsia="Times New Roman" w:cs="Times New Roman"/>
        </w:rPr>
        <w:t xml:space="preserve"> </w:t>
      </w:r>
      <w:r>
        <w:rPr>
          <w:rFonts w:ascii="Nirmala UI" w:hAnsi="Nirmala UI" w:eastAsia="Nirmala UI" w:cs="Nirmala UI"/>
        </w:rPr>
        <w:t>अभ्यास</w:t>
      </w:r>
      <w:r>
        <w:rPr>
          <w:rFonts w:ascii="Times New Roman" w:hAnsi="Times New Roman" w:eastAsia="Times New Roman" w:cs="Times New Roman"/>
        </w:rPr>
        <w:t xml:space="preserve"> </w:t>
      </w:r>
      <w:r>
        <w:rPr>
          <w:rFonts w:ascii="Nirmala UI" w:hAnsi="Nirmala UI" w:eastAsia="Nirmala UI" w:cs="Nirmala UI"/>
        </w:rPr>
        <w:t>करण्याची</w:t>
      </w:r>
      <w:r>
        <w:rPr>
          <w:rFonts w:ascii="Times New Roman" w:hAnsi="Times New Roman" w:eastAsia="Times New Roman" w:cs="Times New Roman"/>
        </w:rPr>
        <w:t xml:space="preserve"> </w:t>
      </w:r>
      <w:r>
        <w:rPr>
          <w:rFonts w:ascii="Nirmala UI" w:hAnsi="Nirmala UI" w:eastAsia="Nirmala UI" w:cs="Nirmala UI"/>
        </w:rPr>
        <w:t>मागणी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देवभीरू</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शिक्षकाने</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तारणाऱ्याने</w:t>
      </w:r>
      <w:r>
        <w:rPr>
          <w:rFonts w:ascii="Times New Roman" w:hAnsi="Times New Roman" w:eastAsia="Times New Roman" w:cs="Times New Roman"/>
        </w:rPr>
        <w:t xml:space="preserve"> </w:t>
      </w:r>
      <w:r>
        <w:rPr>
          <w:rFonts w:ascii="Nirmala UI" w:hAnsi="Nirmala UI" w:eastAsia="Nirmala UI" w:cs="Nirmala UI"/>
        </w:rPr>
        <w:t>स्वतः</w:t>
      </w:r>
      <w:r>
        <w:rPr>
          <w:rFonts w:ascii="Times New Roman" w:hAnsi="Times New Roman" w:eastAsia="Times New Roman" w:cs="Times New Roman"/>
        </w:rPr>
        <w:t xml:space="preserve"> </w:t>
      </w:r>
      <w:r>
        <w:rPr>
          <w:rFonts w:ascii="Nirmala UI" w:hAnsi="Nirmala UI" w:eastAsia="Nirmala UI" w:cs="Nirmala UI"/>
        </w:rPr>
        <w:t>येऊन</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सेवक</w:t>
      </w:r>
      <w:r>
        <w:rPr>
          <w:rFonts w:ascii="Times New Roman" w:hAnsi="Times New Roman" w:eastAsia="Times New Roman" w:cs="Times New Roman"/>
        </w:rPr>
        <w:t xml:space="preserve"> </w:t>
      </w:r>
      <w:r>
        <w:rPr>
          <w:rFonts w:ascii="Nirmala UI" w:hAnsi="Nirmala UI" w:eastAsia="Nirmala UI" w:cs="Nirmala UI"/>
        </w:rPr>
        <w:t>योहानाला</w:t>
      </w:r>
      <w:r>
        <w:rPr>
          <w:rFonts w:ascii="Times New Roman" w:hAnsi="Times New Roman" w:eastAsia="Times New Roman" w:cs="Times New Roman"/>
        </w:rPr>
        <w:t xml:space="preserve"> </w:t>
      </w:r>
      <w:r>
        <w:rPr>
          <w:rFonts w:ascii="Nirmala UI" w:hAnsi="Nirmala UI" w:eastAsia="Nirmala UI" w:cs="Nirmala UI"/>
        </w:rPr>
        <w:t>जाहीर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दिलेल्या</w:t>
      </w:r>
      <w:r>
        <w:rPr>
          <w:rFonts w:ascii="Times New Roman" w:hAnsi="Times New Roman" w:eastAsia="Times New Roman" w:cs="Times New Roman"/>
        </w:rPr>
        <w:t xml:space="preserve"> </w:t>
      </w:r>
      <w:r>
        <w:rPr>
          <w:rFonts w:ascii="Nirmala UI" w:hAnsi="Nirmala UI" w:eastAsia="Nirmala UI" w:cs="Nirmala UI"/>
        </w:rPr>
        <w:t>सुवार्तेचे</w:t>
      </w:r>
      <w:r>
        <w:rPr>
          <w:rFonts w:ascii="Times New Roman" w:hAnsi="Times New Roman" w:eastAsia="Times New Roman" w:cs="Times New Roman"/>
        </w:rPr>
        <w:t xml:space="preserve"> </w:t>
      </w:r>
      <w:r>
        <w:rPr>
          <w:rFonts w:ascii="Nirmala UI" w:hAnsi="Nirmala UI" w:eastAsia="Nirmala UI" w:cs="Nirmala UI"/>
        </w:rPr>
        <w:t>सर्वांत</w:t>
      </w:r>
      <w:r>
        <w:rPr>
          <w:rFonts w:ascii="Times New Roman" w:hAnsi="Times New Roman" w:eastAsia="Times New Roman" w:cs="Times New Roman"/>
        </w:rPr>
        <w:t xml:space="preserve"> </w:t>
      </w:r>
      <w:r>
        <w:rPr>
          <w:rFonts w:ascii="Nirmala UI" w:hAnsi="Nirmala UI" w:eastAsia="Nirmala UI" w:cs="Nirmala UI"/>
        </w:rPr>
        <w:t>स्पष्टपणे</w:t>
      </w:r>
      <w:r>
        <w:rPr>
          <w:rFonts w:ascii="Times New Roman" w:hAnsi="Times New Roman" w:eastAsia="Times New Roman" w:cs="Times New Roman"/>
        </w:rPr>
        <w:t xml:space="preserve"> </w:t>
      </w:r>
      <w:r>
        <w:rPr>
          <w:rFonts w:ascii="Nirmala UI" w:hAnsi="Nirmala UI" w:eastAsia="Nirmala UI" w:cs="Nirmala UI"/>
        </w:rPr>
        <w:t>आकलन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करावे</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कशी</w:t>
      </w:r>
      <w:r>
        <w:rPr>
          <w:rFonts w:ascii="Times New Roman" w:hAnsi="Times New Roman" w:eastAsia="Times New Roman" w:cs="Times New Roman"/>
        </w:rPr>
        <w:t xml:space="preserve"> </w:t>
      </w:r>
      <w:r>
        <w:rPr>
          <w:rFonts w:ascii="Nirmala UI" w:hAnsi="Nirmala UI" w:eastAsia="Nirmala UI" w:cs="Nirmala UI"/>
        </w:rPr>
        <w:t>मांडावी</w:t>
      </w:r>
      <w:r>
        <w:rPr>
          <w:rFonts w:ascii="Times New Roman" w:hAnsi="Times New Roman" w:eastAsia="Times New Roman" w:cs="Times New Roman"/>
        </w:rPr>
        <w:t xml:space="preserve">, </w:t>
      </w:r>
      <w:r>
        <w:rPr>
          <w:rFonts w:ascii="Nirmala UI" w:hAnsi="Nirmala UI" w:eastAsia="Nirmala UI" w:cs="Nirmala UI"/>
        </w:rPr>
        <w:t>याचा</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करावा</w:t>
      </w:r>
      <w:r>
        <w:rPr>
          <w:rFonts w:ascii="Times New Roman" w:hAnsi="Times New Roman" w:eastAsia="Times New Roman" w:cs="Times New Roman"/>
        </w:rPr>
        <w:t>,—‘</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ख्रिस्ताचे</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देवाने</w:t>
      </w:r>
      <w:r>
        <w:rPr>
          <w:rFonts w:ascii="Times New Roman" w:hAnsi="Times New Roman" w:eastAsia="Times New Roman" w:cs="Times New Roman"/>
        </w:rPr>
        <w:t xml:space="preserve"> </w:t>
      </w:r>
      <w:r>
        <w:rPr>
          <w:rFonts w:ascii="Nirmala UI" w:hAnsi="Nirmala UI" w:eastAsia="Nirmala UI" w:cs="Nirmala UI"/>
        </w:rPr>
        <w:t>त्याला</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जेणेकरून</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सेवकांना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गोष्टी</w:t>
      </w:r>
      <w:r>
        <w:rPr>
          <w:rFonts w:ascii="Times New Roman" w:hAnsi="Times New Roman" w:eastAsia="Times New Roman" w:cs="Times New Roman"/>
        </w:rPr>
        <w:t xml:space="preserve"> </w:t>
      </w:r>
      <w:r>
        <w:rPr>
          <w:rFonts w:ascii="Nirmala UI" w:hAnsi="Nirmala UI" w:eastAsia="Nirmala UI" w:cs="Nirmala UI"/>
        </w:rPr>
        <w:t>दाखवाव्यात</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लवकरच</w:t>
      </w:r>
      <w:r>
        <w:rPr>
          <w:rFonts w:ascii="Times New Roman" w:hAnsi="Times New Roman" w:eastAsia="Times New Roman" w:cs="Times New Roman"/>
        </w:rPr>
        <w:t xml:space="preserve"> </w:t>
      </w:r>
      <w:r>
        <w:rPr>
          <w:rFonts w:ascii="Nirmala UI" w:hAnsi="Nirmala UI" w:eastAsia="Nirmala UI" w:cs="Nirmala UI"/>
        </w:rPr>
        <w:t>घडून</w:t>
      </w:r>
      <w:r>
        <w:rPr>
          <w:rFonts w:ascii="Times New Roman" w:hAnsi="Times New Roman" w:eastAsia="Times New Roman" w:cs="Times New Roman"/>
        </w:rPr>
        <w:t xml:space="preserve"> </w:t>
      </w:r>
      <w:r>
        <w:rPr>
          <w:rFonts w:ascii="Nirmala UI" w:hAnsi="Nirmala UI" w:eastAsia="Nirmala UI" w:cs="Nirmala UI"/>
        </w:rPr>
        <w:t>यावयाच्या</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प्रकटीकरणातील</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xml:space="preserve"> </w:t>
      </w:r>
      <w:r>
        <w:rPr>
          <w:rFonts w:ascii="Nirmala UI" w:hAnsi="Nirmala UI" w:eastAsia="Nirmala UI" w:cs="Nirmala UI"/>
        </w:rPr>
        <w:t>भासणाऱ्या</w:t>
      </w:r>
      <w:r>
        <w:rPr>
          <w:rFonts w:ascii="Times New Roman" w:hAnsi="Times New Roman" w:eastAsia="Times New Roman" w:cs="Times New Roman"/>
        </w:rPr>
        <w:t xml:space="preserve"> </w:t>
      </w:r>
      <w:r>
        <w:rPr>
          <w:rFonts w:ascii="Nirmala UI" w:hAnsi="Nirmala UI" w:eastAsia="Nirmala UI" w:cs="Nirmala UI"/>
        </w:rPr>
        <w:t>प्रतीकांमुळे</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अभ्यासात</w:t>
      </w:r>
      <w:r>
        <w:rPr>
          <w:rFonts w:ascii="Times New Roman" w:hAnsi="Times New Roman" w:eastAsia="Times New Roman" w:cs="Times New Roman"/>
        </w:rPr>
        <w:t xml:space="preserve"> </w:t>
      </w:r>
      <w:r>
        <w:rPr>
          <w:rFonts w:ascii="Nirmala UI" w:hAnsi="Nirmala UI" w:eastAsia="Nirmala UI" w:cs="Nirmala UI"/>
        </w:rPr>
        <w:t>कोणीही</w:t>
      </w:r>
      <w:r>
        <w:rPr>
          <w:rFonts w:ascii="Times New Roman" w:hAnsi="Times New Roman" w:eastAsia="Times New Roman" w:cs="Times New Roman"/>
        </w:rPr>
        <w:t xml:space="preserve"> </w:t>
      </w:r>
      <w:r>
        <w:rPr>
          <w:rFonts w:ascii="Nirmala UI" w:hAnsi="Nirmala UI" w:eastAsia="Nirmala UI" w:cs="Nirmala UI"/>
        </w:rPr>
        <w:t>निरुत्साहित</w:t>
      </w:r>
      <w:r>
        <w:rPr>
          <w:rFonts w:ascii="Times New Roman" w:hAnsi="Times New Roman" w:eastAsia="Times New Roman" w:cs="Times New Roman"/>
        </w:rPr>
        <w:t xml:space="preserve"> </w:t>
      </w:r>
      <w:r>
        <w:rPr>
          <w:rFonts w:ascii="Nirmala UI" w:hAnsi="Nirmala UI" w:eastAsia="Nirmala UI" w:cs="Nirmala UI"/>
        </w:rPr>
        <w:t>होऊ</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w:t>
      </w:r>
      <w:r>
        <w:rPr>
          <w:rFonts w:ascii="Nirmala UI" w:hAnsi="Nirmala UI" w:eastAsia="Nirmala UI" w:cs="Nirmala UI"/>
        </w:rPr>
        <w:t>तुमच्यापैकी</w:t>
      </w:r>
      <w:r>
        <w:rPr>
          <w:rFonts w:ascii="Times New Roman" w:hAnsi="Times New Roman" w:eastAsia="Times New Roman" w:cs="Times New Roman"/>
        </w:rPr>
        <w:t xml:space="preserve"> </w:t>
      </w:r>
      <w:r>
        <w:rPr>
          <w:rFonts w:ascii="Nirmala UI" w:hAnsi="Nirmala UI" w:eastAsia="Nirmala UI" w:cs="Nirmala UI"/>
        </w:rPr>
        <w:t>कोणास</w:t>
      </w:r>
      <w:r>
        <w:rPr>
          <w:rFonts w:ascii="Times New Roman" w:hAnsi="Times New Roman" w:eastAsia="Times New Roman" w:cs="Times New Roman"/>
        </w:rPr>
        <w:t xml:space="preserve"> </w:t>
      </w:r>
      <w:r>
        <w:rPr>
          <w:rFonts w:ascii="Nirmala UI" w:hAnsi="Nirmala UI" w:eastAsia="Nirmala UI" w:cs="Nirmala UI"/>
        </w:rPr>
        <w:t>ज्ञानाची</w:t>
      </w:r>
      <w:r>
        <w:rPr>
          <w:rFonts w:ascii="Times New Roman" w:hAnsi="Times New Roman" w:eastAsia="Times New Roman" w:cs="Times New Roman"/>
        </w:rPr>
        <w:t xml:space="preserve"> </w:t>
      </w:r>
      <w:r>
        <w:rPr>
          <w:rFonts w:ascii="Nirmala UI" w:hAnsi="Nirmala UI" w:eastAsia="Nirmala UI" w:cs="Nirmala UI"/>
        </w:rPr>
        <w:t>उणीव</w:t>
      </w:r>
      <w:r>
        <w:rPr>
          <w:rFonts w:ascii="Times New Roman" w:hAnsi="Times New Roman" w:eastAsia="Times New Roman" w:cs="Times New Roman"/>
        </w:rPr>
        <w:t xml:space="preserve"> </w:t>
      </w:r>
      <w:r>
        <w:rPr>
          <w:rFonts w:ascii="Nirmala UI" w:hAnsi="Nirmala UI" w:eastAsia="Nirmala UI" w:cs="Nirmala UI"/>
        </w:rPr>
        <w:t>असल्यास</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देवाकडे</w:t>
      </w:r>
      <w:r>
        <w:rPr>
          <w:rFonts w:ascii="Times New Roman" w:hAnsi="Times New Roman" w:eastAsia="Times New Roman" w:cs="Times New Roman"/>
        </w:rPr>
        <w:t xml:space="preserve"> </w:t>
      </w:r>
      <w:r>
        <w:rPr>
          <w:rFonts w:ascii="Nirmala UI" w:hAnsi="Nirmala UI" w:eastAsia="Nirmala UI" w:cs="Nirmala UI"/>
        </w:rPr>
        <w:t>मागावे</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सर्वांना</w:t>
      </w:r>
      <w:r>
        <w:rPr>
          <w:rFonts w:ascii="Times New Roman" w:hAnsi="Times New Roman" w:eastAsia="Times New Roman" w:cs="Times New Roman"/>
        </w:rPr>
        <w:t xml:space="preserve"> </w:t>
      </w:r>
      <w:r>
        <w:rPr>
          <w:rFonts w:ascii="Nirmala UI" w:hAnsi="Nirmala UI" w:eastAsia="Nirmala UI" w:cs="Nirmala UI"/>
        </w:rPr>
        <w:t>उदारपणे</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निंदाही</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w:t>
      </w:r>
      <w:r>
        <w:rPr>
          <w:rFonts w:ascii="Nirmala UI" w:hAnsi="Nirmala UI" w:eastAsia="Nirmala UI" w:cs="Nirmala UI"/>
        </w:rPr>
        <w:t>धन्य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वाचतो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भविष्यवाणीसंबंधीचे</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ऐकतात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त्यात</w:t>
      </w:r>
      <w:r>
        <w:rPr>
          <w:rFonts w:ascii="Times New Roman" w:hAnsi="Times New Roman" w:eastAsia="Times New Roman" w:cs="Times New Roman"/>
        </w:rPr>
        <w:t xml:space="preserve"> </w:t>
      </w:r>
      <w:r>
        <w:rPr>
          <w:rFonts w:ascii="Nirmala UI" w:hAnsi="Nirmala UI" w:eastAsia="Nirmala UI" w:cs="Nirmala UI"/>
        </w:rPr>
        <w:t>लिहिलेल्या</w:t>
      </w:r>
      <w:r>
        <w:rPr>
          <w:rFonts w:ascii="Times New Roman" w:hAnsi="Times New Roman" w:eastAsia="Times New Roman" w:cs="Times New Roman"/>
        </w:rPr>
        <w:t xml:space="preserve"> </w:t>
      </w:r>
      <w:r>
        <w:rPr>
          <w:rFonts w:ascii="Nirmala UI" w:hAnsi="Nirmala UI" w:eastAsia="Nirmala UI" w:cs="Nirmala UI"/>
        </w:rPr>
        <w:t>गोष्टी</w:t>
      </w:r>
      <w:r>
        <w:rPr>
          <w:rFonts w:ascii="Times New Roman" w:hAnsi="Times New Roman" w:eastAsia="Times New Roman" w:cs="Times New Roman"/>
        </w:rPr>
        <w:t xml:space="preserve"> </w:t>
      </w:r>
      <w:r>
        <w:rPr>
          <w:rFonts w:ascii="Nirmala UI" w:hAnsi="Nirmala UI" w:eastAsia="Nirmala UI" w:cs="Nirmala UI"/>
        </w:rPr>
        <w:t>पाळतात</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जवळ</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प्रकटीकरणाच्या</w:t>
      </w:r>
      <w:r>
        <w:rPr>
          <w:rFonts w:ascii="Times New Roman" w:hAnsi="Times New Roman" w:eastAsia="Times New Roman" w:cs="Times New Roman"/>
        </w:rPr>
        <w:t xml:space="preserve"> </w:t>
      </w:r>
      <w:r>
        <w:rPr>
          <w:rFonts w:ascii="Nirmala UI" w:hAnsi="Nirmala UI" w:eastAsia="Nirmala UI" w:cs="Nirmala UI"/>
        </w:rPr>
        <w:t>पुस्तकात</w:t>
      </w:r>
      <w:r>
        <w:rPr>
          <w:rFonts w:ascii="Times New Roman" w:hAnsi="Times New Roman" w:eastAsia="Times New Roman" w:cs="Times New Roman"/>
        </w:rPr>
        <w:t xml:space="preserve"> </w:t>
      </w:r>
      <w:r>
        <w:rPr>
          <w:rFonts w:ascii="Nirmala UI" w:hAnsi="Nirmala UI" w:eastAsia="Nirmala UI" w:cs="Nirmala UI"/>
        </w:rPr>
        <w:t>अंतर्भूत</w:t>
      </w:r>
      <w:r>
        <w:rPr>
          <w:rFonts w:ascii="Times New Roman" w:hAnsi="Times New Roman" w:eastAsia="Times New Roman" w:cs="Times New Roman"/>
        </w:rPr>
        <w:t xml:space="preserve"> </w:t>
      </w:r>
      <w:r>
        <w:rPr>
          <w:rFonts w:ascii="Nirmala UI" w:hAnsi="Nirmala UI" w:eastAsia="Nirmala UI" w:cs="Nirmala UI"/>
        </w:rPr>
        <w:t>असलेल्या</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गंभीर</w:t>
      </w:r>
      <w:r>
        <w:rPr>
          <w:rFonts w:ascii="Times New Roman" w:hAnsi="Times New Roman" w:eastAsia="Times New Roman" w:cs="Times New Roman"/>
        </w:rPr>
        <w:t xml:space="preserve"> </w:t>
      </w:r>
      <w:r>
        <w:rPr>
          <w:rFonts w:ascii="Nirmala UI" w:hAnsi="Nirmala UI" w:eastAsia="Nirmala UI" w:cs="Nirmala UI"/>
        </w:rPr>
        <w:t>सत्यांची</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आपण</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करावयाची</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मंडळीच्या</w:t>
      </w:r>
      <w:r>
        <w:rPr>
          <w:rFonts w:ascii="Times New Roman" w:hAnsi="Times New Roman" w:eastAsia="Times New Roman" w:cs="Times New Roman"/>
        </w:rPr>
        <w:t xml:space="preserve"> </w:t>
      </w:r>
      <w:r>
        <w:rPr>
          <w:rFonts w:ascii="Nirmala UI" w:hAnsi="Nirmala UI" w:eastAsia="Nirmala UI" w:cs="Nirmala UI"/>
        </w:rPr>
        <w:t>अगदी</w:t>
      </w:r>
      <w:r>
        <w:rPr>
          <w:rFonts w:ascii="Times New Roman" w:hAnsi="Times New Roman" w:eastAsia="Times New Roman" w:cs="Times New Roman"/>
        </w:rPr>
        <w:t xml:space="preserve"> </w:t>
      </w:r>
      <w:r>
        <w:rPr>
          <w:rFonts w:ascii="Nirmala UI" w:hAnsi="Nirmala UI" w:eastAsia="Nirmala UI" w:cs="Nirmala UI"/>
        </w:rPr>
        <w:t>आराखड्यांत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तत्त्वांत</w:t>
      </w:r>
      <w:r>
        <w:rPr>
          <w:rFonts w:ascii="Times New Roman" w:hAnsi="Times New Roman" w:eastAsia="Times New Roman" w:cs="Times New Roman"/>
        </w:rPr>
        <w:t xml:space="preserve"> </w:t>
      </w:r>
      <w:r>
        <w:rPr>
          <w:rFonts w:ascii="Nirmala UI" w:hAnsi="Nirmala UI" w:eastAsia="Nirmala UI" w:cs="Nirmala UI"/>
        </w:rPr>
        <w:t>शिरली</w:t>
      </w:r>
      <w:r>
        <w:rPr>
          <w:rFonts w:ascii="Times New Roman" w:hAnsi="Times New Roman" w:eastAsia="Times New Roman" w:cs="Times New Roman"/>
        </w:rPr>
        <w:t xml:space="preserve"> </w:t>
      </w:r>
      <w:r>
        <w:rPr>
          <w:rFonts w:ascii="Nirmala UI" w:hAnsi="Nirmala UI" w:eastAsia="Nirmala UI" w:cs="Nirmala UI"/>
        </w:rPr>
        <w:t>पाहिजेत</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पुस्तकाचा</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निकटचा</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परिश्रमी</w:t>
      </w:r>
      <w:r>
        <w:rPr>
          <w:rFonts w:ascii="Times New Roman" w:hAnsi="Times New Roman" w:eastAsia="Times New Roman" w:cs="Times New Roman"/>
        </w:rPr>
        <w:t xml:space="preserve"> </w:t>
      </w:r>
      <w:r>
        <w:rPr>
          <w:rFonts w:ascii="Nirmala UI" w:hAnsi="Nirmala UI" w:eastAsia="Nirmala UI" w:cs="Nirmala UI"/>
        </w:rPr>
        <w:t>अभ्यास</w:t>
      </w:r>
      <w:r>
        <w:rPr>
          <w:rFonts w:ascii="Times New Roman" w:hAnsi="Times New Roman" w:eastAsia="Times New Roman" w:cs="Times New Roman"/>
        </w:rPr>
        <w:t xml:space="preserve"> </w:t>
      </w:r>
      <w:r>
        <w:rPr>
          <w:rFonts w:ascii="Nirmala UI" w:hAnsi="Nirmala UI" w:eastAsia="Nirmala UI" w:cs="Nirmala UI"/>
        </w:rPr>
        <w:t>व्हावा</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त्यात</w:t>
      </w:r>
      <w:r>
        <w:rPr>
          <w:rFonts w:ascii="Times New Roman" w:hAnsi="Times New Roman" w:eastAsia="Times New Roman" w:cs="Times New Roman"/>
        </w:rPr>
        <w:t xml:space="preserve"> </w:t>
      </w:r>
      <w:r>
        <w:rPr>
          <w:rFonts w:ascii="Nirmala UI" w:hAnsi="Nirmala UI" w:eastAsia="Nirmala UI" w:cs="Nirmala UI"/>
        </w:rPr>
        <w:t>अंतर्भूत</w:t>
      </w:r>
      <w:r>
        <w:rPr>
          <w:rFonts w:ascii="Times New Roman" w:hAnsi="Times New Roman" w:eastAsia="Times New Roman" w:cs="Times New Roman"/>
        </w:rPr>
        <w:t xml:space="preserve"> </w:t>
      </w:r>
      <w:r>
        <w:rPr>
          <w:rFonts w:ascii="Nirmala UI" w:hAnsi="Nirmala UI" w:eastAsia="Nirmala UI" w:cs="Nirmala UI"/>
        </w:rPr>
        <w:t>असलेल्या</w:t>
      </w:r>
      <w:r>
        <w:rPr>
          <w:rFonts w:ascii="Times New Roman" w:hAnsi="Times New Roman" w:eastAsia="Times New Roman" w:cs="Times New Roman"/>
        </w:rPr>
        <w:t xml:space="preserve"> </w:t>
      </w:r>
      <w:r>
        <w:rPr>
          <w:rFonts w:ascii="Nirmala UI" w:hAnsi="Nirmala UI" w:eastAsia="Nirmala UI" w:cs="Nirmala UI"/>
        </w:rPr>
        <w:t>सत्यांचे</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उत्कट</w:t>
      </w:r>
      <w:r>
        <w:rPr>
          <w:rFonts w:ascii="Times New Roman" w:hAnsi="Times New Roman" w:eastAsia="Times New Roman" w:cs="Times New Roman"/>
        </w:rPr>
        <w:t xml:space="preserve"> </w:t>
      </w:r>
      <w:r>
        <w:rPr>
          <w:rFonts w:ascii="Nirmala UI" w:hAnsi="Nirmala UI" w:eastAsia="Nirmala UI" w:cs="Nirmala UI"/>
        </w:rPr>
        <w:t>सादरीकरण</w:t>
      </w:r>
      <w:r>
        <w:rPr>
          <w:rFonts w:ascii="Times New Roman" w:hAnsi="Times New Roman" w:eastAsia="Times New Roman" w:cs="Times New Roman"/>
        </w:rPr>
        <w:t xml:space="preserve"> </w:t>
      </w:r>
      <w:r>
        <w:rPr>
          <w:rFonts w:ascii="Nirmala UI" w:hAnsi="Nirmala UI" w:eastAsia="Nirmala UI" w:cs="Nirmala UI"/>
        </w:rPr>
        <w:t>व्हावे</w:t>
      </w:r>
      <w:r>
        <w:rPr>
          <w:rFonts w:ascii="Times New Roman" w:hAnsi="Times New Roman" w:eastAsia="Times New Roman" w:cs="Times New Roman"/>
        </w:rPr>
        <w:t>—</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शेवटच्या</w:t>
      </w:r>
      <w:r>
        <w:rPr>
          <w:rFonts w:ascii="Times New Roman" w:hAnsi="Times New Roman" w:eastAsia="Times New Roman" w:cs="Times New Roman"/>
        </w:rPr>
        <w:t xml:space="preserve"> </w:t>
      </w:r>
      <w:r>
        <w:rPr>
          <w:rFonts w:ascii="Nirmala UI" w:hAnsi="Nirmala UI" w:eastAsia="Nirmala UI" w:cs="Nirmala UI"/>
        </w:rPr>
        <w:t>दिवसांत</w:t>
      </w:r>
      <w:r>
        <w:rPr>
          <w:rFonts w:ascii="Times New Roman" w:hAnsi="Times New Roman" w:eastAsia="Times New Roman" w:cs="Times New Roman"/>
        </w:rPr>
        <w:t xml:space="preserve"> </w:t>
      </w:r>
      <w:r>
        <w:rPr>
          <w:rFonts w:ascii="Nirmala UI" w:hAnsi="Nirmala UI" w:eastAsia="Nirmala UI" w:cs="Nirmala UI"/>
        </w:rPr>
        <w:t>जगणाऱ्या</w:t>
      </w:r>
      <w:r>
        <w:rPr>
          <w:rFonts w:ascii="Times New Roman" w:hAnsi="Times New Roman" w:eastAsia="Times New Roman" w:cs="Times New Roman"/>
        </w:rPr>
        <w:t xml:space="preserve"> </w:t>
      </w:r>
      <w:r>
        <w:rPr>
          <w:rFonts w:ascii="Nirmala UI" w:hAnsi="Nirmala UI" w:eastAsia="Nirmala UI" w:cs="Nirmala UI"/>
        </w:rPr>
        <w:t>सर्वांशी</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भेटण्याची</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पुस्तकाला</w:t>
      </w:r>
      <w:r>
        <w:rPr>
          <w:rFonts w:ascii="Times New Roman" w:hAnsi="Times New Roman" w:eastAsia="Times New Roman" w:cs="Times New Roman"/>
        </w:rPr>
        <w:t xml:space="preserve"> </w:t>
      </w:r>
      <w:r>
        <w:rPr>
          <w:rFonts w:ascii="Nirmala UI" w:hAnsi="Nirmala UI" w:eastAsia="Nirmala UI" w:cs="Nirmala UI"/>
        </w:rPr>
        <w:t>प्रामाणिक</w:t>
      </w:r>
      <w:r>
        <w:rPr>
          <w:rFonts w:ascii="Times New Roman" w:hAnsi="Times New Roman" w:eastAsia="Times New Roman" w:cs="Times New Roman"/>
        </w:rPr>
        <w:t xml:space="preserve"> </w:t>
      </w:r>
      <w:r>
        <w:rPr>
          <w:rFonts w:ascii="Nirmala UI" w:hAnsi="Nirmala UI" w:eastAsia="Nirmala UI" w:cs="Nirmala UI"/>
        </w:rPr>
        <w:t>अभ्यास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प्रार्थनेचा</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बनवावा</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तसेच</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पृथ्वीच्या</w:t>
      </w:r>
      <w:r>
        <w:rPr>
          <w:rFonts w:ascii="Times New Roman" w:hAnsi="Times New Roman" w:eastAsia="Times New Roman" w:cs="Times New Roman"/>
        </w:rPr>
        <w:t xml:space="preserve"> </w:t>
      </w:r>
      <w:r>
        <w:rPr>
          <w:rFonts w:ascii="Nirmala UI" w:hAnsi="Nirmala UI" w:eastAsia="Nirmala UI" w:cs="Nirmala UI"/>
        </w:rPr>
        <w:t>इतिहासाच्या</w:t>
      </w:r>
      <w:r>
        <w:rPr>
          <w:rFonts w:ascii="Times New Roman" w:hAnsi="Times New Roman" w:eastAsia="Times New Roman" w:cs="Times New Roman"/>
        </w:rPr>
        <w:t xml:space="preserve"> </w:t>
      </w:r>
      <w:r>
        <w:rPr>
          <w:rFonts w:ascii="Nirmala UI" w:hAnsi="Nirmala UI" w:eastAsia="Nirmala UI" w:cs="Nirmala UI"/>
        </w:rPr>
        <w:t>शेवटच्या</w:t>
      </w:r>
      <w:r>
        <w:rPr>
          <w:rFonts w:ascii="Times New Roman" w:hAnsi="Times New Roman" w:eastAsia="Times New Roman" w:cs="Times New Roman"/>
        </w:rPr>
        <w:t xml:space="preserve"> </w:t>
      </w:r>
      <w:r>
        <w:rPr>
          <w:rFonts w:ascii="Nirmala UI" w:hAnsi="Nirmala UI" w:eastAsia="Nirmala UI" w:cs="Nirmala UI"/>
        </w:rPr>
        <w:t>दिवसांत</w:t>
      </w:r>
      <w:r>
        <w:rPr>
          <w:rFonts w:ascii="Times New Roman" w:hAnsi="Times New Roman" w:eastAsia="Times New Roman" w:cs="Times New Roman"/>
        </w:rPr>
        <w:t xml:space="preserve"> </w:t>
      </w:r>
      <w:r>
        <w:rPr>
          <w:rFonts w:ascii="Nirmala UI" w:hAnsi="Nirmala UI" w:eastAsia="Nirmala UI" w:cs="Nirmala UI"/>
        </w:rPr>
        <w:t>घडून</w:t>
      </w:r>
      <w:r>
        <w:rPr>
          <w:rFonts w:ascii="Times New Roman" w:hAnsi="Times New Roman" w:eastAsia="Times New Roman" w:cs="Times New Roman"/>
        </w:rPr>
        <w:t xml:space="preserve"> </w:t>
      </w:r>
      <w:r>
        <w:rPr>
          <w:rFonts w:ascii="Nirmala UI" w:hAnsi="Nirmala UI" w:eastAsia="Nirmala UI" w:cs="Nirmala UI"/>
        </w:rPr>
        <w:t>येणाऱ्या</w:t>
      </w:r>
      <w:r>
        <w:rPr>
          <w:rFonts w:ascii="Times New Roman" w:hAnsi="Times New Roman" w:eastAsia="Times New Roman" w:cs="Times New Roman"/>
        </w:rPr>
        <w:t xml:space="preserve"> </w:t>
      </w:r>
      <w:r>
        <w:rPr>
          <w:rFonts w:ascii="Nirmala UI" w:hAnsi="Nirmala UI" w:eastAsia="Nirmala UI" w:cs="Nirmala UI"/>
        </w:rPr>
        <w:t>अत्यंत</w:t>
      </w:r>
      <w:r>
        <w:rPr>
          <w:rFonts w:ascii="Times New Roman" w:hAnsi="Times New Roman" w:eastAsia="Times New Roman" w:cs="Times New Roman"/>
        </w:rPr>
        <w:t xml:space="preserve"> </w:t>
      </w:r>
      <w:r>
        <w:rPr>
          <w:rFonts w:ascii="Nirmala UI" w:hAnsi="Nirmala UI" w:eastAsia="Nirmala UI" w:cs="Nirmala UI"/>
        </w:rPr>
        <w:t>महत्त्वाच्या</w:t>
      </w:r>
      <w:r>
        <w:rPr>
          <w:rFonts w:ascii="Times New Roman" w:hAnsi="Times New Roman" w:eastAsia="Times New Roman" w:cs="Times New Roman"/>
        </w:rPr>
        <w:t xml:space="preserve"> </w:t>
      </w:r>
      <w:r>
        <w:rPr>
          <w:rFonts w:ascii="Nirmala UI" w:hAnsi="Nirmala UI" w:eastAsia="Nirmala UI" w:cs="Nirmala UI"/>
        </w:rPr>
        <w:t>घटनांचे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वचनावर</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ख्रिस्ताच्या</w:t>
      </w:r>
      <w:r>
        <w:rPr>
          <w:rFonts w:ascii="Times New Roman" w:hAnsi="Times New Roman" w:eastAsia="Times New Roman" w:cs="Times New Roman"/>
        </w:rPr>
        <w:t xml:space="preserve"> </w:t>
      </w:r>
      <w:r>
        <w:rPr>
          <w:rFonts w:ascii="Nirmala UI" w:hAnsi="Nirmala UI" w:eastAsia="Nirmala UI" w:cs="Nirmala UI"/>
        </w:rPr>
        <w:t>साक्षीवर</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भरोशामुळे</w:t>
      </w:r>
      <w:r>
        <w:rPr>
          <w:rFonts w:ascii="Times New Roman" w:hAnsi="Times New Roman" w:eastAsia="Times New Roman" w:cs="Times New Roman"/>
        </w:rPr>
        <w:t xml:space="preserve"> </w:t>
      </w:r>
      <w:r>
        <w:rPr>
          <w:rFonts w:ascii="Nirmala UI" w:hAnsi="Nirmala UI" w:eastAsia="Nirmala UI" w:cs="Nirmala UI"/>
        </w:rPr>
        <w:t>योहानाला</w:t>
      </w:r>
      <w:r>
        <w:rPr>
          <w:rFonts w:ascii="Times New Roman" w:hAnsi="Times New Roman" w:eastAsia="Times New Roman" w:cs="Times New Roman"/>
        </w:rPr>
        <w:t xml:space="preserve"> </w:t>
      </w:r>
      <w:r>
        <w:rPr>
          <w:rFonts w:ascii="Nirmala UI" w:hAnsi="Nirmala UI" w:eastAsia="Nirmala UI" w:cs="Nirmala UI"/>
        </w:rPr>
        <w:t>पातमोस</w:t>
      </w:r>
      <w:r>
        <w:rPr>
          <w:rFonts w:ascii="Times New Roman" w:hAnsi="Times New Roman" w:eastAsia="Times New Roman" w:cs="Times New Roman"/>
        </w:rPr>
        <w:t xml:space="preserve"> </w:t>
      </w:r>
      <w:r>
        <w:rPr>
          <w:rFonts w:ascii="Nirmala UI" w:hAnsi="Nirmala UI" w:eastAsia="Nirmala UI" w:cs="Nirmala UI"/>
        </w:rPr>
        <w:t>बेटावर</w:t>
      </w:r>
      <w:r>
        <w:rPr>
          <w:rFonts w:ascii="Times New Roman" w:hAnsi="Times New Roman" w:eastAsia="Times New Roman" w:cs="Times New Roman"/>
        </w:rPr>
        <w:t xml:space="preserve"> </w:t>
      </w:r>
      <w:r>
        <w:rPr>
          <w:rFonts w:ascii="Nirmala UI" w:hAnsi="Nirmala UI" w:eastAsia="Nirmala UI" w:cs="Nirmala UI"/>
        </w:rPr>
        <w:t>हद्दपार</w:t>
      </w:r>
      <w:r>
        <w:rPr>
          <w:rFonts w:ascii="Times New Roman" w:hAnsi="Times New Roman" w:eastAsia="Times New Roman" w:cs="Times New Roman"/>
        </w:rPr>
        <w:t xml:space="preserve"> </w:t>
      </w:r>
      <w:r>
        <w:rPr>
          <w:rFonts w:ascii="Nirmala UI" w:hAnsi="Nirmala UI" w:eastAsia="Nirmala UI" w:cs="Nirmala UI"/>
        </w:rPr>
        <w:t>करण्यात</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हद्दपारीमुळे</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ख्रिस्तापासून</w:t>
      </w:r>
      <w:r>
        <w:rPr>
          <w:rFonts w:ascii="Times New Roman" w:hAnsi="Times New Roman" w:eastAsia="Times New Roman" w:cs="Times New Roman"/>
        </w:rPr>
        <w:t xml:space="preserve"> </w:t>
      </w:r>
      <w:r>
        <w:rPr>
          <w:rFonts w:ascii="Nirmala UI" w:hAnsi="Nirmala UI" w:eastAsia="Nirmala UI" w:cs="Nirmala UI"/>
        </w:rPr>
        <w:t>विभक्त</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प्रभूने</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सेवकाला</w:t>
      </w:r>
      <w:r>
        <w:rPr>
          <w:rFonts w:ascii="Times New Roman" w:hAnsi="Times New Roman" w:eastAsia="Times New Roman" w:cs="Times New Roman"/>
        </w:rPr>
        <w:t xml:space="preserve"> </w:t>
      </w:r>
      <w:r>
        <w:rPr>
          <w:rFonts w:ascii="Nirmala UI" w:hAnsi="Nirmala UI" w:eastAsia="Nirmala UI" w:cs="Nirmala UI"/>
        </w:rPr>
        <w:t>त्याच्या</w:t>
      </w:r>
      <w:r>
        <w:rPr>
          <w:rFonts w:ascii="Times New Roman" w:hAnsi="Times New Roman" w:eastAsia="Times New Roman" w:cs="Times New Roman"/>
        </w:rPr>
        <w:t xml:space="preserve"> </w:t>
      </w:r>
      <w:r>
        <w:rPr>
          <w:rFonts w:ascii="Nirmala UI" w:hAnsi="Nirmala UI" w:eastAsia="Nirmala UI" w:cs="Nirmala UI"/>
        </w:rPr>
        <w:t>हद्दपारीत</w:t>
      </w:r>
      <w:r>
        <w:rPr>
          <w:rFonts w:ascii="Times New Roman" w:hAnsi="Times New Roman" w:eastAsia="Times New Roman" w:cs="Times New Roman"/>
        </w:rPr>
        <w:t xml:space="preserve"> </w:t>
      </w:r>
      <w:r>
        <w:rPr>
          <w:rFonts w:ascii="Nirmala UI" w:hAnsi="Nirmala UI" w:eastAsia="Nirmala UI" w:cs="Nirmala UI"/>
        </w:rPr>
        <w:t>भेट</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जगावर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येणार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त्याविषयी</w:t>
      </w:r>
      <w:r>
        <w:rPr>
          <w:rFonts w:ascii="Times New Roman" w:hAnsi="Times New Roman" w:eastAsia="Times New Roman" w:cs="Times New Roman"/>
        </w:rPr>
        <w:t xml:space="preserve"> </w:t>
      </w:r>
      <w:r>
        <w:rPr>
          <w:rFonts w:ascii="Nirmala UI" w:hAnsi="Nirmala UI" w:eastAsia="Nirmala UI" w:cs="Nirmala UI"/>
        </w:rPr>
        <w:t>त्याला</w:t>
      </w:r>
      <w:r>
        <w:rPr>
          <w:rFonts w:ascii="Times New Roman" w:hAnsi="Times New Roman" w:eastAsia="Times New Roman" w:cs="Times New Roman"/>
        </w:rPr>
        <w:t xml:space="preserve"> </w:t>
      </w:r>
      <w:r>
        <w:rPr>
          <w:rFonts w:ascii="Nirmala UI" w:hAnsi="Nirmala UI" w:eastAsia="Nirmala UI" w:cs="Nirmala UI"/>
        </w:rPr>
        <w:t>शिक्षण</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Cet avertissement est pour nous de la plus haute importance ; car nous vivons dans les derniers jours de l’histoire de cette terre. Bientôt, nous entrerons dans l’accomplissement des événements que le Christ montra à Jean comme devant se produire. Lorsque les messagers du Seigneur présentent ces vérités solennelles, ils doivent se rendre compte qu’ils traitent de sujets d’intérêt éternel, et ils devraient rechercher le baptême du Saint-Esprit, afin de parler, non leurs propres paroles, mais les paroles que Dieu leur donne. »</w:t>
      </w:r>
    </w:p>
    <w:p>
      <w:pPr>
        <w:pStyle w:val="ArticleScripture"/>
        <w:jc w:val="left"/>
      </w:pPr>
      <w:r>
        <w:rPr>
          <w:rFonts w:ascii="Times New Roman" w:hAnsi="Times New Roman" w:eastAsia="Times New Roman" w:cs="Times New Roman"/>
        </w:rPr>
        <w:t>«Livre Révélation-la-la do yɛlɛ́n gbɛtɔ́wo na. A ɖo mɔ́ na amɛ bɛ e nye agbalẽ si wo xɔ nu, gake wo xɔ nu na ame siwo gbɛ nyateƒe kple kekeli ɖe ŋu ko. Nyateƒe siwo le eme la, ele be woagblɔ wo kple ŋusẽ, ale be amewo nakpɔ mɔ be yewoana ɖoɖo na nusiwo le vava ge kaba. Ele be woatsɔ Dɔla Etɔlia la Ɖeɖefia awɔe abe mɔ ɖeka ko si nye xɔxɔ na xexeme si le tsrɔ ge la ƒe agbeɖeɖe ene.»</w:t>
      </w:r>
    </w:p>
    <w:p>
      <w:pPr>
        <w:pStyle w:val="ArticleScripture"/>
        <w:jc w:val="left"/>
      </w:pPr>
      <w:r>
        <w:rPr>
          <w:rFonts w:ascii="Times New Roman" w:hAnsi="Times New Roman" w:eastAsia="Times New Roman" w:cs="Times New Roman"/>
        </w:rPr>
        <w:t>“Ang mga panganib ng mga huling araw ay sumasaatin na, at sa ating gawain ay dapat nating bigyan ng babala ang mga tao tungkol sa panganib na kanilang kinalalagyan. Huwag hayaang mapabayaan ang mga banal na tagpong ipinahayag ng propesiya na malapit nang maganap. Tayo ay mga sugo ng Diyos, at wala tayong panahong dapat sayangin. Ang mga nagnanais maging mga kamanggagawa ng ating Panginoong Jesu-Cristo ay magpapakita ng malalim na pagmamalasakit sa mga katotohanang nasusumpungan sa aklat na ito. Sa pamamagitan ng panulat at tinig ay pagsisikapan nilang maipaliwanag nang malinaw ang mga kagila-gilalas na bagay na ipinanggaling ni Cristo mula sa langit upang ihayag.” Signs of the Times, Hulyo 4, 1906.</w:t>
      </w:r>
    </w:p>
    <w:p>
      <w:pPr>
        <w:pStyle w:val="ArticleBody"/>
        <w:jc w:val="left"/>
      </w:pPr>
      <w:r>
        <w:rPr>
          <w:rFonts w:ascii="Times New Roman" w:hAnsi="Times New Roman" w:eastAsia="Times New Roman" w:cs="Times New Roman"/>
        </w:rPr>
        <w:t>Lebih daripada seratus tahun yang lalu, pada tahun 1906, kita telah diberitahu bahawa tidak lama lagi “kita akan memasuki penggenapan peristiwa-peristiwa yang Kristus tunjukkan kepada Yohanes akan berlaku.” Pada tahun 1906, pekhabaran itu masih termeterai. Adalah penting untuk memahami bahawa pekhabaran Wahyu Yesus Kristus dibukakan kepada umat Tuhan tepat sebelum peristiwa-peristiwa itu berlaku. Kita diberitahu bahawa kitab Wahyu “adalah tepat sebagaimana namanya menandakan,—suatu penyingkapan tentang peristiwa-peristiwa yang paling penting yang akan berlaku pada hari-hari terakhir sejarah bumi ini.”</w:t>
      </w:r>
    </w:p>
    <w:p>
      <w:pPr>
        <w:pStyle w:val="ArticleBody"/>
        <w:jc w:val="left"/>
      </w:pPr>
      <w:r>
        <w:rPr>
          <w:rFonts w:ascii="Times New Roman" w:hAnsi="Times New Roman" w:eastAsia="Times New Roman" w:cs="Times New Roman"/>
        </w:rPr>
        <w:t>اساں جي ڪري کولي ونيا ٿا، تہ خدا جا ماڻھو چتاءُ ڏين، تہ جيڪي اھو چتاءُ ٻڌن ٿا، سي “اُنھن واقعن لاءِ، جي تمام جلد پيش اچڻ وارا آھن، تيار ٿيڻ جو موقعو حاصل ڪن.” ھن ڳالھہ تي ڌيان ڏيڻ جوڳي آھي (ڇالاءِجو يوحنا اُن تاريخي دور ۾ خدا جي ماڻھن جي نمائندگي ڪري ٿو، جڏھن اھو پيغام اعلان ڪيو وڃڻو آھي)، تہ يوحنا انھن ٻن مسئلن جي سڃاڻپ ڪري ٿو، جن بابت ھن تي ظلم ڪيو پئي ويو. اھو “خدا جي ڪلام تي سندس وفادارانہ ڀروسي، ۽ مسيح جي شاھدي” جي ڪري ھو، جو ھو “پطمس جي ٻيٽ ڏانھن جلاوطن ڪيو ويو.” ھو انھيءَ ڪري جلاوطن ڪيو ويو، جو ھن بائيبل ۽ نبوت جي روح، جيڪو “يسوع جي شاھدي” آھي، ٻنھي کي قبول ڪيو.</w:t>
      </w:r>
    </w:p>
    <w:p>
      <w:pPr>
        <w:pStyle w:val="ArticleScripture"/>
        <w:jc w:val="left"/>
      </w:pPr>
      <w:r>
        <w:rPr>
          <w:rFonts w:ascii="Times New Roman" w:hAnsi="Times New Roman" w:eastAsia="Times New Roman" w:cs="Times New Roman"/>
        </w:rPr>
        <w:t>Et je tombai à ses pieds pour l’adorer. Mais il me dit : Garde-toi de le faire ! Je suis ton compagnon de service, et celui de tes frères qui ont le témoignage de Jésus : adore Dieu ; car le témoignage de Jésus est l’esprit de la prophétie. Apocalypse 19:10.</w:t>
      </w:r>
    </w:p>
    <w:p>
      <w:pPr>
        <w:pStyle w:val="ArticleBody"/>
        <w:jc w:val="left"/>
      </w:pP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ਸਮਝਦੇ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ਕਾਇਮ</w:t>
      </w:r>
      <w:r>
        <w:rPr>
          <w:rFonts w:ascii="Times New Roman" w:hAnsi="Times New Roman" w:eastAsia="Times New Roman" w:cs="Times New Roman"/>
        </w:rPr>
        <w:t xml:space="preserve"> </w:t>
      </w:r>
      <w:r>
        <w:rPr>
          <w:rFonts w:ascii="Nirmala UI" w:hAnsi="Nirmala UI" w:eastAsia="Nirmala UI" w:cs="Nirmala UI"/>
        </w:rPr>
        <w:t>ਰੱਖਣ</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ਸਤਾਏ</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Times New Roman" w:hAnsi="Times New Roman" w:eastAsia="Times New Roman" w:cs="Times New Roman"/>
        </w:rPr>
        <w:t>V prvních třech verších první kapitoly je zdůrazněn proces sdělování mezi Bohem Otcem a jeho služebníky. Dvacátá druhá kapitola k vyprávění o tomto procesu sdělování přidává další prvky. Tyto dva oddíly představují začátek a závěr knihy Zjevení a společně podrobně ukazují úlohu Jana v prorockém znázornění. Není pouze tím, kdo zapsal slova knihy Zjevení, nýbrž také představuje ty, kdo na konci světa sdělují poslední výstražné poselství.</w:t>
      </w:r>
    </w:p>
    <w:p>
      <w:pPr>
        <w:pStyle w:val="ArticleScripture"/>
        <w:jc w:val="left"/>
      </w:pPr>
      <w:r>
        <w:rPr>
          <w:rFonts w:ascii="Times New Roman" w:hAnsi="Times New Roman" w:eastAsia="Times New Roman" w:cs="Times New Roman"/>
        </w:rPr>
        <w:t>Rabbi ya ba da magana: babban taro ne na waɗanda suka shelar ta. Zabura 68:11</w:t>
      </w:r>
    </w:p>
    <w:p>
      <w:pPr>
        <w:pStyle w:val="ArticleBody"/>
        <w:jc w:val="left"/>
      </w:pPr>
      <w:r>
        <w:rPr>
          <w:rFonts w:ascii="Times New Roman" w:hAnsi="Times New Roman" w:eastAsia="Times New Roman" w:cs="Times New Roman"/>
        </w:rPr>
        <w:t>Yohane “yaabonye” kandi “yumvise” “ibintu” bigize ubwo butumwa, maze ategekwa kubwandika no kubwoherereza amatorero.</w:t>
      </w:r>
    </w:p>
    <w:p>
      <w:pPr>
        <w:pStyle w:val="ArticleScripture"/>
        <w:jc w:val="left"/>
      </w:pPr>
      <w:r>
        <w:rPr>
          <w:rFonts w:ascii="Times New Roman" w:hAnsi="Times New Roman" w:eastAsia="Times New Roman" w:cs="Times New Roman"/>
        </w:rPr>
        <w:t>Akanjo le o: Ke nna Alefa le Omega, wa ntlha le wa bofelo; mme se o se bonang, se kwale mo bukeng, o se romele kwa dikerekeng tse supa tse di mo Asia; kwa Efeso, le kwa Simirina, le kwa Peregamo, le kwa Thuatira, le kwa Saradise, le kwa Filadelifia, le kwa Laodikia. Tshenolo 1:19.</w:t>
      </w:r>
    </w:p>
    <w:p>
      <w:pPr>
        <w:pStyle w:val="ArticleBody"/>
        <w:jc w:val="left"/>
      </w:pPr>
      <w:r>
        <w:rPr>
          <w:rFonts w:ascii="Times New Roman" w:hAnsi="Times New Roman" w:eastAsia="Times New Roman" w:cs="Times New Roman"/>
        </w:rPr>
        <w:t>Na hụrụ na ihe ọ “nụrụ” na ihe ọ “hụrụ,” e nyere ya iwu ka o dee ha ma ziga ha n’ebe ụka asaa nke Eshia nta nọ; ma mgbe o rutere n’ihe metụtara ụka nke ọ bụla n’otu n’otu, Jizọs kpọrọ Jọn ozi ndị ahụ ozugbo, n’ihi na ozi ọ bụla e zigara nke ọ bụla n’ime ụka asaa ahụ na-amalite site n’okwu a: “Degara mmụọ ozi nke ụka dị na … akwụkwọ.” Jizọs kpọrọ ozi ndị e zigara ụka ndị ahụ n’otu n’otu.</w:t>
      </w:r>
    </w:p>
    <w:p>
      <w:pPr>
        <w:pStyle w:val="ArticleBody"/>
        <w:jc w:val="left"/>
      </w:pPr>
      <w:r>
        <w:rPr>
          <w:rFonts w:ascii="Times New Roman" w:hAnsi="Times New Roman" w:eastAsia="Times New Roman" w:cs="Times New Roman"/>
        </w:rPr>
        <w:t>Gesù dettò a Giovanni, e Gesù disse anche a Giovanni di scrivere ciò che vide e udì, e una volta Gesù disse a Giovanni di “non” scrivere ciò che aveva udito.</w:t>
      </w:r>
    </w:p>
    <w:p>
      <w:pPr>
        <w:pStyle w:val="ArticleScripture"/>
        <w:jc w:val="left"/>
      </w:pPr>
      <w:r>
        <w:rPr>
          <w:rFonts w:ascii="Times New Roman" w:hAnsi="Times New Roman" w:eastAsia="Times New Roman" w:cs="Times New Roman"/>
        </w:rPr>
        <w:t>Si schreit mit lûter stimme, gleich als ein lewe brüellet; und da er geschrien hatte, liessen siben donreslâge ir stimme hören. Und da die siben donreslâge ir stimme hatten hören lassen, wollte ich schreiben; und ich hôrte eine stimme vom himel, die sprach zu mir: Versigele, was die siben donreslâge geredet haben, und schreibe es nicht. Offenbarung 10:3, 4.</w:t>
      </w:r>
    </w:p>
    <w:p>
      <w:pPr>
        <w:pStyle w:val="ArticleBody"/>
        <w:jc w:val="left"/>
      </w:pPr>
      <w:r>
        <w:rPr>
          <w:rFonts w:ascii="Times New Roman" w:hAnsi="Times New Roman" w:eastAsia="Times New Roman" w:cs="Times New Roman"/>
        </w:rPr>
        <w:t>Yohane o ile a bolelloa hore a tiise seo lialuma tse supileng li se buileng, ’me ka ho etsa joalo o ne a tiisa molaetsa oa lialuma tse supileng, joalo ka ha Daniele a ile a laeloa hore a tiise buka ea hae ho fihlela nakong ea bofelo.</w:t>
      </w:r>
    </w:p>
    <w:p>
      <w:pPr>
        <w:pStyle w:val="ArticleScripture"/>
        <w:jc w:val="left"/>
      </w:pPr>
      <w:r>
        <w:rPr>
          <w:rFonts w:ascii="Times New Roman" w:hAnsi="Times New Roman" w:eastAsia="Times New Roman" w:cs="Times New Roman"/>
        </w:rPr>
        <w:t>Men toi, ô Daniel, tiens secrètes ces paroles et scelle le livre jusqu’au temps de la fin : beaucoup iront çà et là, et la connaissance augmentera.... Et il dit : Va ton chemin, Daniel ; car ces paroles sont tenues secrètes et scellées jusqu’au temps de la fin. Daniel 12:4, 9.</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七</w:t>
      </w:r>
      <w:r>
        <w:rPr>
          <w:rFonts w:ascii="MS Gothic" w:hAnsi="MS Gothic" w:eastAsia="MS Gothic" w:cs="MS Gothic"/>
        </w:rPr>
        <w:t>つの</w:t>
      </w:r>
      <w:r>
        <w:rPr>
          <w:rFonts w:ascii="Microsoft YaHei" w:hAnsi="Microsoft YaHei" w:eastAsia="Microsoft YaHei" w:cs="Microsoft YaHei"/>
        </w:rPr>
        <w:t>雷</w:t>
      </w:r>
      <w:r>
        <w:rPr>
          <w:rFonts w:ascii="MS Gothic" w:hAnsi="MS Gothic" w:eastAsia="MS Gothic" w:cs="MS Gothic"/>
        </w:rPr>
        <w:t>がその</w:t>
      </w:r>
      <w:r>
        <w:rPr>
          <w:rFonts w:ascii="Microsoft YaHei" w:hAnsi="Microsoft YaHei" w:eastAsia="Microsoft YaHei" w:cs="Microsoft YaHei"/>
        </w:rPr>
        <w:t>声</w:t>
      </w:r>
      <w:r>
        <w:rPr>
          <w:rFonts w:ascii="MS Gothic" w:hAnsi="MS Gothic" w:eastAsia="MS Gothic" w:cs="MS Gothic"/>
        </w:rPr>
        <w:t>を</w:t>
      </w:r>
      <w:r>
        <w:rPr>
          <w:rFonts w:ascii="Microsoft YaHei" w:hAnsi="Microsoft YaHei" w:eastAsia="Microsoft YaHei" w:cs="Microsoft YaHei"/>
        </w:rPr>
        <w:t>発</w:t>
      </w:r>
      <w:r>
        <w:rPr>
          <w:rFonts w:ascii="MS Gothic" w:hAnsi="MS Gothic" w:eastAsia="MS Gothic" w:cs="MS Gothic"/>
        </w:rPr>
        <w:t>した</w:t>
      </w:r>
      <w:r>
        <w:rPr>
          <w:rFonts w:ascii="Microsoft YaHei" w:hAnsi="Microsoft YaHei" w:eastAsia="Microsoft YaHei" w:cs="Microsoft YaHei"/>
        </w:rPr>
        <w:t>後、小</w:t>
      </w:r>
      <w:r>
        <w:rPr>
          <w:rFonts w:ascii="MS Gothic" w:hAnsi="MS Gothic" w:eastAsia="MS Gothic" w:cs="MS Gothic"/>
        </w:rPr>
        <w:t>さな</w:t>
      </w:r>
      <w:r>
        <w:rPr>
          <w:rFonts w:ascii="Microsoft YaHei" w:hAnsi="Microsoft YaHei" w:eastAsia="Microsoft YaHei" w:cs="Microsoft YaHei"/>
        </w:rPr>
        <w:t>書</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してダニエルに</w:t>
      </w:r>
      <w:r>
        <w:rPr>
          <w:rFonts w:ascii="Microsoft YaHei" w:hAnsi="Microsoft YaHei" w:eastAsia="Microsoft YaHei" w:cs="Microsoft YaHei"/>
        </w:rPr>
        <w:t>命</w:t>
      </w:r>
      <w:r>
        <w:rPr>
          <w:rFonts w:ascii="MS Gothic" w:hAnsi="MS Gothic" w:eastAsia="MS Gothic" w:cs="MS Gothic"/>
        </w:rPr>
        <w:t>じられたのと</w:t>
      </w:r>
      <w:r>
        <w:rPr>
          <w:rFonts w:ascii="Microsoft YaHei" w:hAnsi="Microsoft YaHei" w:eastAsia="Microsoft YaHei" w:cs="Microsoft YaHei"/>
        </w:rPr>
        <w:t>同様</w:t>
      </w:r>
      <w:r>
        <w:rPr>
          <w:rFonts w:ascii="MS Gothic" w:hAnsi="MS Gothic" w:eastAsia="MS Gothic" w:cs="MS Gothic"/>
        </w:rPr>
        <w:t>の</w:t>
      </w:r>
      <w:r>
        <w:rPr>
          <w:rFonts w:ascii="Microsoft YaHei" w:hAnsi="Microsoft YaHei" w:eastAsia="Microsoft YaHei" w:cs="Microsoft YaHei"/>
        </w:rPr>
        <w:t>命令</w:t>
      </w:r>
      <w:r>
        <w:rPr>
          <w:rFonts w:ascii="MS Gothic" w:hAnsi="MS Gothic" w:eastAsia="MS Gothic" w:cs="MS Gothic"/>
        </w:rPr>
        <w:t>がヨハネに</w:t>
      </w:r>
      <w:r>
        <w:rPr>
          <w:rFonts w:ascii="Microsoft YaHei" w:hAnsi="Microsoft YaHei" w:eastAsia="Microsoft YaHei" w:cs="Microsoft YaHei"/>
        </w:rPr>
        <w:t>与</w:t>
      </w:r>
      <w:r>
        <w:rPr>
          <w:rFonts w:ascii="MS Gothic" w:hAnsi="MS Gothic" w:eastAsia="MS Gothic" w:cs="MS Gothic"/>
        </w:rPr>
        <w:t>えられる</w:t>
      </w:r>
      <w:r>
        <w:rPr>
          <w:rFonts w:ascii="Times New Roman" w:hAnsi="Times New Roman" w:eastAsia="Times New Roman" w:cs="Times New Roman"/>
        </w:rPr>
        <w:t>.</w:t>
      </w:r>
      <w:r>
        <w:rPr>
          <w:rFonts w:ascii="Microsoft YaHei" w:hAnsi="Microsoft YaHei" w:eastAsia="Microsoft YaHei" w:cs="Microsoft YaHei"/>
        </w:rPr>
        <w:t>『七</w:t>
      </w:r>
      <w:r>
        <w:rPr>
          <w:rFonts w:ascii="MS Gothic" w:hAnsi="MS Gothic" w:eastAsia="MS Gothic" w:cs="MS Gothic"/>
        </w:rPr>
        <w:t>つの</w:t>
      </w:r>
      <w:r>
        <w:rPr>
          <w:rFonts w:ascii="Microsoft YaHei" w:hAnsi="Microsoft YaHei" w:eastAsia="Microsoft YaHei" w:cs="Microsoft YaHei"/>
        </w:rPr>
        <w:t>雷</w:t>
      </w:r>
      <w:r>
        <w:rPr>
          <w:rFonts w:ascii="MS Gothic" w:hAnsi="MS Gothic" w:eastAsia="MS Gothic" w:cs="MS Gothic"/>
        </w:rPr>
        <w:t>が</w:t>
      </w:r>
      <w:r>
        <w:rPr>
          <w:rFonts w:ascii="Microsoft YaHei" w:hAnsi="Microsoft YaHei" w:eastAsia="Microsoft YaHei" w:cs="Microsoft YaHei"/>
        </w:rPr>
        <w:t>語</w:t>
      </w:r>
      <w:r>
        <w:rPr>
          <w:rFonts w:ascii="MS Gothic" w:hAnsi="MS Gothic" w:eastAsia="MS Gothic" w:cs="MS Gothic"/>
        </w:rPr>
        <w:t>ったことを</w:t>
      </w:r>
      <w:r>
        <w:rPr>
          <w:rFonts w:ascii="Microsoft YaHei" w:hAnsi="Microsoft YaHei" w:eastAsia="Microsoft YaHei" w:cs="Microsoft YaHei"/>
        </w:rPr>
        <w:t>封</w:t>
      </w:r>
      <w:r>
        <w:rPr>
          <w:rFonts w:ascii="MS Gothic" w:hAnsi="MS Gothic" w:eastAsia="MS Gothic" w:cs="MS Gothic"/>
        </w:rPr>
        <w:t>じておけ</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セブンスデー・アドベンチスト</w:t>
      </w:r>
      <w:r>
        <w:rPr>
          <w:rFonts w:ascii="Microsoft YaHei" w:hAnsi="Microsoft YaHei" w:eastAsia="Microsoft YaHei" w:cs="Microsoft YaHei"/>
        </w:rPr>
        <w:t>聖書注解』第</w:t>
      </w:r>
      <w:r>
        <w:rPr>
          <w:rFonts w:ascii="Times New Roman" w:hAnsi="Times New Roman" w:eastAsia="Times New Roman" w:cs="Times New Roman"/>
        </w:rPr>
        <w:t>7</w:t>
      </w:r>
      <w:r>
        <w:rPr>
          <w:rFonts w:ascii="Microsoft YaHei" w:hAnsi="Microsoft YaHei" w:eastAsia="Microsoft YaHei" w:cs="Microsoft YaHei"/>
        </w:rPr>
        <w:t>巻、</w:t>
      </w:r>
      <w:r>
        <w:rPr>
          <w:rFonts w:ascii="Times New Roman" w:hAnsi="Times New Roman" w:eastAsia="Times New Roman" w:cs="Times New Roman"/>
        </w:rPr>
        <w:t>971</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Am bi tiɖe lae nye be le Nyaɖeɖefia ƒe agbalẽa ƒe nuwuwu kple gɔmedzedzea me la, woɖe gbedeasi aɖe fia. Woɖe mɔ si dzi wowɔna be woatsɔ gbedeasi ma akpɔe hã fia. Nusi Yohanes wɔ le gbedeasi ma tsɔtsɔ me la, woƒo nu tso eŋu kpuie. Ɣeaɖewo me la, eŋlɔ nu siwo kpɔ kple nu siwo se. Ɣeaɖewo hã la, wona nya nɛ be wòŋlɔ, eye zi ɖeka me la, wonyae be mele nu si se la ŋlɔ ge o. Yesu Kristo ƒe Nyaɖeɖefia ƒe gbedeasi la tso Fofo la gbɔ va na Yesu, tso Yesu gbɔ va na Gabriel, eye tso Gabriel gbɔ va na nyagblɔɖila Yohanes, si wòxɔ dɔ na ŋlɔ gbedeasi la eye wòaɖoe ɖe hameawo si.</w:t>
      </w:r>
    </w:p>
    <w:p>
      <w:pPr>
        <w:pStyle w:val="ArticleScripture"/>
        <w:jc w:val="left"/>
      </w:pPr>
      <w:r>
        <w:rPr>
          <w:rFonts w:ascii="Times New Roman" w:hAnsi="Times New Roman" w:eastAsia="Times New Roman" w:cs="Times New Roman"/>
        </w:rPr>
        <w:t>Écris donc les choses que tu as vues, et celles qui sont, et celles qui doivent arriver après elles. Apocalypse 1:19.</w:t>
      </w:r>
    </w:p>
    <w:p>
      <w:pPr>
        <w:pStyle w:val="ArticleBody"/>
        <w:jc w:val="left"/>
      </w:pPr>
      <w:r>
        <w:rPr>
          <w:rFonts w:ascii="Nirmala UI" w:hAnsi="Nirmala UI" w:eastAsia="Nirmala UI" w:cs="Nirmala UI"/>
        </w:rPr>
        <w:t>હો</w:t>
      </w:r>
      <w:r>
        <w:rPr>
          <w:rFonts w:ascii="Times New Roman" w:hAnsi="Times New Roman" w:eastAsia="Times New Roman" w:cs="Times New Roman"/>
        </w:rPr>
        <w:t xml:space="preserve"> </w:t>
      </w:r>
      <w:r>
        <w:rPr>
          <w:rFonts w:ascii="Nirmala UI" w:hAnsi="Nirmala UI" w:eastAsia="Nirmala UI" w:cs="Nirmala UI"/>
        </w:rPr>
        <w:t>શકે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વાંચે</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યોહાનને</w:t>
      </w:r>
      <w:r>
        <w:rPr>
          <w:rFonts w:ascii="Times New Roman" w:hAnsi="Times New Roman" w:eastAsia="Times New Roman" w:cs="Times New Roman"/>
        </w:rPr>
        <w:t xml:space="preserve"> </w:t>
      </w:r>
      <w:r>
        <w:rPr>
          <w:rFonts w:ascii="Nirmala UI" w:hAnsi="Nirmala UI" w:eastAsia="Nirmala UI" w:cs="Nirmala UI"/>
        </w:rPr>
        <w:t>લખવા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અપાયેલા</w:t>
      </w:r>
      <w:r>
        <w:rPr>
          <w:rFonts w:ascii="Times New Roman" w:hAnsi="Times New Roman" w:eastAsia="Times New Roman" w:cs="Times New Roman"/>
        </w:rPr>
        <w:t xml:space="preserve"> </w:t>
      </w:r>
      <w:r>
        <w:rPr>
          <w:rFonts w:ascii="Nirmala UI" w:hAnsi="Nirmala UI" w:eastAsia="Nirmala UI" w:cs="Nirmala UI"/>
        </w:rPr>
        <w:t>આદેશમાં</w:t>
      </w:r>
      <w:r>
        <w:rPr>
          <w:rFonts w:ascii="Times New Roman" w:hAnsi="Times New Roman" w:eastAsia="Times New Roman" w:cs="Times New Roman"/>
        </w:rPr>
        <w:t xml:space="preserve"> </w:t>
      </w:r>
      <w:r>
        <w:rPr>
          <w:rFonts w:ascii="Nirmala UI" w:hAnsi="Nirmala UI" w:eastAsia="Nirmala UI" w:cs="Nirmala UI"/>
        </w:rPr>
        <w:t>નિર્દિષ્ટ</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સિદ્ધાંતને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શકે</w:t>
      </w:r>
      <w:r>
        <w:rPr>
          <w:rFonts w:ascii="Times New Roman" w:hAnsi="Times New Roman" w:eastAsia="Times New Roman" w:cs="Times New Roman"/>
        </w:rPr>
        <w:t xml:space="preserve">. </w:t>
      </w:r>
      <w:r>
        <w:rPr>
          <w:rFonts w:ascii="Nirmala UI" w:hAnsi="Nirmala UI" w:eastAsia="Nirmala UI" w:cs="Nirmala UI"/>
        </w:rPr>
        <w:t>જોવામાં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સાંભળવામાં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વસ્તુઓ</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રાખવું</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વર્તમાન</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લેખાજોખો</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યોહાનના</w:t>
      </w:r>
      <w:r>
        <w:rPr>
          <w:rFonts w:ascii="Times New Roman" w:hAnsi="Times New Roman" w:eastAsia="Times New Roman" w:cs="Times New Roman"/>
        </w:rPr>
        <w:t xml:space="preserve"> </w:t>
      </w:r>
      <w:r>
        <w:rPr>
          <w:rFonts w:ascii="Nirmala UI" w:hAnsi="Nirmala UI" w:eastAsia="Nirmala UI" w:cs="Nirmala UI"/>
        </w:rPr>
        <w:t>સમયમાં</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વસ્તુઓ</w:t>
      </w:r>
      <w:r>
        <w:rPr>
          <w:rFonts w:ascii="Times New Roman" w:hAnsi="Times New Roman" w:eastAsia="Times New Roman" w:cs="Times New Roman"/>
        </w:rPr>
        <w:t xml:space="preserve">” </w:t>
      </w:r>
      <w:r>
        <w:rPr>
          <w:rFonts w:ascii="Nirmala UI" w:hAnsi="Nirmala UI" w:eastAsia="Nirmala UI" w:cs="Nirmala UI"/>
        </w:rPr>
        <w:t>અસ્તિત્વમાં</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વર્તમાન</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લેખાજોખો</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ભવિષ્યમાં</w:t>
      </w:r>
      <w:r>
        <w:rPr>
          <w:rFonts w:ascii="Times New Roman" w:hAnsi="Times New Roman" w:eastAsia="Times New Roman" w:cs="Times New Roman"/>
        </w:rPr>
        <w:t xml:space="preserve"> </w:t>
      </w:r>
      <w:r>
        <w:rPr>
          <w:rFonts w:ascii="Nirmala UI" w:hAnsi="Nirmala UI" w:eastAsia="Nirmala UI" w:cs="Nirmala UI"/>
        </w:rPr>
        <w:t>થનારી</w:t>
      </w:r>
      <w:r>
        <w:rPr>
          <w:rFonts w:ascii="Times New Roman" w:hAnsi="Times New Roman" w:eastAsia="Times New Roman" w:cs="Times New Roman"/>
        </w:rPr>
        <w:t xml:space="preserve"> </w:t>
      </w:r>
      <w:r>
        <w:rPr>
          <w:rFonts w:ascii="Nirmala UI" w:hAnsi="Nirmala UI" w:eastAsia="Nirmala UI" w:cs="Nirmala UI"/>
        </w:rPr>
        <w:t>વસ્તુઓને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રાખવું</w:t>
      </w:r>
      <w:r>
        <w:rPr>
          <w:rFonts w:ascii="Times New Roman" w:hAnsi="Times New Roman" w:eastAsia="Times New Roman" w:cs="Times New Roman"/>
        </w:rPr>
        <w:t>—</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પ્રકાશિતવાક્યના</w:t>
      </w:r>
      <w:r>
        <w:rPr>
          <w:rFonts w:ascii="Times New Roman" w:hAnsi="Times New Roman" w:eastAsia="Times New Roman" w:cs="Times New Roman"/>
        </w:rPr>
        <w:t xml:space="preserve"> </w:t>
      </w:r>
      <w:r>
        <w:rPr>
          <w:rFonts w:ascii="Nirmala UI" w:hAnsi="Nirmala UI" w:eastAsia="Nirmala UI" w:cs="Nirmala UI"/>
        </w:rPr>
        <w:t>પુસ્તકમાં</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મુખ્ય</w:t>
      </w:r>
      <w:r>
        <w:rPr>
          <w:rFonts w:ascii="Times New Roman" w:hAnsi="Times New Roman" w:eastAsia="Times New Roman" w:cs="Times New Roman"/>
        </w:rPr>
        <w:t xml:space="preserve"> </w:t>
      </w:r>
      <w:r>
        <w:rPr>
          <w:rFonts w:ascii="Nirmala UI" w:hAnsi="Nirmala UI" w:eastAsia="Nirmala UI" w:cs="Nirmala UI"/>
        </w:rPr>
        <w:t>નિયમ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યોહાનનો</w:t>
      </w:r>
      <w:r>
        <w:rPr>
          <w:rFonts w:ascii="Times New Roman" w:hAnsi="Times New Roman" w:eastAsia="Times New Roman" w:cs="Times New Roman"/>
        </w:rPr>
        <w:t xml:space="preserve"> </w:t>
      </w:r>
      <w:r>
        <w:rPr>
          <w:rFonts w:ascii="Nirmala UI" w:hAnsi="Nirmala UI" w:eastAsia="Nirmala UI" w:cs="Nirmala UI"/>
        </w:rPr>
        <w:t>ઉપયોગ</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સિદ્ધાંત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મહત્ત્વને</w:t>
      </w:r>
      <w:r>
        <w:rPr>
          <w:rFonts w:ascii="Times New Roman" w:hAnsi="Times New Roman" w:eastAsia="Times New Roman" w:cs="Times New Roman"/>
        </w:rPr>
        <w:t xml:space="preserve"> </w:t>
      </w:r>
      <w:r>
        <w:rPr>
          <w:rFonts w:ascii="Nirmala UI" w:hAnsi="Nirmala UI" w:eastAsia="Nirmala UI" w:cs="Nirmala UI"/>
        </w:rPr>
        <w:t>ભારપૂર્વક</w:t>
      </w:r>
      <w:r>
        <w:rPr>
          <w:rFonts w:ascii="Times New Roman" w:hAnsi="Times New Roman" w:eastAsia="Times New Roman" w:cs="Times New Roman"/>
        </w:rPr>
        <w:t xml:space="preserve"> </w:t>
      </w:r>
      <w:r>
        <w:rPr>
          <w:rFonts w:ascii="Nirmala UI" w:hAnsi="Nirmala UI" w:eastAsia="Nirmala UI" w:cs="Nirmala UI"/>
        </w:rPr>
        <w:t>દર્શાવવા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સ્પષ્ટ</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મૂળરૂપે</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કહેવામાં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વસ્તુઓ</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આમ</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વસ્તુઓ</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થવાની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લખતો</w:t>
      </w:r>
      <w:r>
        <w:rPr>
          <w:rFonts w:ascii="Times New Roman" w:hAnsi="Times New Roman" w:eastAsia="Times New Roman" w:cs="Times New Roman"/>
        </w:rPr>
        <w:t xml:space="preserve"> </w:t>
      </w:r>
      <w:r>
        <w:rPr>
          <w:rFonts w:ascii="Nirmala UI" w:hAnsi="Nirmala UI" w:eastAsia="Nirmala UI" w:cs="Nirmala UI"/>
        </w:rPr>
        <w:t>રહેશે</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પુનરાવર્તિત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પદ્ધતિ</w:t>
      </w:r>
      <w:r>
        <w:rPr>
          <w:rFonts w:ascii="Times New Roman" w:hAnsi="Times New Roman" w:eastAsia="Times New Roman" w:cs="Times New Roman"/>
        </w:rPr>
        <w:t xml:space="preserve"> </w:t>
      </w:r>
      <w:r>
        <w:rPr>
          <w:rFonts w:ascii="Nirmala UI" w:hAnsi="Nirmala UI" w:eastAsia="Nirmala UI" w:cs="Nirmala UI"/>
        </w:rPr>
        <w:t>ઈસુની</w:t>
      </w:r>
      <w:r>
        <w:rPr>
          <w:rFonts w:ascii="Times New Roman" w:hAnsi="Times New Roman" w:eastAsia="Times New Roman" w:cs="Times New Roman"/>
        </w:rPr>
        <w:t xml:space="preserve"> </w:t>
      </w:r>
      <w:r>
        <w:rPr>
          <w:rFonts w:ascii="Nirmala UI" w:hAnsi="Nirmala UI" w:eastAsia="Nirmala UI" w:cs="Nirmala UI"/>
        </w:rPr>
        <w:t>મુદ્રા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મુદ્રા</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નામ</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પ્રકાશિતવાક્યના</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અધ્યાયમાં</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નામ</w:t>
      </w:r>
      <w:r>
        <w:rPr>
          <w:rFonts w:ascii="Times New Roman" w:hAnsi="Times New Roman" w:eastAsia="Times New Roman" w:cs="Times New Roman"/>
        </w:rPr>
        <w:t xml:space="preserve"> </w:t>
      </w:r>
      <w:r>
        <w:rPr>
          <w:rFonts w:ascii="Nirmala UI" w:hAnsi="Nirmala UI" w:eastAsia="Nirmala UI" w:cs="Nirmala UI"/>
        </w:rPr>
        <w:t>આલ્ફા</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ઓમેગા</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અંતને</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Bẹrẹ studies wí “The Revelation of Jesus Christ,” an’ right now wi deh consider de fus three verses dem a chapter one. De final warning message weh title “The Revelation of Jesus Christ” get communicate fram de heavenly Father to Jesus to Gabriel to John, weh record it in a book fi send to de churches. Because de message get so direct name as “The Revelation of Jesus Christ,” it important fi note seh, outa all de elements dem weh been write to men through de inspired Word revealing Christ, de one characteristic a who Jesus is an’ what Him is, get illustrate in de activity a John in recording de message. As him write de things dem weh den were, him did also a write de things dem weh yet fi be.</w:t>
      </w:r>
    </w:p>
    <w:p>
      <w:pPr>
        <w:pStyle w:val="ArticleBody"/>
        <w:jc w:val="left"/>
      </w:pPr>
      <w:r>
        <w:rPr>
          <w:rFonts w:ascii="Times New Roman" w:hAnsi="Times New Roman" w:eastAsia="Times New Roman" w:cs="Times New Roman"/>
        </w:rPr>
        <w:t>La vérité de la répétition de l’histoire est représentée lorsque Jean consigne par écrit un avertissement pour son époque, lequel est aussi un avertissement pour un temps futur. Lorsque Jean écrivit aux sept Églises au commencement de l’Église chrétienne, il traçait également un avertissement pour l’Église chrétienne à la fin du monde. Cet attribut du caractère du Christ est représenté lorsque le Christ est appelé l’Alpha et l’Oméga, ou le commencement et la fin, ou le premier et le dernier. En effet, la Bible identifie cet attribut du caractère du Christ comme ce qui prouve qu’il est le seul Dieu.</w:t>
      </w:r>
    </w:p>
    <w:p>
      <w:pPr>
        <w:pStyle w:val="ArticleBody"/>
        <w:jc w:val="left"/>
      </w:pPr>
      <w:r>
        <w:rPr>
          <w:rFonts w:ascii="Times New Roman" w:hAnsi="Times New Roman" w:eastAsia="Times New Roman" w:cs="Times New Roman"/>
        </w:rPr>
        <w:t>Sa chéad chaibidil den Leabhar an Fhorógra feicimid Íosa á aithint Féin mar an Alfa agus an Óimige.</w:t>
      </w:r>
    </w:p>
    <w:p>
      <w:pPr>
        <w:pStyle w:val="ArticleScripture"/>
        <w:jc w:val="left"/>
      </w:pPr>
      <w:r>
        <w:rPr>
          <w:rFonts w:ascii="Times New Roman" w:hAnsi="Times New Roman" w:eastAsia="Times New Roman" w:cs="Times New Roman"/>
        </w:rPr>
        <w:t>Я був у Дусі Господнього дня, і почув позад себе гучний голос, немов сурми, який говорив: Я Альфа й Омега, Перший і Останній; і: що бачиш, напиши в книгу й пошли семи церквам, що в Азії: до Ефесу, і до Смирни, і до Пергаму, і до Тіятири, і до Сард, і до Філадельфії, і до Лаодикії.</w:t>
      </w:r>
    </w:p>
    <w:p>
      <w:pPr>
        <w:pStyle w:val="ArticleScripture"/>
        <w:jc w:val="left"/>
      </w:pPr>
      <w:r>
        <w:rPr>
          <w:rFonts w:ascii="Times New Roman" w:hAnsi="Times New Roman" w:eastAsia="Times New Roman" w:cs="Times New Roman"/>
        </w:rPr>
        <w:t>Kisha nikageuka niione sauti ile iliyosema nami. Nami nilipogeuka, nikaona vinara saba vya taa vya dhahabu; na katikati ya vile vinara saba vya taa, mmoja mfano wa Mwana wa Adamu, amevaa vazi refu linalofika miguuni, na amefungwa kifuani mshipi wa dhahabu. Kichwa chake na nywele zake zilikuwa nyeupe kama sufu, nyeupe kama theluji; na macho yake yalikuwa kama mwali wa moto; na miguu yake mfano wa shaba iliyosuguliwa sana, kana kwamba imechomwa motoni katika tanuru; na sauti yake kama sauti ya maji mengi. Naye alikuwa na nyota saba katika mkono wake wa kuume; na katika kinywa chake ulitoka upanga mkali ukatao kuwili; na uso wake ulikuwa kama jua liangazavyo katika nguvu zake.</w:t>
      </w:r>
    </w:p>
    <w:p>
      <w:pPr>
        <w:pStyle w:val="ArticleScripture"/>
        <w:jc w:val="left"/>
      </w:pPr>
      <w:r>
        <w:rPr>
          <w:rFonts w:ascii="Times New Roman" w:hAnsi="Times New Roman" w:eastAsia="Times New Roman" w:cs="Times New Roman"/>
        </w:rPr>
        <w:t>Et quand je le vis, je tombai à ses pieds comme mort. Et il posa sur moi sa main droite, en me disant : Ne crains point ; je suis le premier et le dernier. Apocalypse 1:10–17.</w:t>
      </w:r>
    </w:p>
    <w:p>
      <w:pPr>
        <w:pStyle w:val="ArticleBody"/>
        <w:jc w:val="left"/>
      </w:pPr>
      <w:r>
        <w:rPr>
          <w:rFonts w:ascii="Times New Roman" w:hAnsi="Times New Roman" w:eastAsia="Times New Roman" w:cs="Times New Roman"/>
        </w:rPr>
        <w:t>Naa mo ining mga bersikulo an dako nga kamatuoran, kondi dinhi itutudlok ko la nga han mabatian ni Juan an sugad-trumpeta nga tingog ni Cristo ngan lumingi hiya basi makita kon Hin-o an nagyakan ha iya, hinkit-an niya hi Jesu-Cristo sugad nga langitnon nga Labaw nga Saserdote didto ha baraan nga dapit han langitnon nga santuwaryo. Katapos, iginpakilala Niya an Iya kalugaringon sugad nga an Alpha ngan an Omega ngan sugad nga an syahan ngan an kataposan. Ha mensahe ngan ha pagpasamwak hini ha syahan nga tulo nga bersikulo, nakaagi kita hin usa nga linya han kamatuoran nga nagtutugbang han linya han kamatuoran ha kataposan han Pinadayag. Sugad nga an Alpha ngan an Omega, iginhihulagway ni Jesus an kataposan pinaagi han tinikangan, an urhi pinaagi han syahan. Ha kataposan han libro han Pinadayag, sugad man ha tinikangan, ginpapakilala na naman Niya an Iya kalugaringon sugad nga an Alpha ngan an Omega.</w:t>
      </w:r>
    </w:p>
    <w:p>
      <w:pPr>
        <w:pStyle w:val="ArticleScripture"/>
        <w:jc w:val="left"/>
      </w:pPr>
      <w:r>
        <w:rPr>
          <w:rFonts w:ascii="Times New Roman" w:hAnsi="Times New Roman" w:eastAsia="Times New Roman" w:cs="Times New Roman"/>
        </w:rPr>
        <w:t>At sinabi niya sa akin, Ang mga pananalitang ito ay tapat at totoo; at ang Panginoong Dios ng mga banal na propeta ay nagsugo ng kaniyang anghel upang ipakita sa kaniyang mga lingkod ang mga bagay na dapat maganap sa madaling panahon. Narito, ako'y madaling pumaparito: mapalad ang tumutupad sa mga salita ng hula ng aklat na ito.</w:t>
      </w:r>
    </w:p>
    <w:p>
      <w:pPr>
        <w:pStyle w:val="ArticleScripture"/>
        <w:jc w:val="left"/>
      </w:pPr>
      <w:r>
        <w:rPr>
          <w:rFonts w:ascii="Times New Roman" w:hAnsi="Times New Roman" w:eastAsia="Times New Roman" w:cs="Times New Roman"/>
        </w:rPr>
        <w:t>Na mimi Yohana niliyaona mambo haya, na kuyasikia. Na niliposikia na kuona, nikaanguka chini kuabudu mbele ya miguu ya yule malaika aliyenionyesha mambo haya. Ndipo akaniambia, Angalia usifanye hivyo; kwa maana mimi ni mtumishi mwenzi wako, na wa ndugu zako manabii, na wa wale wayashikao maneno ya kitabu hiki; mwabudu Mungu.</w:t>
      </w:r>
    </w:p>
    <w:p>
      <w:pPr>
        <w:pStyle w:val="ArticleScripture"/>
        <w:jc w:val="left"/>
      </w:pPr>
      <w:r>
        <w:rPr>
          <w:rFonts w:ascii="Times New Roman" w:hAnsi="Times New Roman" w:eastAsia="Times New Roman" w:cs="Times New Roman"/>
        </w:rPr>
        <w:t>A ni saith unto me, Seal not de words of de prophecy of dis book: for de time is at hand.</w:t>
      </w:r>
    </w:p>
    <w:p>
      <w:pPr>
        <w:pStyle w:val="ArticleScripture"/>
        <w:jc w:val="left"/>
      </w:pPr>
      <w:r>
        <w:rPr>
          <w:rFonts w:ascii="Times New Roman" w:hAnsi="Times New Roman" w:eastAsia="Times New Roman" w:cs="Times New Roman"/>
        </w:rPr>
        <w:t>Celui qui est injuste, qu’il soit encore injuste; et celui qui est souillé, qu’il soit encore souillé; et celui qui est juste, qu’il pratique encore la justice; et celui qui est saint, qu’il se sanctifie encore.</w:t>
      </w:r>
    </w:p>
    <w:p>
      <w:pPr>
        <w:pStyle w:val="ArticleScripture"/>
        <w:jc w:val="left"/>
      </w:pPr>
      <w:r>
        <w:rPr>
          <w:rFonts w:ascii="Times New Roman" w:hAnsi="Times New Roman" w:eastAsia="Times New Roman" w:cs="Times New Roman"/>
        </w:rPr>
        <w:t>Et voici, je viens bientôt ; et ma récompense est avec moi, pour rendre à chacun selon ce qu’est son œuvre. Je suis l’Alpha et l’Oméga, le commencement et la fin, le premier et le dernier. Apocalypse 22:7–13.</w:t>
      </w:r>
    </w:p>
    <w:p>
      <w:pPr>
        <w:pStyle w:val="ArticleBody"/>
        <w:jc w:val="left"/>
      </w:pPr>
      <w:r>
        <w:rPr>
          <w:rFonts w:ascii="Microsoft YaHei" w:hAnsi="Microsoft YaHei" w:eastAsia="Microsoft YaHei" w:cs="Microsoft YaHei"/>
        </w:rPr>
        <w:t>『黙示録』</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ヨハネがそのメッセージを</w:t>
      </w:r>
      <w:r>
        <w:rPr>
          <w:rFonts w:ascii="Microsoft YaHei" w:hAnsi="Microsoft YaHei" w:eastAsia="Microsoft YaHei" w:cs="Microsoft YaHei"/>
        </w:rPr>
        <w:t>書</w:t>
      </w:r>
      <w:r>
        <w:rPr>
          <w:rFonts w:ascii="MS Gothic" w:hAnsi="MS Gothic" w:eastAsia="MS Gothic" w:cs="MS Gothic"/>
        </w:rPr>
        <w:t>き</w:t>
      </w:r>
      <w:r>
        <w:rPr>
          <w:rFonts w:ascii="Microsoft YaHei" w:hAnsi="Microsoft YaHei" w:eastAsia="Microsoft YaHei" w:cs="Microsoft YaHei"/>
        </w:rPr>
        <w:t>記</w:t>
      </w:r>
      <w:r>
        <w:rPr>
          <w:rFonts w:ascii="MS Gothic" w:hAnsi="MS Gothic" w:eastAsia="MS Gothic" w:cs="MS Gothic"/>
        </w:rPr>
        <w:t>すにあたり</w:t>
      </w:r>
      <w:r>
        <w:rPr>
          <w:rFonts w:ascii="Microsoft YaHei" w:hAnsi="Microsoft YaHei" w:eastAsia="Microsoft YaHei" w:cs="Microsoft YaHei"/>
        </w:rPr>
        <w:t>、</w:t>
      </w:r>
      <w:r>
        <w:rPr>
          <w:rFonts w:ascii="MS Gothic" w:hAnsi="MS Gothic" w:eastAsia="MS Gothic" w:cs="MS Gothic"/>
        </w:rPr>
        <w:t>そのメッセージが</w:t>
      </w:r>
      <w:r>
        <w:rPr>
          <w:rFonts w:ascii="Microsoft YaHei" w:hAnsi="Microsoft YaHei" w:eastAsia="Microsoft YaHei" w:cs="Microsoft YaHei"/>
        </w:rPr>
        <w:t>、初</w:t>
      </w:r>
      <w:r>
        <w:rPr>
          <w:rFonts w:ascii="MS Gothic" w:hAnsi="MS Gothic" w:eastAsia="MS Gothic" w:cs="MS Gothic"/>
        </w:rPr>
        <w:t>めが</w:t>
      </w:r>
      <w:r>
        <w:rPr>
          <w:rFonts w:ascii="Microsoft YaHei" w:hAnsi="Microsoft YaHei" w:eastAsia="Microsoft YaHei" w:cs="Microsoft YaHei"/>
        </w:rPr>
        <w:t>終</w:t>
      </w:r>
      <w:r>
        <w:rPr>
          <w:rFonts w:ascii="MS Gothic" w:hAnsi="MS Gothic" w:eastAsia="MS Gothic" w:cs="MS Gothic"/>
        </w:rPr>
        <w:t>わりを</w:t>
      </w:r>
      <w:r>
        <w:rPr>
          <w:rFonts w:ascii="Microsoft YaHei" w:hAnsi="Microsoft YaHei" w:eastAsia="Microsoft YaHei" w:cs="Microsoft YaHei"/>
        </w:rPr>
        <w:t>例証</w:t>
      </w:r>
      <w:r>
        <w:rPr>
          <w:rFonts w:ascii="MS Gothic" w:hAnsi="MS Gothic" w:eastAsia="MS Gothic" w:cs="MS Gothic"/>
        </w:rPr>
        <w:t>するという</w:t>
      </w:r>
      <w:r>
        <w:rPr>
          <w:rFonts w:ascii="Microsoft YaHei" w:hAnsi="Microsoft YaHei" w:eastAsia="Microsoft YaHei" w:cs="Microsoft YaHei"/>
        </w:rPr>
        <w:t>原則</w:t>
      </w:r>
      <w:r>
        <w:rPr>
          <w:rFonts w:ascii="MS Gothic" w:hAnsi="MS Gothic" w:eastAsia="MS Gothic" w:cs="MS Gothic"/>
        </w:rPr>
        <w:t>に</w:t>
      </w:r>
      <w:r>
        <w:rPr>
          <w:rFonts w:ascii="Microsoft YaHei" w:hAnsi="Microsoft YaHei" w:eastAsia="Microsoft YaHei" w:cs="Microsoft YaHei"/>
        </w:rPr>
        <w:t>基</w:t>
      </w:r>
      <w:r>
        <w:rPr>
          <w:rFonts w:ascii="MS Gothic" w:hAnsi="MS Gothic" w:eastAsia="MS Gothic" w:cs="MS Gothic"/>
        </w:rPr>
        <w:t>づくものであることを</w:t>
      </w:r>
      <w:r>
        <w:rPr>
          <w:rFonts w:ascii="Microsoft YaHei" w:hAnsi="Microsoft YaHei" w:eastAsia="Microsoft YaHei" w:cs="Microsoft YaHei"/>
        </w:rPr>
        <w:t>、注意深</w:t>
      </w:r>
      <w:r>
        <w:rPr>
          <w:rFonts w:ascii="MS Gothic" w:hAnsi="MS Gothic" w:eastAsia="MS Gothic" w:cs="MS Gothic"/>
        </w:rPr>
        <w:t>く</w:t>
      </w:r>
      <w:r>
        <w:rPr>
          <w:rFonts w:ascii="Microsoft YaHei" w:hAnsi="Microsoft YaHei" w:eastAsia="Microsoft YaHei" w:cs="Microsoft YaHei"/>
        </w:rPr>
        <w:t>描写</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そのメッセージは</w:t>
      </w:r>
      <w:r>
        <w:rPr>
          <w:rFonts w:ascii="Microsoft YaHei" w:hAnsi="Microsoft YaHei" w:eastAsia="Microsoft YaHei" w:cs="Microsoft YaHei"/>
        </w:rPr>
        <w:t>、『黙示録』</w:t>
      </w:r>
      <w:r>
        <w:rPr>
          <w:rFonts w:ascii="MS Gothic" w:hAnsi="MS Gothic" w:eastAsia="MS Gothic" w:cs="MS Gothic"/>
        </w:rPr>
        <w:t>において</w:t>
      </w:r>
      <w:r>
        <w:rPr>
          <w:rFonts w:ascii="Microsoft YaHei" w:hAnsi="Microsoft YaHei" w:eastAsia="Microsoft YaHei" w:cs="Microsoft YaHei"/>
        </w:rPr>
        <w:t>最初</w:t>
      </w:r>
      <w:r>
        <w:rPr>
          <w:rFonts w:ascii="MS Gothic" w:hAnsi="MS Gothic" w:eastAsia="MS Gothic" w:cs="MS Gothic"/>
        </w:rPr>
        <w:t>に</w:t>
      </w:r>
      <w:r>
        <w:rPr>
          <w:rFonts w:ascii="Microsoft YaHei" w:hAnsi="Microsoft YaHei" w:eastAsia="Microsoft YaHei" w:cs="Microsoft YaHei"/>
        </w:rPr>
        <w:t>開示</w:t>
      </w:r>
      <w:r>
        <w:rPr>
          <w:rFonts w:ascii="MS Gothic" w:hAnsi="MS Gothic" w:eastAsia="MS Gothic" w:cs="MS Gothic"/>
        </w:rPr>
        <w:t>される</w:t>
      </w:r>
      <w:r>
        <w:rPr>
          <w:rFonts w:ascii="Microsoft YaHei" w:hAnsi="Microsoft YaHei" w:eastAsia="Microsoft YaHei" w:cs="Microsoft YaHei"/>
        </w:rPr>
        <w:t>真理</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同</w:t>
      </w:r>
      <w:r>
        <w:rPr>
          <w:rFonts w:ascii="MS Gothic" w:hAnsi="MS Gothic" w:eastAsia="MS Gothic" w:cs="MS Gothic"/>
        </w:rPr>
        <w:t>じその</w:t>
      </w:r>
      <w:r>
        <w:rPr>
          <w:rFonts w:ascii="Microsoft YaHei" w:hAnsi="Microsoft YaHei" w:eastAsia="Microsoft YaHei" w:cs="Microsoft YaHei"/>
        </w:rPr>
        <w:t>真理</w:t>
      </w:r>
      <w:r>
        <w:rPr>
          <w:rFonts w:ascii="MS Gothic" w:hAnsi="MS Gothic" w:eastAsia="MS Gothic" w:cs="MS Gothic"/>
        </w:rPr>
        <w:t>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書</w:t>
      </w:r>
      <w:r>
        <w:rPr>
          <w:rFonts w:ascii="MS Gothic" w:hAnsi="MS Gothic" w:eastAsia="MS Gothic" w:cs="MS Gothic"/>
        </w:rPr>
        <w:t>において</w:t>
      </w:r>
      <w:r>
        <w:rPr>
          <w:rFonts w:ascii="Microsoft YaHei" w:hAnsi="Microsoft YaHei" w:eastAsia="Microsoft YaHei" w:cs="Microsoft YaHei"/>
        </w:rPr>
        <w:t>最後</w:t>
      </w:r>
      <w:r>
        <w:rPr>
          <w:rFonts w:ascii="MS Gothic" w:hAnsi="MS Gothic" w:eastAsia="MS Gothic" w:cs="MS Gothic"/>
        </w:rPr>
        <w:t>に</w:t>
      </w:r>
      <w:r>
        <w:rPr>
          <w:rFonts w:ascii="Microsoft YaHei" w:hAnsi="Microsoft YaHei" w:eastAsia="Microsoft YaHei" w:cs="Microsoft YaHei"/>
        </w:rPr>
        <w:t>語</w:t>
      </w:r>
      <w:r>
        <w:rPr>
          <w:rFonts w:ascii="MS Gothic" w:hAnsi="MS Gothic" w:eastAsia="MS Gothic" w:cs="MS Gothic"/>
        </w:rPr>
        <w:t>られるものである</w:t>
      </w:r>
      <w:r>
        <w:rPr>
          <w:rFonts w:ascii="Times New Roman" w:hAnsi="Times New Roman" w:eastAsia="Times New Roman" w:cs="Times New Roman"/>
        </w:rPr>
        <w:t>.</w:t>
      </w:r>
      <w:r>
        <w:rPr>
          <w:rFonts w:ascii="MS Gothic" w:hAnsi="MS Gothic" w:eastAsia="MS Gothic" w:cs="MS Gothic"/>
        </w:rPr>
        <w:t>さらに</w:t>
      </w:r>
      <w:r>
        <w:rPr>
          <w:rFonts w:ascii="Microsoft YaHei" w:hAnsi="Microsoft YaHei" w:eastAsia="Microsoft YaHei" w:cs="Microsoft YaHei"/>
        </w:rPr>
        <w:t>、『黙示録』</w:t>
      </w:r>
      <w:r>
        <w:rPr>
          <w:rFonts w:ascii="MS Gothic" w:hAnsi="MS Gothic" w:eastAsia="MS Gothic" w:cs="MS Gothic"/>
        </w:rPr>
        <w:t>の</w:t>
      </w:r>
      <w:r>
        <w:rPr>
          <w:rFonts w:ascii="Microsoft YaHei" w:hAnsi="Microsoft YaHei" w:eastAsia="Microsoft YaHei" w:cs="Microsoft YaHei"/>
        </w:rPr>
        <w:t>書</w:t>
      </w:r>
      <w:r>
        <w:rPr>
          <w:rFonts w:ascii="MS Gothic" w:hAnsi="MS Gothic" w:eastAsia="MS Gothic" w:cs="MS Gothic"/>
        </w:rPr>
        <w:t>の</w:t>
      </w:r>
      <w:r>
        <w:rPr>
          <w:rFonts w:ascii="Microsoft YaHei" w:hAnsi="Microsoft YaHei" w:eastAsia="Microsoft YaHei" w:cs="Microsoft YaHei"/>
        </w:rPr>
        <w:t>初</w:t>
      </w:r>
      <w:r>
        <w:rPr>
          <w:rFonts w:ascii="MS Gothic" w:hAnsi="MS Gothic" w:eastAsia="MS Gothic" w:cs="MS Gothic"/>
        </w:rPr>
        <w:t>めと</w:t>
      </w:r>
      <w:r>
        <w:rPr>
          <w:rFonts w:ascii="Microsoft YaHei" w:hAnsi="Microsoft YaHei" w:eastAsia="Microsoft YaHei" w:cs="Microsoft YaHei"/>
        </w:rPr>
        <w:t>終</w:t>
      </w:r>
      <w:r>
        <w:rPr>
          <w:rFonts w:ascii="MS Gothic" w:hAnsi="MS Gothic" w:eastAsia="MS Gothic" w:cs="MS Gothic"/>
        </w:rPr>
        <w:t>わりにおける</w:t>
      </w:r>
      <w:r>
        <w:rPr>
          <w:rFonts w:ascii="Microsoft YaHei" w:hAnsi="Microsoft YaHei" w:eastAsia="Microsoft YaHei" w:cs="Microsoft YaHei"/>
        </w:rPr>
        <w:t>証言</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で</w:t>
      </w:r>
      <w:r>
        <w:rPr>
          <w:rFonts w:ascii="Microsoft YaHei" w:hAnsi="Microsoft YaHei" w:eastAsia="Microsoft YaHei" w:cs="Microsoft YaHei"/>
        </w:rPr>
        <w:t>、</w:t>
      </w:r>
      <w:r>
        <w:rPr>
          <w:rFonts w:ascii="MS Gothic" w:hAnsi="MS Gothic" w:eastAsia="MS Gothic" w:cs="MS Gothic"/>
        </w:rPr>
        <w:t>イエスは</w:t>
      </w:r>
      <w:r>
        <w:rPr>
          <w:rFonts w:ascii="Microsoft YaHei" w:hAnsi="Microsoft YaHei" w:eastAsia="Microsoft YaHei" w:cs="Microsoft YaHei"/>
        </w:rPr>
        <w:t>御自身</w:t>
      </w:r>
      <w:r>
        <w:rPr>
          <w:rFonts w:ascii="MS Gothic" w:hAnsi="MS Gothic" w:eastAsia="MS Gothic" w:cs="MS Gothic"/>
        </w:rPr>
        <w:t>をアルファでありオメガであり</w:t>
      </w:r>
      <w:r>
        <w:rPr>
          <w:rFonts w:ascii="Microsoft YaHei" w:hAnsi="Microsoft YaHei" w:eastAsia="Microsoft YaHei" w:cs="Microsoft YaHei"/>
        </w:rPr>
        <w:t>、初</w:t>
      </w:r>
      <w:r>
        <w:rPr>
          <w:rFonts w:ascii="MS Gothic" w:hAnsi="MS Gothic" w:eastAsia="MS Gothic" w:cs="MS Gothic"/>
        </w:rPr>
        <w:t>めであり</w:t>
      </w:r>
      <w:r>
        <w:rPr>
          <w:rFonts w:ascii="Microsoft YaHei" w:hAnsi="Microsoft YaHei" w:eastAsia="Microsoft YaHei" w:cs="Microsoft YaHei"/>
        </w:rPr>
        <w:t>終</w:t>
      </w:r>
      <w:r>
        <w:rPr>
          <w:rFonts w:ascii="MS Gothic" w:hAnsi="MS Gothic" w:eastAsia="MS Gothic" w:cs="MS Gothic"/>
        </w:rPr>
        <w:t>わりであり</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最初</w:t>
      </w:r>
      <w:r>
        <w:rPr>
          <w:rFonts w:ascii="MS Gothic" w:hAnsi="MS Gothic" w:eastAsia="MS Gothic" w:cs="MS Gothic"/>
        </w:rPr>
        <w:t>であり</w:t>
      </w:r>
      <w:r>
        <w:rPr>
          <w:rFonts w:ascii="Microsoft YaHei" w:hAnsi="Microsoft YaHei" w:eastAsia="Microsoft YaHei" w:cs="Microsoft YaHei"/>
        </w:rPr>
        <w:t>最後</w:t>
      </w:r>
      <w:r>
        <w:rPr>
          <w:rFonts w:ascii="MS Gothic" w:hAnsi="MS Gothic" w:eastAsia="MS Gothic" w:cs="MS Gothic"/>
        </w:rPr>
        <w:t>であると</w:t>
      </w:r>
      <w:r>
        <w:rPr>
          <w:rFonts w:ascii="Microsoft YaHei" w:hAnsi="Microsoft YaHei" w:eastAsia="Microsoft YaHei" w:cs="Microsoft YaHei"/>
        </w:rPr>
        <w:t>示</w:t>
      </w:r>
      <w:r>
        <w:rPr>
          <w:rFonts w:ascii="MS Gothic" w:hAnsi="MS Gothic" w:eastAsia="MS Gothic" w:cs="MS Gothic"/>
        </w:rPr>
        <w:t>しておられる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اس تین وریهای نخستِ کتابِ مکاشفه، پیامِ هشدارِ نهایی برای بشریت را مشخص می‌کند. این همان هشداری است که پیش از هفت بلای آخر و بازگشتِ ثانویِ مسیح می‌آید. پیامِ مکاشفۀ عیسی مسیح «به‌واسطۀ فرشتۀ او» «ارسال شد و به علامت‌ها بیان گردید».</w:t>
      </w:r>
    </w:p>
    <w:p>
      <w:pPr>
        <w:pStyle w:val="ArticleBody"/>
        <w:jc w:val="left"/>
      </w:pPr>
      <w:r>
        <w:rPr>
          <w:rFonts w:ascii="Times New Roman" w:hAnsi="Times New Roman" w:eastAsia="Times New Roman" w:cs="Times New Roman"/>
        </w:rPr>
        <w:t>Этот же предостерегающий вестевой призыв затем отождествляется в последнем отрывке книги Откровение, и он также представлен как третий ангел из четырнадцатой главы Откровения.</w:t>
      </w:r>
    </w:p>
    <w:p>
      <w:pPr>
        <w:pStyle w:val="ArticleScripture"/>
        <w:jc w:val="left"/>
      </w:pPr>
      <w:r>
        <w:rPr>
          <w:rFonts w:ascii="Times New Roman" w:hAnsi="Times New Roman" w:eastAsia="Times New Roman" w:cs="Times New Roman"/>
        </w:rPr>
        <w:t>Na malay ang ikatlong anghel ay sumunod sa kanila, na nagsasabi sa malakas na tinig, Kung ang sinoman ay sumamba sa hayop at sa kaniyang larawan, at tumanggap ng kaniyang tanda sa kaniyang noo, o sa kaniyang kamay, Ang gayon din naman ay iinom ng alak ng poot ng Dios, na nahahandang walang halo sa saro ng kaniyang galit; at siya’y pahihirapan sa apoy at asupre sa harapan ng mga banal na anghel, at sa harapan ng Cordero: At ang usok ng kanilang hirap ay pumapailanlang magpakailan kailan man: at sila’y walang kapahingahan araw ni gabi, na mga nagsisisamba sa hayop at sa kaniyang larawan, at sinomang tumatanggap ng tanda ng kaniyang pangalan. Apocalipsis 14:9–11.</w:t>
      </w:r>
    </w:p>
    <w:p>
      <w:pPr>
        <w:pStyle w:val="ArticleBody"/>
        <w:jc w:val="left"/>
      </w:pPr>
      <w:r>
        <w:rPr>
          <w:rFonts w:ascii="Times New Roman" w:hAnsi="Times New Roman" w:eastAsia="Times New Roman" w:cs="Times New Roman"/>
        </w:rPr>
        <w:t>Le dernier message d’avertissement est le message représenté par le troisième ange. C’est l’avertissement final, car il identifie directement la dernière épreuve destinée à l’humanité. Un autre ange suit et se joint au troisième ange, et cet ange constitue également le dernier message d’avertissement.</w:t>
      </w:r>
    </w:p>
    <w:p>
      <w:pPr>
        <w:pStyle w:val="ArticleScripture"/>
        <w:jc w:val="left"/>
      </w:pPr>
      <w:r>
        <w:rPr>
          <w:rFonts w:ascii="Times New Roman" w:hAnsi="Times New Roman" w:eastAsia="Times New Roman" w:cs="Times New Roman"/>
        </w:rPr>
        <w:t>Na baada ya hayo nikaona malaika mwingine akishuka kutoka mbinguni, akiwa na mamlaka kuu; nayo dunia ikaangazwa kwa utukufu wake. Naye akalia kwa nguvu kwa sauti kuu, akisema, Babeli mkuu ameanguka, ameanguka, naye amekuwa makao ya mashetani, na ngome ya kila roho mchafu, na tundu la kila ndege mchafu na mwenye kuchukiza. Kwa maana mataifa yote yamekunywa divai ya ghadhabu ya uasherati wake, na wafalme wa dunia wamezini naye, nao wafanyabiashara wa dunia wamepata utajiri kwa wingi wa anasa zake.</w:t>
      </w:r>
    </w:p>
    <w:p>
      <w:pPr>
        <w:pStyle w:val="ArticleScripture"/>
        <w:jc w:val="left"/>
      </w:pPr>
      <w:r>
        <w:rPr>
          <w:rFonts w:ascii="Times New Roman" w:hAnsi="Times New Roman" w:eastAsia="Times New Roman" w:cs="Times New Roman"/>
        </w:rPr>
        <w:t>Et j’entendis une autre voix venant du ciel, disant : Sortez du milieu d’elle, mon peuple, afin que vous ne participiez point à ses péchés, et que vous n’ayez point de part à ses fléaux. Car ses péchés se sont amoncelés jusqu’au ciel, et Dieu s’est souvenu de ses iniquités. Apocalypse 18:1–5.</w:t>
      </w:r>
    </w:p>
    <w:p>
      <w:pPr>
        <w:pStyle w:val="ArticleBody"/>
        <w:jc w:val="left"/>
      </w:pPr>
      <w:r>
        <w:rPr>
          <w:rFonts w:ascii="Times New Roman" w:hAnsi="Times New Roman" w:eastAsia="Times New Roman" w:cs="Times New Roman"/>
        </w:rPr>
        <w:t>Le message qui constitue la Révélation de Jésus-Christ est présenté au chapitre un, au chapitre quatorze, au chapitre dix-huit et au chapitre vingt-deux. Le message est signifié par un ange qui, dans la première et la dernière mention de l’Apocalypse, est identifié comme l’ange Gabriel; puis, aux chapitres quatorze et dix-huit, le message est représenté symboliquement par un ange volant dans le ciel ou descendant du ciel.</w:t>
      </w:r>
    </w:p>
    <w:p>
      <w:pPr>
        <w:pStyle w:val="ArticleBody"/>
        <w:jc w:val="left"/>
      </w:pPr>
      <w:r>
        <w:rPr>
          <w:rFonts w:ascii="Times New Roman" w:hAnsi="Times New Roman" w:eastAsia="Times New Roman" w:cs="Times New Roman"/>
        </w:rPr>
        <w:t>L’ange qui descend du ciel au chapitre dix-huit est préfiguré plus tôt, au chapitre dix, lorsqu’un ange descend et pose un pied sur la terre et l’autre sur la mer. Cet ange a un livre que Jean reçoit l’ordre de manger, lequel rend sa bouche douce et son ventre amer. Le livre que Jean mange est un message, et le message représenté par le petit livre préfigure le message de l’ange d’Apocalypse dix-huit ; il constitue donc, lui aussi, une représentation du dernier message d’avertissement.</w:t>
      </w:r>
    </w:p>
    <w:p>
      <w:pPr>
        <w:pStyle w:val="ArticleBody"/>
        <w:jc w:val="left"/>
      </w:pPr>
      <w:r>
        <w:rPr>
          <w:rFonts w:ascii="Times New Roman" w:hAnsi="Times New Roman" w:eastAsia="Times New Roman" w:cs="Times New Roman"/>
        </w:rPr>
        <w:t>Waxa naloo sheegay in farriinta Ilaah la soo diray oo malaa’ig lagu muujiyey; marka aynu si dhow u eegno farriinta digniinta ugu dambaysa ee lagu sawiray kitaabka Muujintii, waxa aynu helaynaa in toddoba jeer malaa’igdu ay calaamad u tahay farriinta digniinta ugu dambaysa. Tusaalaha kowaad iyo kan ugu dambeeyaba waxay ahayd malaa’igtii Jibriil. Markaas Muujintii toban waxa aynu ku aragnaa malaa’ig ka soo degaysa iyadoo gacanteeda ku sidata kitaab yar. Muujintii afar iyo tobanna waxa aynu ku aragnaa saddex malaa’igood oo kale, kuwaas oo dhammaantood metelaya farriinta digniinta ugu dambaysa. Dabadeed Muujintii siddeed iyo tobanna waxa aynu ku aragnaa malaa’ig kale oo metelaysa isla farriintaas digniinta ugu dambaysa. Toddoba farriimood oo digniinta ugu dambaysa ah ayaa malaa’ig lagu metelay. Kuwa kowaad iyo kuwa ugu dambeeya waa malaa’igtii Jibriil, shanta malaa’igood ee u dhexaysa kuwa kowaad iyo kuwa ugu dambeeyana waa malaa’ig calaamadi ah.</w:t>
      </w:r>
    </w:p>
    <w:p>
      <w:pPr>
        <w:pStyle w:val="ArticleBody"/>
        <w:jc w:val="left"/>
      </w:pPr>
      <w:r>
        <w:rPr>
          <w:rFonts w:ascii="Times New Roman" w:hAnsi="Times New Roman" w:eastAsia="Times New Roman" w:cs="Times New Roman"/>
        </w:rPr>
        <w:t>Kujhika, kiekina iš septynių bažnyčių taip pat turi savo angelą, tačiau jie neša žinią bažnyčioms, o paskutinioji įspėjamoji žinia, kurią aptarėme, yra žinia, kurios klausytojai apima visą pasaulį.</w:t>
      </w:r>
    </w:p>
    <w:p>
      <w:pPr>
        <w:pStyle w:val="ArticleBody"/>
        <w:jc w:val="left"/>
      </w:pPr>
      <w:r>
        <w:rPr>
          <w:rFonts w:ascii="Times New Roman" w:hAnsi="Times New Roman" w:eastAsia="Times New Roman" w:cs="Times New Roman"/>
        </w:rPr>
        <w:t>Chacune des sept lignes prophétiques représentant le message d’avertissement final devrait être examinée attentivement et harmonisée avec les autres ; mais, à ce stade, je souhaite simplement définir un principe fondamental de l’Alpha et de l’Oméga. La première fois qu’un sujet est mentionné dans la parole de Dieu constitue la référence la plus importante. La première mention de la « semence » dans la Bible se trouve dans Genèse 1:11, où il nous est dit que la semence produirait « selon son espèce ». Cette première mention de la semence souligne qu’elle possède l’ADN nécessaire pour se reproduire elle-même. Jésus a identifié la Parole de Dieu comme une semence.</w:t>
      </w:r>
    </w:p>
    <w:p>
      <w:pPr>
        <w:pStyle w:val="ArticleScripture"/>
        <w:jc w:val="left"/>
      </w:pPr>
      <w:r>
        <w:rPr>
          <w:rFonts w:ascii="Times New Roman" w:hAnsi="Times New Roman" w:eastAsia="Times New Roman" w:cs="Times New Roman"/>
        </w:rPr>
        <w:t>That same day Jesus went out of the house and sat by the seaside. And great crowds were gathered unto Him, so that He entered into a boat and sat down; and the whole multitude stood on the shore. And He spoke many things unto them in parables, saying,</w:t>
      </w:r>
    </w:p>
    <w:p>
      <w:pPr>
        <w:pStyle w:val="ArticleScripture"/>
        <w:jc w:val="left"/>
      </w:pPr>
      <w:r>
        <w:rPr>
          <w:rFonts w:ascii="Times New Roman" w:hAnsi="Times New Roman" w:eastAsia="Times New Roman" w:cs="Times New Roman"/>
        </w:rPr>
        <w:t>Voici, un semeur sortit pour semer. Et comme il semait, une partie de la semence tomba le long du chemin, et les oiseaux vinrent et la dévorèrent. Une autre partie tomba dans les endroits pierreux, où elle n’avait pas beaucoup de terre; et aussitôt elle leva, parce qu’elle n’avait pas une terre profonde. Mais, le soleil s’étant levé, elle fut brûlée; et, parce qu’elle n’avait point de racine, elle sécha. Une autre partie tomba parmi les épines; et les épines crûrent et l’étouffèrent. Mais une autre partie tomba dans la bonne terre, et porta du fruit, un grain cent, un autre soixante, un autre trente. Que celui qui a des oreilles pour entendre entende.</w:t>
      </w:r>
    </w:p>
    <w:p>
      <w:pPr>
        <w:pStyle w:val="ArticleScripture"/>
        <w:jc w:val="left"/>
      </w:pP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आकर</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 respondeu-lhes: Porque a vós é dado conhecer os mistérios do reino dos céus, mas a eles não lhes é dado. Porque a qualquer que tem, ser-lhe-á dado, e terá em abundância; mas ao que não tem, até aquilo que tem lhe será tirado. Por isso lhes falo por parábolas; porque, vendo, não veem; e, ouvindo, não ouvem nem entendem. E neles se cumpre a profecia de Isaías, que diz: Ouvindo, ouvireis, e não entendereis; e, vendo, vereis, e não percebereis. Porque o coração deste povo se tornou insensível, e os seus ouvidos se fizeram tardios para ouvir, e fecharam os seus olhos; para que nunca vejam com os olhos, nem ouçam com os ouvidos, nem entendam com o coração, nem se convertam, e eu os cure.</w:t>
      </w:r>
    </w:p>
    <w:p>
      <w:pPr>
        <w:pStyle w:val="ArticleScripture"/>
        <w:jc w:val="left"/>
      </w:pPr>
      <w:r>
        <w:rPr>
          <w:rFonts w:ascii="Times New Roman" w:hAnsi="Times New Roman" w:eastAsia="Times New Roman" w:cs="Times New Roman"/>
        </w:rPr>
        <w:t>Mais heureux sont vos yeux, parce qu’ils voient, et vos oreilles, parce qu’elles entendent. Car, en vérité, je vous le dis, beaucoup de prophètes et de justes ont désiré voir les choses que vous voyez, et ne les ont point vues; et entendre les choses que vous entendez, et ne les ont point entendues.</w:t>
      </w:r>
    </w:p>
    <w:p>
      <w:pPr>
        <w:pStyle w:val="ArticleScripture"/>
        <w:jc w:val="left"/>
      </w:pPr>
      <w:r>
        <w:rPr>
          <w:rFonts w:ascii="Times New Roman" w:hAnsi="Times New Roman" w:eastAsia="Times New Roman" w:cs="Times New Roman"/>
        </w:rPr>
        <w:t>Niwafsiri kwa usahihi zaidi nikijua “ff” ni lugha gani unayotaka (kwa mfano, Kiswahili, Kifaransa, Kifini, n.k.).</w:t>
      </w:r>
    </w:p>
    <w:p>
      <w:pPr>
        <w:pStyle w:val="ArticleScripture"/>
        <w:jc w:val="left"/>
      </w:pPr>
      <w:r>
        <w:rPr>
          <w:rFonts w:ascii="Times New Roman" w:hAnsi="Times New Roman" w:eastAsia="Times New Roman" w:cs="Times New Roman"/>
        </w:rPr>
        <w:t>Sa tuwing may nakaririnig ng salita ng kaharian at hindi ito nauunawaan, dumarating ang masama at inaagaw ang naihasik sa kaniyang puso. Ito ang tumanggap ng binhi sa tabi ng daan.</w:t>
      </w:r>
    </w:p>
    <w:p>
      <w:pPr>
        <w:pStyle w:val="ArticleScripture"/>
        <w:jc w:val="left"/>
      </w:pPr>
      <w:r>
        <w:rPr>
          <w:rFonts w:ascii="Times New Roman" w:hAnsi="Times New Roman" w:eastAsia="Times New Roman" w:cs="Times New Roman"/>
        </w:rPr>
        <w:t>Ma ṣugbọn ẹni tí ó gba irúgbìn náà sí ibi apáta, òun ni ẹni tí ó gbọ́ ọ̀rọ̀ náà, tí ó sì fi ayọ̀ gbà á lọ́gán; ṣùgbọ́n kò ní gbòǹgbò nínú ara rẹ̀, bí kò ṣe pé ó dúró fún ìgbà díẹ̀; nítorí nígbà tí ìpọ́njú tàbí inúnibíni bá dìde nítorí ọ̀rọ̀ náà, lójúkan náà ni ó kọsẹ̀.</w:t>
      </w:r>
    </w:p>
    <w:p>
      <w:pPr>
        <w:pStyle w:val="ArticleScripture"/>
        <w:jc w:val="left"/>
      </w:pPr>
      <w:r>
        <w:rPr>
          <w:rFonts w:ascii="Times New Roman" w:hAnsi="Times New Roman" w:eastAsia="Times New Roman" w:cs="Times New Roman"/>
        </w:rPr>
        <w:t>A hɛ fanan, min sɔrɔ kàn an bini titɛ bɛɛrɛ kɔnɔ, o ye mɔgɔ ye min bɛ Kuma mɛn; nka duniya in hakilimaya ani nafori yeere-kunta, olu bɛ Kuma sɔgɔ, a tɛ se ka denbaya sɔrɔ.</w:t>
      </w:r>
    </w:p>
    <w:p>
      <w:pPr>
        <w:pStyle w:val="ArticleScripture"/>
        <w:jc w:val="left"/>
      </w:pPr>
      <w:r>
        <w:rPr>
          <w:rFonts w:ascii="Times New Roman" w:hAnsi="Times New Roman" w:eastAsia="Times New Roman" w:cs="Times New Roman"/>
        </w:rPr>
        <w:t>Dar vasemė, kritusi į gerą žemę, reiškia tą, kuris girdi žodį ir jį supranta; toks ir duoda vaisių: vienas šimteriopą, kitas šešiasdešimteriopą, dar kitas trisdešimteriopą. Mato 13:1–23.</w:t>
      </w:r>
    </w:p>
    <w:p>
      <w:pPr>
        <w:pStyle w:val="ArticleBody"/>
        <w:jc w:val="left"/>
      </w:pPr>
      <w:r>
        <w:rPr>
          <w:rFonts w:ascii="Times New Roman" w:hAnsi="Times New Roman" w:eastAsia="Times New Roman" w:cs="Times New Roman"/>
        </w:rPr>
        <w:t>En semence, qui est la Parole de Dieu, possède tout l’ADN nécessaire pour produire une plante complète. La première mention d’un sujet dans la Parole de Dieu comprend tous les éléments de ce sujet qui existent. Ce fait est désigné comme « la règle de la première mention ». Plus cette règle est examinée de près, plus elle se confirme avec certitude.</w:t>
      </w:r>
    </w:p>
    <w:p>
      <w:pPr>
        <w:pStyle w:val="ArticleBody"/>
        <w:jc w:val="left"/>
      </w:pPr>
      <w:r>
        <w:rPr>
          <w:rFonts w:ascii="Times New Roman" w:hAnsi="Times New Roman" w:eastAsia="Times New Roman" w:cs="Times New Roman"/>
        </w:rPr>
        <w:t>Avant de poursuivre notre explication de l’Alpha et de l’Oméga ainsi que de la définition de la Parole de Dieu comme une semence, il convient de considérer, à partir du passage que nous venons de citer dans Matthieu, quelques points pertinents pour notre étude du livre de l’Apocalypse. Tous les prophètes parlent de la fin du monde.</w:t>
      </w:r>
    </w:p>
    <w:p>
      <w:pPr>
        <w:pStyle w:val="ArticleScripture"/>
        <w:jc w:val="left"/>
      </w:pPr>
      <w:r>
        <w:rPr>
          <w:rFonts w:ascii="Times New Roman" w:hAnsi="Times New Roman" w:eastAsia="Times New Roman" w:cs="Times New Roman"/>
        </w:rPr>
        <w:t>« Chacun des anciens prophètes a parlé moins pour son propre temps que pour le nôtre, de sorte que leur prophétie demeure en vigueur pour nous. “Now all these things happened unto them for ensamples: and they are written for our admonition, upon whom the ends of the world are come.” 1 Corinthians 10:11. “Not unto themselves, but unto us they did minister the things, which are now reported unto you by them that have preached the gospel unto you with the Holy Ghost sent down from heaven; which things the angels desire to look into.” 1 Peter 1:12.... »</w:t>
      </w:r>
    </w:p>
    <w:p>
      <w:pPr>
        <w:pStyle w:val="ArticleScripture"/>
        <w:jc w:val="left"/>
      </w:pPr>
      <w:r>
        <w:rPr>
          <w:rFonts w:ascii="Times New Roman" w:hAnsi="Times New Roman" w:eastAsia="Times New Roman" w:cs="Times New Roman"/>
        </w:rPr>
        <w:t>“Biblia ahụ achịkọtala ma kekọtakwa akụ̀ ya ọnụ maka ọgbọ ikpeazụ a. Ihe omume ukwu niile na mmemme dị nsọ nke akụkọ ihe mere eme nke Agba Ochie abụrụla, ma na-emegharịkwa onwe ha, n’ime ụka n’ụbọchị ikpeazụ ndị a.” Selected Messages, book 3, 338, 339.</w:t>
      </w:r>
    </w:p>
    <w:p>
      <w:pPr>
        <w:pStyle w:val="ArticleBody"/>
        <w:jc w:val="left"/>
      </w:pPr>
      <w:r>
        <w:rPr>
          <w:rFonts w:ascii="Times New Roman" w:hAnsi="Times New Roman" w:eastAsia="Times New Roman" w:cs="Times New Roman"/>
        </w:rPr>
        <w:t>Ce passage présente trois témoins (Paul, Pierre et Ellen White) rendant témoignage au fait que tous les prophètes parlent de la fin du monde, qui est précisément le temps où le secret contenu dans le livre de l’Apocalypse est descellé. Par conséquent, dans Matthieu treize, lorsque Jésus dit : « vos yeux sont heureux, parce qu’ils voient ; et vos oreilles, parce qu’elles entendent. Car je vous le dis en vérité, beaucoup de prophètes et de justes ont désiré voir ce que vous voyez, et ne l’ont pas vu ; et entendre ce que vous entendez, et ne l’ont pas entendu », il exprimait la même bénédiction que celle qui est mentionnée dans les trois premiers versets du chapitre un de l’Apocalypse.</w:t>
      </w:r>
    </w:p>
    <w:p>
      <w:pPr>
        <w:pStyle w:val="ArticleScripture"/>
        <w:jc w:val="left"/>
      </w:pPr>
      <w:r>
        <w:rPr>
          <w:rFonts w:ascii="Times New Roman" w:hAnsi="Times New Roman" w:eastAsia="Times New Roman" w:cs="Times New Roman"/>
        </w:rPr>
        <w:t>Heureux celui qui lit, et ceux qui entendent les paroles de cette prophétie, et qui gardent les choses qui y sont écrites; car le temps est proche. Apocalypse 1:3.</w:t>
      </w:r>
    </w:p>
    <w:p>
      <w:pPr>
        <w:pStyle w:val="ArticleBody"/>
        <w:jc w:val="left"/>
      </w:pPr>
      <w:r>
        <w:rPr>
          <w:rFonts w:ascii="Times New Roman" w:hAnsi="Times New Roman" w:eastAsia="Times New Roman" w:cs="Times New Roman"/>
        </w:rPr>
        <w:t>يسوع قدّم مثل الزارع، ثم انقاد التلاميذ إلى أن يخاطبوه بشأن المثل. ولكن قبل أن يُدخَلوا في تفاعل مع يسوع، قال لهم، والأهم من ذلك لنا نحن: «مَن له أذنان للسمع، فليسمع».</w:t>
      </w:r>
    </w:p>
    <w:p>
      <w:pPr>
        <w:pStyle w:val="ArticleBody"/>
        <w:jc w:val="left"/>
      </w:pPr>
      <w:r>
        <w:rPr>
          <w:rFonts w:ascii="Times New Roman" w:hAnsi="Times New Roman" w:eastAsia="Times New Roman" w:cs="Times New Roman"/>
        </w:rPr>
        <w:t>Jesús presenta la parábola y la concluye con la advertencia dirigida a los que quieran oír. Luego los discípulos son conducidos a la discusión en la que Jesús aborda por lo menos tres pensamientos significativos. Él establece una distinción entre dos clases de oyentes y, al hacerlo, se remite a un pasaje del libro de Isaías para aportar un segundo testigo de dos clases de oyentes (pues recordemos que todo ello está situado en el contexto de aquellos que quieran oír). La tercera idea que expone, además de las dos clases de oyentes y del libro de Isaías como segundo testigo, es el hecho de que la Palabra de Dios es una semilla. El hecho de que la Palabra de Dios sea una semilla es, por tanto, parte de lo que ha de ser oído por aquellos que oyen la Revelación de Jesucristo en el capítulo uno de Apocalipsis. Hay dos oyentes en los tres primeros versículos, así como hay dos clases de oyentes en Mateo trece. Mateo trece simplemente añade cierta comprensión de las diversas maneras en que quienes rehúsan oír toman la decisión de no oír. Y el testimonio de Isaías añade aún más al mensaje que debemos oír.</w:t>
      </w:r>
    </w:p>
    <w:p>
      <w:pPr>
        <w:pStyle w:val="ArticleScripture"/>
        <w:jc w:val="left"/>
      </w:pPr>
      <w:r>
        <w:rPr>
          <w:rFonts w:ascii="Times New Roman" w:hAnsi="Times New Roman" w:eastAsia="Times New Roman" w:cs="Times New Roman"/>
        </w:rPr>
        <w:t>Дар соли вафоти подшоҳ Уззиё ман низ Худовандро дидам, ки бар тахте нишаста буд, баланд ва барафрошта; ва домани ҷомаи Ӯ маъбадро пур мекард. Болои он серафимон истода буданд: ҳар яке шаш бол дошт; бо ду бол рӯи худро мепӯшонид, бо ду бол пойҳои худро мепӯшонид, ва бо ду бол парвоз мекард. Ва яке ба дигаре нидо карда, мегуфт: «Қуддус, қуддус, қуддус аст Худованди лашкарҳо; тамоми замин аз ҷалоли Ӯ пур аст». Ва остонаҳои дар аз овози он ки нидо мекард, ба ларза омад, ва хона аз дуд пур шуд.</w:t>
      </w:r>
    </w:p>
    <w:p>
      <w:pPr>
        <w:pStyle w:val="ArticleScripture"/>
        <w:jc w:val="left"/>
      </w:pPr>
      <w:r>
        <w:rPr>
          <w:rFonts w:ascii="Times New Roman" w:hAnsi="Times New Roman" w:eastAsia="Times New Roman" w:cs="Times New Roman"/>
        </w:rPr>
        <w:t>Дараа нь би: «Халаг надад! Учир нь би мөхөв. Яагаад гэвэл би бузар уруултай хүн бөгөөд бузар уруултай ард түмний дунд оршин суудаг. Учир нь миний нүд Хаан, түмэн цэргийн ЭЗЭНийг харлаа» гэв.</w:t>
      </w:r>
    </w:p>
    <w:p>
      <w:pPr>
        <w:pStyle w:val="ArticleScripture"/>
        <w:jc w:val="left"/>
      </w:pPr>
      <w:r>
        <w:rPr>
          <w:rFonts w:ascii="Times New Roman" w:hAnsi="Times New Roman" w:eastAsia="Times New Roman" w:cs="Times New Roman"/>
        </w:rPr>
        <w:t>Aho ni umwe mu bamarayika b’iserafi yangurukiye ansanga, afite mu kuboko ke ikara ryaka, yari yakuye ku gicaniro akoresheje ibyuma byabugenewe; arindambika ku munwa, aravuga ati: Dore, ibi bikoze ku minwa yawe; kandi gukiranirwa kwawe kuvanyweho, icyaha cyawe kirahongererwa.</w:t>
      </w:r>
    </w:p>
    <w:p>
      <w:pPr>
        <w:pStyle w:val="ArticleScripture"/>
        <w:jc w:val="left"/>
      </w:pPr>
      <w:r>
        <w:rPr>
          <w:rFonts w:ascii="Times New Roman" w:hAnsi="Times New Roman" w:eastAsia="Times New Roman" w:cs="Times New Roman"/>
        </w:rPr>
        <w:t>En ook hoorde ik de stem van de Heer, die zei: Wie zal Ik zenden, en wie zal voor Ons gaan? Toen zei ik: Zie, hier ben ik; zend mij.</w:t>
      </w:r>
    </w:p>
    <w:p>
      <w:pPr>
        <w:pStyle w:val="ArticleScripture"/>
        <w:jc w:val="left"/>
      </w:pP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ሂድ፥</w:t>
      </w:r>
      <w:r>
        <w:rPr>
          <w:rFonts w:ascii="Times New Roman" w:hAnsi="Times New Roman" w:eastAsia="Times New Roman" w:cs="Times New Roman"/>
        </w:rPr>
        <w:t xml:space="preserve"> </w:t>
      </w:r>
      <w:r>
        <w:rPr>
          <w:rFonts w:ascii="Ebrima" w:hAnsi="Ebrima" w:eastAsia="Ebrima" w:cs="Ebrima"/>
        </w:rPr>
        <w:t>ለዚህ</w:t>
      </w:r>
      <w:r>
        <w:rPr>
          <w:rFonts w:ascii="Times New Roman" w:hAnsi="Times New Roman" w:eastAsia="Times New Roman" w:cs="Times New Roman"/>
        </w:rPr>
        <w:t xml:space="preserve"> </w:t>
      </w:r>
      <w:r>
        <w:rPr>
          <w:rFonts w:ascii="Ebrima" w:hAnsi="Ebrima" w:eastAsia="Ebrima" w:cs="Ebrima"/>
        </w:rPr>
        <w:t>ሕዝብም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በል፤</w:t>
      </w:r>
      <w:r>
        <w:rPr>
          <w:rFonts w:ascii="Times New Roman" w:hAnsi="Times New Roman" w:eastAsia="Times New Roman" w:cs="Times New Roman"/>
        </w:rPr>
        <w:t xml:space="preserve"> </w:t>
      </w:r>
      <w:r>
        <w:rPr>
          <w:rFonts w:ascii="Ebrima" w:hAnsi="Ebrima" w:eastAsia="Ebrima" w:cs="Ebrima"/>
        </w:rPr>
        <w:t>በእውነት</w:t>
      </w:r>
      <w:r>
        <w:rPr>
          <w:rFonts w:ascii="Times New Roman" w:hAnsi="Times New Roman" w:eastAsia="Times New Roman" w:cs="Times New Roman"/>
        </w:rPr>
        <w:t xml:space="preserve"> </w:t>
      </w:r>
      <w:r>
        <w:rPr>
          <w:rFonts w:ascii="Ebrima" w:hAnsi="Ebrima" w:eastAsia="Ebrima" w:cs="Ebrima"/>
        </w:rPr>
        <w:t>ትሰሙ</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አትረዱም፤</w:t>
      </w:r>
      <w:r>
        <w:rPr>
          <w:rFonts w:ascii="Times New Roman" w:hAnsi="Times New Roman" w:eastAsia="Times New Roman" w:cs="Times New Roman"/>
        </w:rPr>
        <w:t xml:space="preserve"> </w:t>
      </w:r>
      <w:r>
        <w:rPr>
          <w:rFonts w:ascii="Ebrima" w:hAnsi="Ebrima" w:eastAsia="Ebrima" w:cs="Ebrima"/>
        </w:rPr>
        <w:t>በእውነትም</w:t>
      </w:r>
      <w:r>
        <w:rPr>
          <w:rFonts w:ascii="Times New Roman" w:hAnsi="Times New Roman" w:eastAsia="Times New Roman" w:cs="Times New Roman"/>
        </w:rPr>
        <w:t xml:space="preserve"> </w:t>
      </w:r>
      <w:r>
        <w:rPr>
          <w:rFonts w:ascii="Ebrima" w:hAnsi="Ebrima" w:eastAsia="Ebrima" w:cs="Ebrima"/>
        </w:rPr>
        <w:t>ታያላችሁ</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አታስተውሉም።</w:t>
      </w:r>
      <w:r>
        <w:rPr>
          <w:rFonts w:ascii="Times New Roman" w:hAnsi="Times New Roman" w:eastAsia="Times New Roman" w:cs="Times New Roman"/>
        </w:rPr>
        <w:t xml:space="preserve"> </w:t>
      </w:r>
      <w:r>
        <w:rPr>
          <w:rFonts w:ascii="Ebrima" w:hAnsi="Ebrima" w:eastAsia="Ebrima" w:cs="Ebrima"/>
        </w:rPr>
        <w:t>የዚህን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ልብ</w:t>
      </w:r>
      <w:r>
        <w:rPr>
          <w:rFonts w:ascii="Times New Roman" w:hAnsi="Times New Roman" w:eastAsia="Times New Roman" w:cs="Times New Roman"/>
        </w:rPr>
        <w:t xml:space="preserve"> </w:t>
      </w:r>
      <w:r>
        <w:rPr>
          <w:rFonts w:ascii="Ebrima" w:hAnsi="Ebrima" w:eastAsia="Ebrima" w:cs="Ebrima"/>
        </w:rPr>
        <w:t>አደንድን፥</w:t>
      </w:r>
      <w:r>
        <w:rPr>
          <w:rFonts w:ascii="Times New Roman" w:hAnsi="Times New Roman" w:eastAsia="Times New Roman" w:cs="Times New Roman"/>
        </w:rPr>
        <w:t xml:space="preserve"> </w:t>
      </w:r>
      <w:r>
        <w:rPr>
          <w:rFonts w:ascii="Ebrima" w:hAnsi="Ebrima" w:eastAsia="Ebrima" w:cs="Ebrima"/>
        </w:rPr>
        <w:t>ጆሮዎቻቸውንም</w:t>
      </w:r>
      <w:r>
        <w:rPr>
          <w:rFonts w:ascii="Times New Roman" w:hAnsi="Times New Roman" w:eastAsia="Times New Roman" w:cs="Times New Roman"/>
        </w:rPr>
        <w:t xml:space="preserve"> </w:t>
      </w:r>
      <w:r>
        <w:rPr>
          <w:rFonts w:ascii="Ebrima" w:hAnsi="Ebrima" w:eastAsia="Ebrima" w:cs="Ebrima"/>
        </w:rPr>
        <w:t>አክብድ፥</w:t>
      </w:r>
      <w:r>
        <w:rPr>
          <w:rFonts w:ascii="Times New Roman" w:hAnsi="Times New Roman" w:eastAsia="Times New Roman" w:cs="Times New Roman"/>
        </w:rPr>
        <w:t xml:space="preserve"> </w:t>
      </w:r>
      <w:r>
        <w:rPr>
          <w:rFonts w:ascii="Ebrima" w:hAnsi="Ebrima" w:eastAsia="Ebrima" w:cs="Ebrima"/>
        </w:rPr>
        <w:t>ዓይኖቻቸውንም</w:t>
      </w:r>
      <w:r>
        <w:rPr>
          <w:rFonts w:ascii="Times New Roman" w:hAnsi="Times New Roman" w:eastAsia="Times New Roman" w:cs="Times New Roman"/>
        </w:rPr>
        <w:t xml:space="preserve"> </w:t>
      </w:r>
      <w:r>
        <w:rPr>
          <w:rFonts w:ascii="Ebrima" w:hAnsi="Ebrima" w:eastAsia="Ebrima" w:cs="Ebrima"/>
        </w:rPr>
        <w:t>ጨፍን፤</w:t>
      </w:r>
      <w:r>
        <w:rPr>
          <w:rFonts w:ascii="Times New Roman" w:hAnsi="Times New Roman" w:eastAsia="Times New Roman" w:cs="Times New Roman"/>
        </w:rPr>
        <w:t xml:space="preserve"> </w:t>
      </w:r>
      <w:r>
        <w:rPr>
          <w:rFonts w:ascii="Ebrima" w:hAnsi="Ebrima" w:eastAsia="Ebrima" w:cs="Ebrima"/>
        </w:rPr>
        <w:t>እንዳያዩ</w:t>
      </w:r>
      <w:r>
        <w:rPr>
          <w:rFonts w:ascii="Times New Roman" w:hAnsi="Times New Roman" w:eastAsia="Times New Roman" w:cs="Times New Roman"/>
        </w:rPr>
        <w:t xml:space="preserve"> </w:t>
      </w:r>
      <w:r>
        <w:rPr>
          <w:rFonts w:ascii="Ebrima" w:hAnsi="Ebrima" w:eastAsia="Ebrima" w:cs="Ebrima"/>
        </w:rPr>
        <w:t>በዓይኖቻቸው፥</w:t>
      </w:r>
      <w:r>
        <w:rPr>
          <w:rFonts w:ascii="Times New Roman" w:hAnsi="Times New Roman" w:eastAsia="Times New Roman" w:cs="Times New Roman"/>
        </w:rPr>
        <w:t xml:space="preserve"> </w:t>
      </w:r>
      <w:r>
        <w:rPr>
          <w:rFonts w:ascii="Ebrima" w:hAnsi="Ebrima" w:eastAsia="Ebrima" w:cs="Ebrima"/>
        </w:rPr>
        <w:t>እንዳይሰሙም</w:t>
      </w:r>
      <w:r>
        <w:rPr>
          <w:rFonts w:ascii="Times New Roman" w:hAnsi="Times New Roman" w:eastAsia="Times New Roman" w:cs="Times New Roman"/>
        </w:rPr>
        <w:t xml:space="preserve"> </w:t>
      </w:r>
      <w:r>
        <w:rPr>
          <w:rFonts w:ascii="Ebrima" w:hAnsi="Ebrima" w:eastAsia="Ebrima" w:cs="Ebrima"/>
        </w:rPr>
        <w:t>በጆሮዎቻቸው፥</w:t>
      </w:r>
      <w:r>
        <w:rPr>
          <w:rFonts w:ascii="Times New Roman" w:hAnsi="Times New Roman" w:eastAsia="Times New Roman" w:cs="Times New Roman"/>
        </w:rPr>
        <w:t xml:space="preserve"> </w:t>
      </w:r>
      <w:r>
        <w:rPr>
          <w:rFonts w:ascii="Ebrima" w:hAnsi="Ebrima" w:eastAsia="Ebrima" w:cs="Ebrima"/>
        </w:rPr>
        <w:t>እንዳያስተውሉም</w:t>
      </w:r>
      <w:r>
        <w:rPr>
          <w:rFonts w:ascii="Times New Roman" w:hAnsi="Times New Roman" w:eastAsia="Times New Roman" w:cs="Times New Roman"/>
        </w:rPr>
        <w:t xml:space="preserve"> </w:t>
      </w:r>
      <w:r>
        <w:rPr>
          <w:rFonts w:ascii="Ebrima" w:hAnsi="Ebrima" w:eastAsia="Ebrima" w:cs="Ebrima"/>
        </w:rPr>
        <w:t>በልባቸው፥</w:t>
      </w:r>
      <w:r>
        <w:rPr>
          <w:rFonts w:ascii="Times New Roman" w:hAnsi="Times New Roman" w:eastAsia="Times New Roman" w:cs="Times New Roman"/>
        </w:rPr>
        <w:t xml:space="preserve"> </w:t>
      </w:r>
      <w:r>
        <w:rPr>
          <w:rFonts w:ascii="Ebrima" w:hAnsi="Ebrima" w:eastAsia="Ebrima" w:cs="Ebrima"/>
        </w:rPr>
        <w:t>እንዳይመለሱም</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እንዳይፈወሱ።</w:t>
      </w:r>
    </w:p>
    <w:p>
      <w:pPr>
        <w:pStyle w:val="ArticleScripture"/>
        <w:jc w:val="left"/>
      </w:pPr>
      <w:r>
        <w:rPr>
          <w:rFonts w:ascii="Times New Roman" w:hAnsi="Times New Roman" w:eastAsia="Times New Roman" w:cs="Times New Roman"/>
        </w:rPr>
        <w:t>Afei na mikyerɛɛ me sɛ, Awurade, ɛbɛkɔ so akosi da bɛn? Na ɔbuaa sɛ, Kosi sɛ nkurow no bɛsɛe a obiara renni mu, na afie no nso sofoforo nni mu, na asase no adan pasaa; na Awurade ayi nnipa akɔ akyirikyiri, na nnipa agyaw asase no mu kɛse. Nanso ɛbɛda so ara wɔ mu sɛ ɔha mu baako, na ɛno bɛsan aba, na wɔbɛwe no; te sɛ duaba dua ne odum a ne substans da so wɔ mu bere a wɔtow wɔn nhaban gu no, saa ara na aseni kronkron no bɛyɛ ne substans. Yeshaya 6:1–13.</w:t>
      </w:r>
    </w:p>
    <w:p>
      <w:pPr>
        <w:pStyle w:val="ArticleBody"/>
        <w:jc w:val="left"/>
      </w:pPr>
      <w:r>
        <w:rPr>
          <w:rFonts w:ascii="Times New Roman" w:hAnsi="Times New Roman" w:eastAsia="Times New Roman" w:cs="Times New Roman"/>
        </w:rPr>
        <w:t>Bien entendu, ce passage d’Ésaïe est absolument remarquable par la profondeur des thèmes prophétiques qu’il aborde. Nombre de ces thèmes ont été examinés à maintes reprises dans les Tables d’Habacuc; nous nous bornerons donc à résumer les points de ce passage qui appuient notre examen de la référence de Jésus à sa parole comme étant une semence.</w:t>
      </w:r>
    </w:p>
    <w:p>
      <w:pPr>
        <w:pStyle w:val="ArticleBody"/>
        <w:jc w:val="left"/>
      </w:pPr>
      <w:r>
        <w:rPr>
          <w:rFonts w:ascii="Microsoft YaHei" w:hAnsi="Microsoft YaHei" w:eastAsia="Microsoft YaHei" w:cs="Microsoft YaHei"/>
        </w:rPr>
        <w:t>已經確立的是</w:t>
      </w:r>
      <w:r>
        <w:rPr>
          <w:rFonts w:ascii="Times New Roman" w:hAnsi="Times New Roman" w:eastAsia="Times New Roman" w:cs="Times New Roman"/>
        </w:rPr>
        <w:t>,</w:t>
      </w:r>
      <w:r>
        <w:rPr>
          <w:rFonts w:ascii="Microsoft YaHei" w:hAnsi="Microsoft YaHei" w:eastAsia="Microsoft YaHei" w:cs="Microsoft YaHei"/>
        </w:rPr>
        <w:t>以賽亞在這段經文中代表一位先知</w:t>
      </w:r>
      <w:r>
        <w:rPr>
          <w:rFonts w:ascii="Times New Roman" w:hAnsi="Times New Roman" w:eastAsia="Times New Roman" w:cs="Times New Roman"/>
        </w:rPr>
        <w:t>,</w:t>
      </w:r>
      <w:r>
        <w:rPr>
          <w:rFonts w:ascii="Microsoft YaHei" w:hAnsi="Microsoft YaHei" w:eastAsia="Microsoft YaHei" w:cs="Microsoft YaHei"/>
        </w:rPr>
        <w:t>因此也代表末時上帝的子民</w:t>
      </w:r>
      <w:r>
        <w:rPr>
          <w:rFonts w:ascii="Times New Roman" w:hAnsi="Times New Roman" w:eastAsia="Times New Roman" w:cs="Times New Roman"/>
        </w:rPr>
        <w:t>.</w:t>
      </w:r>
      <w:r>
        <w:rPr>
          <w:rFonts w:ascii="Microsoft YaHei" w:hAnsi="Microsoft YaHei" w:eastAsia="Microsoft YaHei" w:cs="Microsoft YaHei"/>
        </w:rPr>
        <w:t>對我們論點更為重要的是</w:t>
      </w:r>
      <w:r>
        <w:rPr>
          <w:rFonts w:ascii="Times New Roman" w:hAnsi="Times New Roman" w:eastAsia="Times New Roman" w:cs="Times New Roman"/>
        </w:rPr>
        <w:t>,</w:t>
      </w:r>
      <w:r>
        <w:rPr>
          <w:rFonts w:ascii="Microsoft YaHei" w:hAnsi="Microsoft YaHei" w:eastAsia="Microsoft YaHei" w:cs="Microsoft YaHei"/>
        </w:rPr>
        <w:t>以賽亞所代表的是一群活在罪中、卻仍在上帝教會之內運作的人</w:t>
      </w:r>
      <w:r>
        <w:rPr>
          <w:rFonts w:ascii="Times New Roman" w:hAnsi="Times New Roman" w:eastAsia="Times New Roman" w:cs="Times New Roman"/>
        </w:rPr>
        <w:t>.</w:t>
      </w:r>
      <w:r>
        <w:rPr>
          <w:rFonts w:ascii="Microsoft YaHei" w:hAnsi="Microsoft YaHei" w:eastAsia="Microsoft YaHei" w:cs="Microsoft YaHei"/>
        </w:rPr>
        <w:t>直到以賽亞得見上帝榮耀的啟示</w:t>
      </w:r>
      <w:r>
        <w:rPr>
          <w:rFonts w:ascii="Times New Roman" w:hAnsi="Times New Roman" w:eastAsia="Times New Roman" w:cs="Times New Roman"/>
        </w:rPr>
        <w:t>,</w:t>
      </w:r>
      <w:r>
        <w:rPr>
          <w:rFonts w:ascii="Microsoft YaHei" w:hAnsi="Microsoft YaHei" w:eastAsia="Microsoft YaHei" w:cs="Microsoft YaHei"/>
        </w:rPr>
        <w:t>他才沒有認出自己的罪性</w:t>
      </w:r>
      <w:r>
        <w:rPr>
          <w:rFonts w:ascii="Times New Roman" w:hAnsi="Times New Roman" w:eastAsia="Times New Roman" w:cs="Times New Roman"/>
        </w:rPr>
        <w:t>.</w:t>
      </w:r>
      <w:r>
        <w:rPr>
          <w:rFonts w:ascii="Microsoft YaHei" w:hAnsi="Microsoft YaHei" w:eastAsia="Microsoft YaHei" w:cs="Microsoft YaHei"/>
        </w:rPr>
        <w:t>他是老底嘉的</w:t>
      </w:r>
      <w:r>
        <w:rPr>
          <w:rFonts w:ascii="Times New Roman" w:hAnsi="Times New Roman" w:eastAsia="Times New Roman" w:cs="Times New Roman"/>
        </w:rPr>
        <w:t>,</w:t>
      </w:r>
      <w:r>
        <w:rPr>
          <w:rFonts w:ascii="Microsoft YaHei" w:hAnsi="Microsoft YaHei" w:eastAsia="Microsoft YaHei" w:cs="Microsoft YaHei"/>
        </w:rPr>
        <w:t>他是瞎眼的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ईशायाह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दण्डादेश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शीतल</w:t>
      </w:r>
      <w:r>
        <w:rPr>
          <w:rFonts w:ascii="Times New Roman" w:hAnsi="Times New Roman" w:eastAsia="Times New Roman" w:cs="Times New Roman"/>
        </w:rPr>
        <w:t xml:space="preserve">, </w:t>
      </w:r>
      <w:r>
        <w:rPr>
          <w:rFonts w:ascii="Nirmala UI" w:hAnsi="Nirmala UI" w:eastAsia="Nirmala UI" w:cs="Nirmala UI"/>
        </w:rPr>
        <w:t>निर्जीव</w:t>
      </w:r>
      <w:r>
        <w:rPr>
          <w:rFonts w:ascii="Times New Roman" w:hAnsi="Times New Roman" w:eastAsia="Times New Roman" w:cs="Times New Roman"/>
        </w:rPr>
        <w:t xml:space="preserve"> </w:t>
      </w:r>
      <w:r>
        <w:rPr>
          <w:rFonts w:ascii="Nirmala UI" w:hAnsi="Nirmala UI" w:eastAsia="Nirmala UI" w:cs="Nirmala UI"/>
        </w:rPr>
        <w:t>कर्मकाण्ड</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सन्तुष्ट</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योग्यताएँ</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अयोग्य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कितना</w:t>
      </w:r>
      <w:r>
        <w:rPr>
          <w:rFonts w:ascii="Times New Roman" w:hAnsi="Times New Roman" w:eastAsia="Times New Roman" w:cs="Times New Roman"/>
        </w:rPr>
        <w:t xml:space="preserve"> </w:t>
      </w:r>
      <w:r>
        <w:rPr>
          <w:rFonts w:ascii="Nirmala UI" w:hAnsi="Nirmala UI" w:eastAsia="Nirmala UI" w:cs="Nirmala UI"/>
        </w:rPr>
        <w:t>अनुपयुक्त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दृष्टिकोण</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अभागा</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छुड़ाएगा</w:t>
      </w:r>
      <w:r>
        <w:rPr>
          <w:rFonts w:ascii="Times New Roman" w:hAnsi="Times New Roman" w:eastAsia="Times New Roman" w:cs="Times New Roman"/>
        </w:rPr>
        <w:t>?’”</w:t>
      </w:r>
    </w:p>
    <w:p>
      <w:pPr>
        <w:pStyle w:val="ArticleScripture"/>
        <w:jc w:val="left"/>
      </w:pPr>
      <w:r>
        <w:rPr>
          <w:rFonts w:ascii="Microsoft YaHei" w:hAnsi="Microsoft YaHei" w:eastAsia="Microsoft YaHei" w:cs="Microsoft YaHei"/>
        </w:rPr>
        <w:t>「</w:t>
      </w:r>
      <w:r>
        <w:rPr>
          <w:rFonts w:ascii="MS Gothic" w:hAnsi="MS Gothic" w:eastAsia="MS Gothic" w:cs="MS Gothic"/>
        </w:rPr>
        <w:t>しかし</w:t>
      </w:r>
      <w:r>
        <w:rPr>
          <w:rFonts w:ascii="Microsoft YaHei" w:hAnsi="Microsoft YaHei" w:eastAsia="Microsoft YaHei" w:cs="Microsoft YaHei"/>
        </w:rPr>
        <w:t>、</w:t>
      </w:r>
      <w:r>
        <w:rPr>
          <w:rFonts w:ascii="MS Gothic" w:hAnsi="MS Gothic" w:eastAsia="MS Gothic" w:cs="MS Gothic"/>
        </w:rPr>
        <w:t>イザヤの</w:t>
      </w:r>
      <w:r>
        <w:rPr>
          <w:rFonts w:ascii="Microsoft YaHei" w:hAnsi="Microsoft YaHei" w:eastAsia="Microsoft YaHei" w:cs="Microsoft YaHei"/>
        </w:rPr>
        <w:t>苦悩</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慰</w:t>
      </w:r>
      <w:r>
        <w:rPr>
          <w:rFonts w:ascii="MS Gothic" w:hAnsi="MS Gothic" w:eastAsia="MS Gothic" w:cs="MS Gothic"/>
        </w:rPr>
        <w:t>めが</w:t>
      </w:r>
      <w:r>
        <w:rPr>
          <w:rFonts w:ascii="Microsoft YaHei" w:hAnsi="Microsoft YaHei" w:eastAsia="Microsoft YaHei" w:cs="Microsoft YaHei"/>
        </w:rPr>
        <w:t>与</w:t>
      </w:r>
      <w:r>
        <w:rPr>
          <w:rFonts w:ascii="MS Gothic" w:hAnsi="MS Gothic" w:eastAsia="MS Gothic" w:cs="MS Gothic"/>
        </w:rPr>
        <w:t>えられた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すると</w:t>
      </w:r>
      <w:r>
        <w:rPr>
          <w:rFonts w:ascii="Microsoft YaHei" w:hAnsi="Microsoft YaHei" w:eastAsia="Microsoft YaHei" w:cs="Microsoft YaHei"/>
        </w:rPr>
        <w:t>、</w:t>
      </w:r>
      <w:r>
        <w:rPr>
          <w:rFonts w:ascii="MS Gothic" w:hAnsi="MS Gothic" w:eastAsia="MS Gothic" w:cs="MS Gothic"/>
        </w:rPr>
        <w:t>セラフィムのひとりが</w:t>
      </w:r>
      <w:r>
        <w:rPr>
          <w:rFonts w:ascii="Microsoft YaHei" w:hAnsi="Microsoft YaHei" w:eastAsia="Microsoft YaHei" w:cs="Microsoft YaHei"/>
        </w:rPr>
        <w:t>、火</w:t>
      </w:r>
      <w:r>
        <w:rPr>
          <w:rFonts w:ascii="MS Gothic" w:hAnsi="MS Gothic" w:eastAsia="MS Gothic" w:cs="MS Gothic"/>
        </w:rPr>
        <w:t>ばさみで</w:t>
      </w:r>
      <w:r>
        <w:rPr>
          <w:rFonts w:ascii="Microsoft YaHei" w:hAnsi="Microsoft YaHei" w:eastAsia="Microsoft YaHei" w:cs="Microsoft YaHei"/>
        </w:rPr>
        <w:t>祭壇</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から</w:t>
      </w:r>
      <w:r>
        <w:rPr>
          <w:rFonts w:ascii="Microsoft YaHei" w:hAnsi="Microsoft YaHei" w:eastAsia="Microsoft YaHei" w:cs="Microsoft YaHei"/>
        </w:rPr>
        <w:t>取</w:t>
      </w:r>
      <w:r>
        <w:rPr>
          <w:rFonts w:ascii="MS Gothic" w:hAnsi="MS Gothic" w:eastAsia="MS Gothic" w:cs="MS Gothic"/>
        </w:rPr>
        <w:t>った</w:t>
      </w:r>
      <w:r>
        <w:rPr>
          <w:rFonts w:ascii="Microsoft YaHei" w:hAnsi="Microsoft YaHei" w:eastAsia="Microsoft YaHei" w:cs="Microsoft YaHei"/>
        </w:rPr>
        <w:t>燃</w:t>
      </w:r>
      <w:r>
        <w:rPr>
          <w:rFonts w:ascii="MS Gothic" w:hAnsi="MS Gothic" w:eastAsia="MS Gothic" w:cs="MS Gothic"/>
        </w:rPr>
        <w:t>える</w:t>
      </w:r>
      <w:r>
        <w:rPr>
          <w:rFonts w:ascii="Microsoft YaHei" w:hAnsi="Microsoft YaHei" w:eastAsia="Microsoft YaHei" w:cs="Microsoft YaHei"/>
        </w:rPr>
        <w:t>炭火</w:t>
      </w:r>
      <w:r>
        <w:rPr>
          <w:rFonts w:ascii="MS Gothic" w:hAnsi="MS Gothic" w:eastAsia="MS Gothic" w:cs="MS Gothic"/>
        </w:rPr>
        <w:t>を</w:t>
      </w:r>
      <w:r>
        <w:rPr>
          <w:rFonts w:ascii="Microsoft YaHei" w:hAnsi="Microsoft YaHei" w:eastAsia="Microsoft YaHei" w:cs="Microsoft YaHei"/>
        </w:rPr>
        <w:t>手</w:t>
      </w:r>
      <w:r>
        <w:rPr>
          <w:rFonts w:ascii="MS Gothic" w:hAnsi="MS Gothic" w:eastAsia="MS Gothic" w:cs="MS Gothic"/>
        </w:rPr>
        <w:t>に</w:t>
      </w:r>
      <w:r>
        <w:rPr>
          <w:rFonts w:ascii="Microsoft YaHei" w:hAnsi="Microsoft YaHei" w:eastAsia="Microsoft YaHei" w:cs="Microsoft YaHei"/>
        </w:rPr>
        <w:t>持</w:t>
      </w:r>
      <w:r>
        <w:rPr>
          <w:rFonts w:ascii="MS Gothic" w:hAnsi="MS Gothic" w:eastAsia="MS Gothic" w:cs="MS Gothic"/>
        </w:rPr>
        <w:t>って</w:t>
      </w:r>
      <w:r>
        <w:rPr>
          <w:rFonts w:ascii="Microsoft YaHei" w:hAnsi="Microsoft YaHei" w:eastAsia="Microsoft YaHei" w:cs="Microsoft YaHei"/>
        </w:rPr>
        <w:t>、</w:t>
      </w:r>
      <w:r>
        <w:rPr>
          <w:rFonts w:ascii="MS Gothic" w:hAnsi="MS Gothic" w:eastAsia="MS Gothic" w:cs="MS Gothic"/>
        </w:rPr>
        <w:t>わたしのところへ</w:t>
      </w:r>
      <w:r>
        <w:rPr>
          <w:rFonts w:ascii="Microsoft YaHei" w:hAnsi="Microsoft YaHei" w:eastAsia="Microsoft YaHei" w:cs="Microsoft YaHei"/>
        </w:rPr>
        <w:t>飛</w:t>
      </w:r>
      <w:r>
        <w:rPr>
          <w:rFonts w:ascii="MS Gothic" w:hAnsi="MS Gothic" w:eastAsia="MS Gothic" w:cs="MS Gothic"/>
        </w:rPr>
        <w:t>んで</w:t>
      </w:r>
      <w:r>
        <w:rPr>
          <w:rFonts w:ascii="Microsoft YaHei" w:hAnsi="Microsoft YaHei" w:eastAsia="Microsoft YaHei" w:cs="Microsoft YaHei"/>
        </w:rPr>
        <w:t>来</w:t>
      </w:r>
      <w:r>
        <w:rPr>
          <w:rFonts w:ascii="MS Gothic" w:hAnsi="MS Gothic" w:eastAsia="MS Gothic" w:cs="MS Gothic"/>
        </w:rPr>
        <w:t>た</w:t>
      </w:r>
      <w:r>
        <w:rPr>
          <w:rFonts w:ascii="Times New Roman" w:hAnsi="Times New Roman" w:eastAsia="Times New Roman" w:cs="Times New Roman"/>
        </w:rPr>
        <w:t>.</w:t>
      </w:r>
      <w:r>
        <w:rPr>
          <w:rFonts w:ascii="MS Gothic" w:hAnsi="MS Gothic" w:eastAsia="MS Gothic" w:cs="MS Gothic"/>
        </w:rPr>
        <w:t>そしてそれをわたしの</w:t>
      </w:r>
      <w:r>
        <w:rPr>
          <w:rFonts w:ascii="Microsoft YaHei" w:hAnsi="Microsoft YaHei" w:eastAsia="Microsoft YaHei" w:cs="Microsoft YaHei"/>
        </w:rPr>
        <w:t>口</w:t>
      </w:r>
      <w:r>
        <w:rPr>
          <w:rFonts w:ascii="MS Gothic" w:hAnsi="MS Gothic" w:eastAsia="MS Gothic" w:cs="MS Gothic"/>
        </w:rPr>
        <w:t>に</w:t>
      </w:r>
      <w:r>
        <w:rPr>
          <w:rFonts w:ascii="Microsoft YaHei" w:hAnsi="Microsoft YaHei" w:eastAsia="Microsoft YaHei" w:cs="Microsoft YaHei"/>
        </w:rPr>
        <w:t>触</w:t>
      </w:r>
      <w:r>
        <w:rPr>
          <w:rFonts w:ascii="MS Gothic" w:hAnsi="MS Gothic" w:eastAsia="MS Gothic" w:cs="MS Gothic"/>
        </w:rPr>
        <w:t>れさせて</w:t>
      </w:r>
      <w:r>
        <w:rPr>
          <w:rFonts w:ascii="Microsoft YaHei" w:hAnsi="Microsoft YaHei" w:eastAsia="Microsoft YaHei" w:cs="Microsoft YaHei"/>
        </w:rPr>
        <w:t>言</w:t>
      </w:r>
      <w:r>
        <w:rPr>
          <w:rFonts w:ascii="MS Gothic" w:hAnsi="MS Gothic" w:eastAsia="MS Gothic" w:cs="MS Gothic"/>
        </w:rPr>
        <w:t>った</w:t>
      </w:r>
      <w:r>
        <w:rPr>
          <w:rFonts w:ascii="Microsoft YaHei" w:hAnsi="Microsoft YaHei" w:eastAsia="Microsoft YaHei" w:cs="Microsoft YaHei"/>
        </w:rPr>
        <w:t>、「見</w:t>
      </w:r>
      <w:r>
        <w:rPr>
          <w:rFonts w:ascii="MS Gothic" w:hAnsi="MS Gothic" w:eastAsia="MS Gothic" w:cs="MS Gothic"/>
        </w:rPr>
        <w:t>よ</w:t>
      </w:r>
      <w:r>
        <w:rPr>
          <w:rFonts w:ascii="Microsoft YaHei" w:hAnsi="Microsoft YaHei" w:eastAsia="Microsoft YaHei" w:cs="Microsoft YaHei"/>
        </w:rPr>
        <w:t>、</w:t>
      </w:r>
      <w:r>
        <w:rPr>
          <w:rFonts w:ascii="MS Gothic" w:hAnsi="MS Gothic" w:eastAsia="MS Gothic" w:cs="MS Gothic"/>
        </w:rPr>
        <w:t>これがあなたのくちびるに</w:t>
      </w:r>
      <w:r>
        <w:rPr>
          <w:rFonts w:ascii="Microsoft YaHei" w:hAnsi="Microsoft YaHei" w:eastAsia="Microsoft YaHei" w:cs="Microsoft YaHei"/>
        </w:rPr>
        <w:t>触</w:t>
      </w:r>
      <w:r>
        <w:rPr>
          <w:rFonts w:ascii="MS Gothic" w:hAnsi="MS Gothic" w:eastAsia="MS Gothic" w:cs="MS Gothic"/>
        </w:rPr>
        <w:t>れたので</w:t>
      </w:r>
      <w:r>
        <w:rPr>
          <w:rFonts w:ascii="Microsoft YaHei" w:hAnsi="Microsoft YaHei" w:eastAsia="Microsoft YaHei" w:cs="Microsoft YaHei"/>
        </w:rPr>
        <w:t>、</w:t>
      </w:r>
      <w:r>
        <w:rPr>
          <w:rFonts w:ascii="MS Gothic" w:hAnsi="MS Gothic" w:eastAsia="MS Gothic" w:cs="MS Gothic"/>
        </w:rPr>
        <w:t>あなたの</w:t>
      </w:r>
      <w:r>
        <w:rPr>
          <w:rFonts w:ascii="Microsoft YaHei" w:hAnsi="Microsoft YaHei" w:eastAsia="Microsoft YaHei" w:cs="Microsoft YaHei"/>
        </w:rPr>
        <w:t>咎</w:t>
      </w:r>
      <w:r>
        <w:rPr>
          <w:rFonts w:ascii="MS Gothic" w:hAnsi="MS Gothic" w:eastAsia="MS Gothic" w:cs="MS Gothic"/>
        </w:rPr>
        <w:t>は</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去</w:t>
      </w:r>
      <w:r>
        <w:rPr>
          <w:rFonts w:ascii="MS Gothic" w:hAnsi="MS Gothic" w:eastAsia="MS Gothic" w:cs="MS Gothic"/>
        </w:rPr>
        <w:t>られ</w:t>
      </w:r>
      <w:r>
        <w:rPr>
          <w:rFonts w:ascii="Microsoft YaHei" w:hAnsi="Microsoft YaHei" w:eastAsia="Microsoft YaHei" w:cs="Microsoft YaHei"/>
        </w:rPr>
        <w:t>、</w:t>
      </w:r>
      <w:r>
        <w:rPr>
          <w:rFonts w:ascii="MS Gothic" w:hAnsi="MS Gothic" w:eastAsia="MS Gothic" w:cs="MS Gothic"/>
        </w:rPr>
        <w:t>あなたの</w:t>
      </w:r>
      <w:r>
        <w:rPr>
          <w:rFonts w:ascii="Microsoft YaHei" w:hAnsi="Microsoft YaHei" w:eastAsia="Microsoft YaHei" w:cs="Microsoft YaHei"/>
        </w:rPr>
        <w:t>罪</w:t>
      </w:r>
      <w:r>
        <w:rPr>
          <w:rFonts w:ascii="MS Gothic" w:hAnsi="MS Gothic" w:eastAsia="MS Gothic" w:cs="MS Gothic"/>
        </w:rPr>
        <w:t>は</w:t>
      </w:r>
      <w:r>
        <w:rPr>
          <w:rFonts w:ascii="Microsoft YaHei" w:hAnsi="Microsoft YaHei" w:eastAsia="Microsoft YaHei" w:cs="Microsoft YaHei"/>
        </w:rPr>
        <w:t>清</w:t>
      </w:r>
      <w:r>
        <w:rPr>
          <w:rFonts w:ascii="MS Gothic" w:hAnsi="MS Gothic" w:eastAsia="MS Gothic" w:cs="MS Gothic"/>
        </w:rPr>
        <w:t>められた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イザヤ</w:t>
      </w:r>
      <w:r>
        <w:rPr>
          <w:rFonts w:ascii="Times New Roman" w:hAnsi="Times New Roman" w:eastAsia="Times New Roman" w:cs="Times New Roman"/>
        </w:rPr>
        <w:t xml:space="preserve"> 6:6, 7.</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“Wahyu yang diberikan kepada Yesaya menggambarkan keadaan umat Allah pada hari-hari terakhir. Mereka mendapat hak istimewa untuk melihat dengan iman pekerjaan yang sedang berlangsung di tempat kudus surgawi. ‘Maka terbukalah Bait Suci Allah di sorga, dan tampaklah tabut perjanjian-Nya di dalam Bait Suci-Nya.’ Ketika mereka memandang dengan iman ke dalam ruang mahakudus, dan melihat pekerjaan Kristus di tempat kudus surgawi, mereka menyadari bahwa mereka adalah suatu bangsa yang najis bibirnya,—suatu bangsa yang bibirnya kerap mengucapkan kesia-siaan, dan yang talenta-talenta mereka belum dikuduskan serta dipergunakan bagi kemuliaan Allah. Patutlah mereka berputus asa ketika mereka membandingkan kelemahan dan ketidaklayakan mereka sendiri dengan kemurnian dan keelokan tabiat Kristus yang mulia. Tetapi jika mereka, seperti Yesaya, mau menerima kesan yang Tuhan kehendaki untuk ditanamkan ke dalam hati, jika mereka mau merendahkan jiwa mereka di hadapan Allah, maka ada harapan bagi mereka. Busur janji ada di atas takhta, dan pekerjaan yang dilakukan bagi Yesaya akan dikerjakan di dalam mereka. Allah akan menjawab permohonan-permohonan yang timbul dari hati yang remuk.”</w:t>
      </w:r>
    </w:p>
    <w:p>
      <w:pPr>
        <w:pStyle w:val="ArticleScripture"/>
        <w:jc w:val="left"/>
      </w:pPr>
      <w:r>
        <w:rPr>
          <w:rFonts w:ascii="Times New Roman" w:hAnsi="Times New Roman" w:eastAsia="Times New Roman" w:cs="Times New Roman"/>
        </w:rPr>
        <w:t>„Pêwendiya vê xebata mezin û pir giran a Xwedê ew e ku şêlkan ji bo ambara asmanî were kom kirin; çimkî divê erd bi rûmeta Xudan were tije kirin. Ji ber vê yekê, bila kesek nebetirsin dema ku xirabiyê serdest dibînin û zimanê ku ji lêvên nepaqij derdikeve dibihîzin. Dema ku hêzên tariyê xwe li dijî gelê Xwedê rêz dikin; dema ku Şeytan hêzên xwe ji bo pevçûna dawî ya mezin kom dike, û hêza wî mezin û hema hema bi ser ketinê xuya dike, [hingê] dîtina zelal a rûmeta ilahî, textê bilind û berzkirî, ku bi kevanê peymana sozê ve hatî kemerkirin, rehêtî, bawerî, û aştiyê bide.” Review and Herald, December 22, 1896.</w:t>
      </w:r>
    </w:p>
    <w:p>
      <w:pPr>
        <w:pStyle w:val="ArticleBody"/>
        <w:jc w:val="left"/>
      </w:pPr>
      <w:r>
        <w:rPr>
          <w:rFonts w:ascii="Times New Roman" w:hAnsi="Times New Roman" w:eastAsia="Times New Roman" w:cs="Times New Roman"/>
        </w:rPr>
        <w:t>Maono hayo “yanawakilisha hali ya watu wa Mungu katika siku za mwisho.” Watu wa Mungu katika siku za mwisho ni Walaodikia.</w:t>
      </w:r>
    </w:p>
    <w:p>
      <w:pPr>
        <w:pStyle w:val="ArticleScripture"/>
        <w:jc w:val="left"/>
      </w:pP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ਲਾਓਦੀਕਿਆਂ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ਆਮੀਨ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ਵਿਸ਼ਵਾਸਯੋਗ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ਸੱਚਾ</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ਸ੍ਰਿਸ਼ਟੀ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ਕਰਮਾਂ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ਠੰਢਾ</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ਗਰਮ</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ਠੰਢਾ</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ਗਰਮ</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ਠੰਢਾ</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ਗਰਮ</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ਮੂੰਹ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ਉਗਲ</w:t>
      </w:r>
      <w:r>
        <w:rPr>
          <w:rFonts w:ascii="Times New Roman" w:hAnsi="Times New Roman" w:eastAsia="Times New Roman" w:cs="Times New Roman"/>
        </w:rPr>
        <w:t xml:space="preserve"> </w:t>
      </w:r>
      <w:r>
        <w:rPr>
          <w:rFonts w:ascii="Nirmala UI" w:hAnsi="Nirmala UI" w:eastAsia="Nirmala UI" w:cs="Nirmala UI"/>
        </w:rPr>
        <w:t>ਦੇਵਾਂਗਾ।</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ਧਨਵਾਨ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ਭਰਪੂਰ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ਚੀਜ਼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ਜਾਣਦਾ</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ਦਇਆਯੋਗ</w:t>
      </w:r>
      <w:r>
        <w:rPr>
          <w:rFonts w:ascii="Times New Roman" w:hAnsi="Times New Roman" w:eastAsia="Times New Roman" w:cs="Times New Roman"/>
        </w:rPr>
        <w:t xml:space="preserve">, </w:t>
      </w:r>
      <w:r>
        <w:rPr>
          <w:rFonts w:ascii="Nirmala UI" w:hAnsi="Nirmala UI" w:eastAsia="Nirmala UI" w:cs="Nirmala UI"/>
        </w:rPr>
        <w:t>ਦਰਿਦ੍ਰ</w:t>
      </w:r>
      <w:r>
        <w:rPr>
          <w:rFonts w:ascii="Times New Roman" w:hAnsi="Times New Roman" w:eastAsia="Times New Roman" w:cs="Times New Roman"/>
        </w:rPr>
        <w:t xml:space="preserve">, </w:t>
      </w:r>
      <w:r>
        <w:rPr>
          <w:rFonts w:ascii="Nirmala UI" w:hAnsi="Nirmala UI" w:eastAsia="Nirmala UI" w:cs="Nirmala UI"/>
        </w:rPr>
        <w:t>ਕੰਗਾਲ</w:t>
      </w:r>
      <w:r>
        <w:rPr>
          <w:rFonts w:ascii="Times New Roman" w:hAnsi="Times New Roman" w:eastAsia="Times New Roman" w:cs="Times New Roman"/>
        </w:rPr>
        <w:t xml:space="preserve">, </w:t>
      </w:r>
      <w:r>
        <w:rPr>
          <w:rFonts w:ascii="Nirmala UI" w:hAnsi="Nirmala UI" w:eastAsia="Nirmala UI" w:cs="Nirmala UI"/>
        </w:rPr>
        <w:t>ਅੰਨ੍ਹਾ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ਨੰਗਾ</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ਸਲਾਹ</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ਤਪਾਇਆ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ਖਰੀਦ</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ਧਨਵਾਨ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ਚਿੱਟੇ</w:t>
      </w:r>
      <w:r>
        <w:rPr>
          <w:rFonts w:ascii="Times New Roman" w:hAnsi="Times New Roman" w:eastAsia="Times New Roman" w:cs="Times New Roman"/>
        </w:rPr>
        <w:t xml:space="preserve"> </w:t>
      </w:r>
      <w:r>
        <w:rPr>
          <w:rFonts w:ascii="Nirmala UI" w:hAnsi="Nirmala UI" w:eastAsia="Nirmala UI" w:cs="Nirmala UI"/>
        </w:rPr>
        <w:t>ਵਸਤਰ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ਪਹਿਨਿਆ</w:t>
      </w:r>
      <w:r>
        <w:rPr>
          <w:rFonts w:ascii="Times New Roman" w:hAnsi="Times New Roman" w:eastAsia="Times New Roman" w:cs="Times New Roman"/>
        </w:rPr>
        <w:t xml:space="preserve"> </w:t>
      </w:r>
      <w:r>
        <w:rPr>
          <w:rFonts w:ascii="Nirmala UI" w:hAnsi="Nirmala UI" w:eastAsia="Nirmala UI" w:cs="Nirmala UI"/>
        </w:rPr>
        <w:t>ਜਾਏਂ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ਨੰਗੇਪਣ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ਲੱਜਾ</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ਆਪਣੀਆਂ</w:t>
      </w:r>
      <w:r>
        <w:rPr>
          <w:rFonts w:ascii="Times New Roman" w:hAnsi="Times New Roman" w:eastAsia="Times New Roman" w:cs="Times New Roman"/>
        </w:rPr>
        <w:t xml:space="preserve"> </w:t>
      </w:r>
      <w:r>
        <w:rPr>
          <w:rFonts w:ascii="Nirmala UI" w:hAnsi="Nirmala UI" w:eastAsia="Nirmala UI" w:cs="Nirmala UI"/>
        </w:rPr>
        <w:t>ਅੱਖਾਂ</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ਸੁਰਮਾ</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ਸਕੇਂ।</w:t>
      </w:r>
    </w:p>
    <w:p>
      <w:pPr>
        <w:pStyle w:val="ArticleScripture"/>
        <w:jc w:val="left"/>
      </w:pPr>
      <w:r>
        <w:rPr>
          <w:rFonts w:ascii="Times New Roman" w:hAnsi="Times New Roman" w:eastAsia="Times New Roman" w:cs="Times New Roman"/>
        </w:rPr>
        <w:t>Yeroo hunda kan ani jaalladhu nan ceephaʼa, nan adabaas; kanaaf hinaaffaadhaan jabaadhu, qalbii jijjiirradhu. Kunoo, ani balbala dura dhaabadhee rukuta; namni kam iyyuu sagalee koo yoo dhagaʼee balbalicha naaf bane, ani gara isaa nan seena; isa wajjin nan nyaadha, innis ana wajjin ni nyaata. Isa moʼatuufis ani teessoo koo irratti ana wajjin akka taaʼu nan kenna; akkuma anis moʼee, teessoo Abbaa koo irratti isa wajjin taaʼeetti.</w:t>
      </w:r>
    </w:p>
    <w:p>
      <w:pPr>
        <w:pStyle w:val="ArticleScripture"/>
        <w:jc w:val="left"/>
      </w:pP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နားရှိသောသူသည်</w:t>
      </w:r>
      <w:r>
        <w:rPr>
          <w:rFonts w:ascii="Times New Roman" w:hAnsi="Times New Roman" w:eastAsia="Times New Roman" w:cs="Times New Roman"/>
        </w:rPr>
        <w:t xml:space="preserve"> </w:t>
      </w:r>
      <w:r>
        <w:rPr>
          <w:rFonts w:ascii="Myanmar Text" w:hAnsi="Myanmar Text" w:eastAsia="Myanmar Text" w:cs="Myanmar Text"/>
        </w:rPr>
        <w:t>ဝိညာဉ်တော်က</w:t>
      </w:r>
      <w:r>
        <w:rPr>
          <w:rFonts w:ascii="Times New Roman" w:hAnsi="Times New Roman" w:eastAsia="Times New Roman" w:cs="Times New Roman"/>
        </w:rPr>
        <w:t xml:space="preserve"> </w:t>
      </w:r>
      <w:r>
        <w:rPr>
          <w:rFonts w:ascii="Myanmar Text" w:hAnsi="Myanmar Text" w:eastAsia="Myanmar Text" w:cs="Myanmar Text"/>
        </w:rPr>
        <w:t>အသင်းတော်တို့အား</w:t>
      </w:r>
      <w:r>
        <w:rPr>
          <w:rFonts w:ascii="Times New Roman" w:hAnsi="Times New Roman" w:eastAsia="Times New Roman" w:cs="Times New Roman"/>
        </w:rPr>
        <w:t xml:space="preserve"> </w:t>
      </w:r>
      <w:r>
        <w:rPr>
          <w:rFonts w:ascii="Myanmar Text" w:hAnsi="Myanmar Text" w:eastAsia="Myanmar Text" w:cs="Myanmar Text"/>
        </w:rPr>
        <w:t>မိန့်တော်မူသောအရာကို</w:t>
      </w:r>
      <w:r>
        <w:rPr>
          <w:rFonts w:ascii="Times New Roman" w:hAnsi="Times New Roman" w:eastAsia="Times New Roman" w:cs="Times New Roman"/>
        </w:rPr>
        <w:t xml:space="preserve"> </w:t>
      </w:r>
      <w:r>
        <w:rPr>
          <w:rFonts w:ascii="Myanmar Text" w:hAnsi="Myanmar Text" w:eastAsia="Myanmar Text" w:cs="Myanmar Text"/>
        </w:rPr>
        <w:t>ကြားပါစေ။</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၃</w:t>
      </w:r>
      <w:r>
        <w:rPr>
          <w:rFonts w:ascii="Times New Roman" w:hAnsi="Times New Roman" w:eastAsia="Times New Roman" w:cs="Times New Roman"/>
        </w:rPr>
        <w:t>:</w:t>
      </w:r>
      <w:r>
        <w:rPr>
          <w:rFonts w:ascii="Myanmar Text" w:hAnsi="Myanmar Text" w:eastAsia="Myanmar Text" w:cs="Myanmar Text"/>
        </w:rPr>
        <w:t>၁၄</w:t>
      </w:r>
      <w:r>
        <w:rPr>
          <w:rFonts w:ascii="Times New Roman" w:hAnsi="Times New Roman" w:eastAsia="Times New Roman" w:cs="Times New Roman"/>
        </w:rPr>
        <w:t>–</w:t>
      </w:r>
      <w:r>
        <w:rPr>
          <w:rFonts w:ascii="Myanmar Text" w:hAnsi="Myanmar Text" w:eastAsia="Myanmar Text" w:cs="Myanmar Text"/>
        </w:rPr>
        <w:t>၂၂။</w:t>
      </w:r>
    </w:p>
    <w:p>
      <w:pPr>
        <w:pStyle w:val="ArticleScripture"/>
        <w:jc w:val="left"/>
      </w:pPr>
      <w:r>
        <w:rPr>
          <w:rFonts w:ascii="Times New Roman" w:hAnsi="Times New Roman" w:eastAsia="Times New Roman" w:cs="Times New Roman"/>
        </w:rPr>
        <w:t>“Laye la biir mbooloom Laodise ñi mooy ab yëgle gu diis te doy waar, te jëm na ci nit ñi Yàlla moom ci jamono jii.”</w:t>
      </w:r>
    </w:p>
    <w:p>
      <w:pPr>
        <w:pStyle w:val="ArticleScripture"/>
        <w:jc w:val="left"/>
      </w:pPr>
      <w:r>
        <w:rPr>
          <w:rFonts w:ascii="Times New Roman" w:hAnsi="Times New Roman" w:eastAsia="Times New Roman" w:cs="Times New Roman"/>
        </w:rPr>
        <w:t>“‘Ande ni malaika wa kanisa la Walaodikia andika: Haya ndiyo asemayo yule Amina, Shahidi aliye mwaminifu na wa kweli, mwanzo wa uumbaji wa Mungu; Nayajua matendo yako, ya kuwa wewe si baridi wala moto: Laiti ungekuwa baridi au moto. Basi kwa sababu una uvuguvugu, wala si baridi wala moto, nitakutapika utoke kinywani Mwangu. Kwa kuwa wasema, Mimi ni tajiri, nimejitajirisha, wala sina haja ya kitu; nawe hujui ya kuwa wewe u mwenye mashaka, na mwenye kusikitikiwa, na maskini, na kipofu, na uchi.’”</w:t>
      </w:r>
    </w:p>
    <w:p>
      <w:pPr>
        <w:pStyle w:val="ArticleScripture"/>
        <w:jc w:val="left"/>
      </w:pPr>
      <w:r>
        <w:rPr>
          <w:rFonts w:ascii="Times New Roman" w:hAnsi="Times New Roman" w:eastAsia="Times New Roman" w:cs="Times New Roman"/>
        </w:rPr>
        <w:t>“Ɔdɛfoɔ no kyerɛ yɛn ha sɛ nkra a ɛsɛ sɛ asomfoɔ a Ɔfrɛ wɔn sɛ wɔnkɔbɔ ne nkurɔfoɔ kɔkɔ no de brɛ Ne nkurɔfoɔ no nyɛ asomdwoeɛ-ne-ahotɔ nkra. Ɛnyɛ deɛ ɛyɛ nkyerɛkyerɛ mu nsɛm kɛkɛ, na mmom ɛyɛ deɛ ɛfa abrabɔ mu pɛpɛɛpɛ wɔ ne fã biara mu. Wɔgyina Onyankopɔn nkurɔfoɔ ananmu wɔ nkra a wɔde kɔma Laodikeafoɔ no mu sɛ wɔwɔ honam mu ahotɔ tebea mu. Wɔwɔ ahotɔ mu, na wɔgye di sɛ wɔn ankasa wɔ honhom mu nkɔsoɔ mu tebea a ɛkorɔn. ‘Ɛfiri sɛ woka sɛ, Meyɛ ɔdefoɔ, na manyini wɔ nneɛma mu, na hwee nhia me; na wonnim sɛ woyɛ ɔhawfoɔ, ne mmɔborɔni, ne ohiani, ne onifuraefoɔ, ne adagya.’”</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人心所能遭遇的</w:t>
      </w:r>
      <w:r>
        <w:rPr>
          <w:rFonts w:ascii="Times New Roman" w:hAnsi="Times New Roman" w:eastAsia="Times New Roman" w:cs="Times New Roman"/>
        </w:rPr>
        <w:t>,</w:t>
      </w:r>
      <w:r>
        <w:rPr>
          <w:rFonts w:ascii="Microsoft YaHei" w:hAnsi="Microsoft YaHei" w:eastAsia="Microsoft YaHei" w:cs="Microsoft YaHei"/>
        </w:rPr>
        <w:t>還有甚麼迷惑比那種自信自己是對的、其實卻全然錯了</w:t>
      </w:r>
      <w:r>
        <w:rPr>
          <w:rFonts w:ascii="Times New Roman" w:hAnsi="Times New Roman" w:eastAsia="Times New Roman" w:cs="Times New Roman"/>
        </w:rPr>
        <w:t>,</w:t>
      </w:r>
      <w:r>
        <w:rPr>
          <w:rFonts w:ascii="Microsoft YaHei" w:hAnsi="Microsoft YaHei" w:eastAsia="Microsoft YaHei" w:cs="Microsoft YaHei"/>
        </w:rPr>
        <w:t>更為厲害呢！真實見證者的信息發現上帝的子民正陷於可悲的迷惑之中</w:t>
      </w:r>
      <w:r>
        <w:rPr>
          <w:rFonts w:ascii="Times New Roman" w:hAnsi="Times New Roman" w:eastAsia="Times New Roman" w:cs="Times New Roman"/>
        </w:rPr>
        <w:t>,</w:t>
      </w:r>
      <w:r>
        <w:rPr>
          <w:rFonts w:ascii="Microsoft YaHei" w:hAnsi="Microsoft YaHei" w:eastAsia="Microsoft YaHei" w:cs="Microsoft YaHei"/>
        </w:rPr>
        <w:t>然而他們在這迷惑裡卻是誠實的</w:t>
      </w:r>
      <w:r>
        <w:rPr>
          <w:rFonts w:ascii="Times New Roman" w:hAnsi="Times New Roman" w:eastAsia="Times New Roman" w:cs="Times New Roman"/>
        </w:rPr>
        <w:t>.</w:t>
      </w:r>
      <w:r>
        <w:rPr>
          <w:rFonts w:ascii="Microsoft YaHei" w:hAnsi="Microsoft YaHei" w:eastAsia="Microsoft YaHei" w:cs="Microsoft YaHei"/>
        </w:rPr>
        <w:t>他們不知道</w:t>
      </w:r>
      <w:r>
        <w:rPr>
          <w:rFonts w:ascii="Times New Roman" w:hAnsi="Times New Roman" w:eastAsia="Times New Roman" w:cs="Times New Roman"/>
        </w:rPr>
        <w:t>,</w:t>
      </w:r>
      <w:r>
        <w:rPr>
          <w:rFonts w:ascii="Microsoft YaHei" w:hAnsi="Microsoft YaHei" w:eastAsia="Microsoft YaHei" w:cs="Microsoft YaHei"/>
        </w:rPr>
        <w:t>自己在上帝眼中之景況乃是何等可憐</w:t>
      </w:r>
      <w:r>
        <w:rPr>
          <w:rFonts w:ascii="Times New Roman" w:hAnsi="Times New Roman" w:eastAsia="Times New Roman" w:cs="Times New Roman"/>
        </w:rPr>
        <w:t>.</w:t>
      </w:r>
      <w:r>
        <w:rPr>
          <w:rFonts w:ascii="Microsoft YaHei" w:hAnsi="Microsoft YaHei" w:eastAsia="Microsoft YaHei" w:cs="Microsoft YaHei"/>
        </w:rPr>
        <w:t>當那些被責及的人正自我諂媚</w:t>
      </w:r>
      <w:r>
        <w:rPr>
          <w:rFonts w:ascii="Times New Roman" w:hAnsi="Times New Roman" w:eastAsia="Times New Roman" w:cs="Times New Roman"/>
        </w:rPr>
        <w:t>,</w:t>
      </w:r>
      <w:r>
        <w:rPr>
          <w:rFonts w:ascii="Microsoft YaHei" w:hAnsi="Microsoft YaHei" w:eastAsia="Microsoft YaHei" w:cs="Microsoft YaHei"/>
        </w:rPr>
        <w:t>以為自己處於崇高的屬靈境地之時</w:t>
      </w:r>
      <w:r>
        <w:rPr>
          <w:rFonts w:ascii="Times New Roman" w:hAnsi="Times New Roman" w:eastAsia="Times New Roman" w:cs="Times New Roman"/>
        </w:rPr>
        <w:t>,</w:t>
      </w:r>
      <w:r>
        <w:rPr>
          <w:rFonts w:ascii="Microsoft YaHei" w:hAnsi="Microsoft YaHei" w:eastAsia="Microsoft YaHei" w:cs="Microsoft YaHei"/>
        </w:rPr>
        <w:t>真實見證者的信息卻以對他們真實情形那驚人的斥責</w:t>
      </w:r>
      <w:r>
        <w:rPr>
          <w:rFonts w:ascii="Times New Roman" w:hAnsi="Times New Roman" w:eastAsia="Times New Roman" w:cs="Times New Roman"/>
        </w:rPr>
        <w:t>,</w:t>
      </w:r>
      <w:r>
        <w:rPr>
          <w:rFonts w:ascii="Microsoft YaHei" w:hAnsi="Microsoft YaHei" w:eastAsia="Microsoft YaHei" w:cs="Microsoft YaHei"/>
        </w:rPr>
        <w:t>打破了他們的安穩</w:t>
      </w:r>
      <w:r>
        <w:rPr>
          <w:rFonts w:ascii="Times New Roman" w:hAnsi="Times New Roman" w:eastAsia="Times New Roman" w:cs="Times New Roman"/>
        </w:rPr>
        <w:t>——</w:t>
      </w:r>
      <w:r>
        <w:rPr>
          <w:rFonts w:ascii="Microsoft YaHei" w:hAnsi="Microsoft YaHei" w:eastAsia="Microsoft YaHei" w:cs="Microsoft YaHei"/>
        </w:rPr>
        <w:t>就是屬靈的瞎眼、貧窮與困苦</w:t>
      </w:r>
      <w:r>
        <w:rPr>
          <w:rFonts w:ascii="Times New Roman" w:hAnsi="Times New Roman" w:eastAsia="Times New Roman" w:cs="Times New Roman"/>
        </w:rPr>
        <w:t>.</w:t>
      </w:r>
      <w:r>
        <w:rPr>
          <w:rFonts w:ascii="Microsoft YaHei" w:hAnsi="Microsoft YaHei" w:eastAsia="Microsoft YaHei" w:cs="Microsoft YaHei"/>
        </w:rPr>
        <w:t>這見證既如此尖銳嚴厲</w:t>
      </w:r>
      <w:r>
        <w:rPr>
          <w:rFonts w:ascii="Times New Roman" w:hAnsi="Times New Roman" w:eastAsia="Times New Roman" w:cs="Times New Roman"/>
        </w:rPr>
        <w:t>,</w:t>
      </w:r>
      <w:r>
        <w:rPr>
          <w:rFonts w:ascii="Microsoft YaHei" w:hAnsi="Microsoft YaHei" w:eastAsia="Microsoft YaHei" w:cs="Microsoft YaHei"/>
        </w:rPr>
        <w:t>就不可能有錯</w:t>
      </w:r>
      <w:r>
        <w:rPr>
          <w:rFonts w:ascii="Times New Roman" w:hAnsi="Times New Roman" w:eastAsia="Times New Roman" w:cs="Times New Roman"/>
        </w:rPr>
        <w:t>;</w:t>
      </w:r>
      <w:r>
        <w:rPr>
          <w:rFonts w:ascii="Microsoft YaHei" w:hAnsi="Microsoft YaHei" w:eastAsia="Microsoft YaHei" w:cs="Microsoft YaHei"/>
        </w:rPr>
        <w:t>因為說話的是那真實的見證者</w:t>
      </w:r>
      <w:r>
        <w:rPr>
          <w:rFonts w:ascii="Times New Roman" w:hAnsi="Times New Roman" w:eastAsia="Times New Roman" w:cs="Times New Roman"/>
        </w:rPr>
        <w:t>,</w:t>
      </w:r>
      <w:r>
        <w:rPr>
          <w:rFonts w:ascii="Microsoft YaHei" w:hAnsi="Microsoft YaHei" w:eastAsia="Microsoft YaHei" w:cs="Microsoft YaHei"/>
        </w:rPr>
        <w:t>而祂的見證必然是正確的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རང་ཉིད་ཀྱི་ཐོབ་ཐང་ལ་བདེ་འཇགས་སུ་ཚོར་བའི་མི་རྣམས་དང་།</w:t>
      </w:r>
      <w:r>
        <w:rPr>
          <w:rFonts w:ascii="Times New Roman" w:hAnsi="Times New Roman" w:eastAsia="Times New Roman" w:cs="Times New Roman"/>
        </w:rPr>
        <w:t xml:space="preserve"> </w:t>
      </w:r>
      <w:r>
        <w:rPr>
          <w:rFonts w:ascii="Microsoft Himalaya" w:hAnsi="Microsoft Himalaya" w:eastAsia="Microsoft Himalaya" w:cs="Microsoft Himalaya"/>
        </w:rPr>
        <w:t>རང་ཉིད་ལ་ཆོས་ཕྱོགས་ཀྱི་ཤེས་རབ་ཕྱུག་པོ་ཡོད་པར་ཡིད་ཆེས་པ་རྣམས་ཀྱིས།</w:t>
      </w:r>
      <w:r>
        <w:rPr>
          <w:rFonts w:ascii="Times New Roman" w:hAnsi="Times New Roman" w:eastAsia="Times New Roman" w:cs="Times New Roman"/>
        </w:rPr>
        <w:t xml:space="preserve"> </w:t>
      </w:r>
      <w:r>
        <w:rPr>
          <w:rFonts w:ascii="Microsoft Himalaya" w:hAnsi="Microsoft Himalaya" w:eastAsia="Microsoft Himalaya" w:cs="Microsoft Himalaya"/>
        </w:rPr>
        <w:t>ཁོང་ཚོ་བསླུས་པ་ཡིན་པ་དང་།</w:t>
      </w:r>
      <w:r>
        <w:rPr>
          <w:rFonts w:ascii="Times New Roman" w:hAnsi="Times New Roman" w:eastAsia="Times New Roman" w:cs="Times New Roman"/>
        </w:rPr>
        <w:t xml:space="preserve"> </w:t>
      </w:r>
      <w:r>
        <w:rPr>
          <w:rFonts w:ascii="Microsoft Himalaya" w:hAnsi="Microsoft Himalaya" w:eastAsia="Microsoft Himalaya" w:cs="Microsoft Himalaya"/>
        </w:rPr>
        <w:t>ཆོས་ཕྱོགས་ཀྱི་ཞལ་འདེབས་རེ་རེ་དགོས་པར་བསྒྲགས་པའི་འཕྲིན་ལས་དེ་དང་ལེན་བྱེད་པ་ནི་དཀའ་བ་ཡིན།</w:t>
      </w:r>
      <w:r>
        <w:rPr>
          <w:rFonts w:ascii="Times New Roman" w:hAnsi="Times New Roman" w:eastAsia="Times New Roman" w:cs="Times New Roman"/>
        </w:rPr>
        <w:t xml:space="preserve"> </w:t>
      </w:r>
      <w:r>
        <w:rPr>
          <w:rFonts w:ascii="Microsoft Himalaya" w:hAnsi="Microsoft Himalaya" w:eastAsia="Microsoft Himalaya" w:cs="Microsoft Himalaya"/>
        </w:rPr>
        <w:t>དབང་མ་བསྐུར་བའི་སྙིང་ནི</w:t>
      </w:r>
      <w:r>
        <w:rPr>
          <w:rFonts w:ascii="Times New Roman" w:hAnsi="Times New Roman" w:eastAsia="Times New Roman" w:cs="Times New Roman"/>
        </w:rPr>
        <w:t xml:space="preserve"> ‘</w:t>
      </w:r>
      <w:r>
        <w:rPr>
          <w:rFonts w:ascii="Microsoft Himalaya" w:hAnsi="Microsoft Himalaya" w:eastAsia="Microsoft Himalaya" w:cs="Microsoft Himalaya"/>
        </w:rPr>
        <w:t>ཐམས་ཅད་ལས་གཡོ་སྒྱུ་ཆེ་བ་དང་།</w:t>
      </w:r>
      <w:r>
        <w:rPr>
          <w:rFonts w:ascii="Times New Roman" w:hAnsi="Times New Roman" w:eastAsia="Times New Roman" w:cs="Times New Roman"/>
        </w:rPr>
        <w:t xml:space="preserve"> </w:t>
      </w:r>
      <w:r>
        <w:rPr>
          <w:rFonts w:ascii="Microsoft Himalaya" w:hAnsi="Microsoft Himalaya" w:eastAsia="Microsoft Himalaya" w:cs="Microsoft Himalaya"/>
        </w:rPr>
        <w:t>ཤིན་ཏུ་ངན་པ</w:t>
      </w:r>
      <w:r>
        <w:rPr>
          <w:rFonts w:ascii="Times New Roman" w:hAnsi="Times New Roman" w:eastAsia="Times New Roman" w:cs="Times New Roman"/>
        </w:rPr>
        <w:t xml:space="preserve">’ </w:t>
      </w:r>
      <w:r>
        <w:rPr>
          <w:rFonts w:ascii="Microsoft Himalaya" w:hAnsi="Microsoft Himalaya" w:eastAsia="Microsoft Himalaya" w:cs="Microsoft Himalaya"/>
        </w:rPr>
        <w:t>ཡིན།</w:t>
      </w:r>
      <w:r>
        <w:rPr>
          <w:rFonts w:ascii="Times New Roman" w:hAnsi="Times New Roman" w:eastAsia="Times New Roman" w:cs="Times New Roman"/>
        </w:rPr>
        <w:t xml:space="preserve"> </w:t>
      </w:r>
      <w:r>
        <w:rPr>
          <w:rFonts w:ascii="Microsoft Himalaya" w:hAnsi="Microsoft Himalaya" w:eastAsia="Microsoft Himalaya" w:cs="Microsoft Himalaya"/>
        </w:rPr>
        <w:t>མི་མང་པོ་ཞིག་གིས་རང་ཉིད་ཡག་པོའི་ཡེ་ཤུའི་ཆོས་པ་ཡིན་པར་རང་ཉིད་ལ་བསྟོད་བསྔགས་བྱེད་བཞིན་པ་དང་།</w:t>
      </w:r>
      <w:r>
        <w:rPr>
          <w:rFonts w:ascii="Times New Roman" w:hAnsi="Times New Roman" w:eastAsia="Times New Roman" w:cs="Times New Roman"/>
        </w:rPr>
        <w:t xml:space="preserve"> </w:t>
      </w:r>
      <w:r>
        <w:rPr>
          <w:rFonts w:ascii="Microsoft Himalaya" w:hAnsi="Microsoft Himalaya" w:eastAsia="Microsoft Himalaya" w:cs="Microsoft Himalaya"/>
        </w:rPr>
        <w:t>ཁོང་ཚོར་ཡེ་ཤུ་ནས་འོད་ཀྱི་ཟེར་ཙམ་ཡང་མེད་པར་ང་ལ་མངོན་པར་བསྟན་བྱུང་།</w:t>
      </w:r>
      <w:r>
        <w:rPr>
          <w:rFonts w:ascii="Times New Roman" w:hAnsi="Times New Roman" w:eastAsia="Times New Roman" w:cs="Times New Roman"/>
        </w:rPr>
        <w:t xml:space="preserve"> </w:t>
      </w:r>
      <w:r>
        <w:rPr>
          <w:rFonts w:ascii="Microsoft Himalaya" w:hAnsi="Microsoft Himalaya" w:eastAsia="Microsoft Himalaya" w:cs="Microsoft Himalaya"/>
        </w:rPr>
        <w:t>ཁོང་ཚོ་ལ་ལྷའི་ཚེ་སྲོག་ནང་དུ་རང་གི་ཉམས་མྱོང་གསོན་པོ་མེད།</w:t>
      </w:r>
      <w:r>
        <w:rPr>
          <w:rFonts w:ascii="Times New Roman" w:hAnsi="Times New Roman" w:eastAsia="Times New Roman" w:cs="Times New Roman"/>
        </w:rPr>
        <w:t xml:space="preserve"> </w:t>
      </w:r>
      <w:r>
        <w:rPr>
          <w:rFonts w:ascii="Microsoft Himalaya" w:hAnsi="Microsoft Himalaya" w:eastAsia="Microsoft Himalaya" w:cs="Microsoft Himalaya"/>
        </w:rPr>
        <w:t>དེ་ལྟར་ཁོང་ཚོས་སེམས་གཏིང་ནས་དང་།</w:t>
      </w:r>
      <w:r>
        <w:rPr>
          <w:rFonts w:ascii="Times New Roman" w:hAnsi="Times New Roman" w:eastAsia="Times New Roman" w:cs="Times New Roman"/>
        </w:rPr>
        <w:t xml:space="preserve"> </w:t>
      </w:r>
      <w:r>
        <w:rPr>
          <w:rFonts w:ascii="Microsoft Himalaya" w:hAnsi="Microsoft Himalaya" w:eastAsia="Microsoft Himalaya" w:cs="Microsoft Himalaya"/>
        </w:rPr>
        <w:t>ཡོངས་སུ་རང་ཉིད་དམའ་ས་བཟུང་སྟེ་དཀོན་མཆོག་གི་མདུན་དུ་ལས་ཀ་ཞིག་མ་བྱས་བར།</w:t>
      </w:r>
      <w:r>
        <w:rPr>
          <w:rFonts w:ascii="Times New Roman" w:hAnsi="Times New Roman" w:eastAsia="Times New Roman" w:cs="Times New Roman"/>
        </w:rPr>
        <w:t xml:space="preserve"> </w:t>
      </w:r>
      <w:r>
        <w:rPr>
          <w:rFonts w:ascii="Microsoft Himalaya" w:hAnsi="Microsoft Himalaya" w:eastAsia="Microsoft Himalaya" w:cs="Microsoft Himalaya"/>
        </w:rPr>
        <w:t>ཁོང་ཚོས་སྤུས་དག་པའི་སེམས་འབད་དང་།</w:t>
      </w:r>
      <w:r>
        <w:rPr>
          <w:rFonts w:ascii="Times New Roman" w:hAnsi="Times New Roman" w:eastAsia="Times New Roman" w:cs="Times New Roman"/>
        </w:rPr>
        <w:t xml:space="preserve"> </w:t>
      </w:r>
      <w:r>
        <w:rPr>
          <w:rFonts w:ascii="Microsoft Himalaya" w:hAnsi="Microsoft Himalaya" w:eastAsia="Microsoft Himalaya" w:cs="Microsoft Himalaya"/>
        </w:rPr>
        <w:t>བརྩོན་པ་མི་ཆད་པར་བྱས་ཏེ།</w:t>
      </w:r>
      <w:r>
        <w:rPr>
          <w:rFonts w:ascii="Times New Roman" w:hAnsi="Times New Roman" w:eastAsia="Times New Roman" w:cs="Times New Roman"/>
        </w:rPr>
        <w:t xml:space="preserve"> </w:t>
      </w:r>
      <w:r>
        <w:rPr>
          <w:rFonts w:ascii="Microsoft Himalaya" w:hAnsi="Microsoft Himalaya" w:eastAsia="Microsoft Himalaya" w:cs="Microsoft Himalaya"/>
        </w:rPr>
        <w:t>སྤུས་ཆེན་པོའི་སྤེལ་ཡོན་གྱི་ཞལ་འདེབས་རྣམས་ཐོབ་པའི་དགོས་མཁོ་ངོ་མ་དེ་ཚོར་མི་ཐུབ།</w:t>
      </w:r>
      <w:r>
        <w:rPr>
          <w:rFonts w:ascii="Times New Roman" w:hAnsi="Times New Roman" w:eastAsia="Times New Roman" w:cs="Times New Roman"/>
        </w:rPr>
        <w:t>” Testimonies, volume 3, 252, 253.</w:t>
      </w:r>
    </w:p>
    <w:p>
      <w:pPr>
        <w:pStyle w:val="ArticleBody"/>
        <w:jc w:val="left"/>
      </w:pPr>
      <w:r>
        <w:rPr>
          <w:rFonts w:ascii="Times New Roman" w:hAnsi="Times New Roman" w:eastAsia="Times New Roman" w:cs="Times New Roman"/>
        </w:rPr>
        <w:t>Kiwiiyaan tokko haala Laaʼodiiqeyaa isaa keessaa erga geeddaramee booddee, ergaa akeekkachiisa isa dhumaa addunyaatti geessuuf of dhiheesse. Lakkoofsi sadaffaan boqonnaa jahaa seenaa raajii Kiwiiyaan seenaa raajii Mulʼata kudha saddeet keessatti, yeroo ergamaan sami irraa buʼee ulfina isaatiin lafa ifa godhu, waliin walqabsiisa.</w:t>
      </w:r>
    </w:p>
    <w:p>
      <w:pPr>
        <w:pStyle w:val="ArticleScripture"/>
        <w:jc w:val="left"/>
      </w:pPr>
      <w:r>
        <w:rPr>
          <w:rFonts w:ascii="Times New Roman" w:hAnsi="Times New Roman" w:eastAsia="Times New Roman" w:cs="Times New Roman"/>
        </w:rPr>
        <w:t>Et après ces choses, je vis descendre du ciel un autre ange, ayant une grande puissance ; et la terre fut illuminée de sa gloire. Apocalypse 18:1.</w:t>
      </w:r>
    </w:p>
    <w:p>
      <w:pPr>
        <w:pStyle w:val="ArticleBody"/>
        <w:jc w:val="left"/>
      </w:pPr>
      <w:r>
        <w:rPr>
          <w:rFonts w:ascii="Times New Roman" w:hAnsi="Times New Roman" w:eastAsia="Times New Roman" w:cs="Times New Roman"/>
        </w:rPr>
        <w:t>Ésaïe représente le peuple de Dieu au temps où l’ange d’Apocalypse dix-huit descend, car, lorsqu’il fut introduit dans le sanctuaire céleste, il entendit les séraphins proclamer : « Saint, saint, saint est l’Éternel des armées : toute la terre est pleine de sa gloire. » Ésaïe, tout comme Jean dans l’Apocalypse, représente le peuple de Dieu qui proclame le dernier message d’avertissement. Jean appelait le peuple de Dieu « le reste », et Ésaïe le désignait comme « un dixième », ou une dîme. Le mot racine en hébreu signifie « donner la dîme ».</w:t>
      </w:r>
    </w:p>
    <w:p>
      <w:pPr>
        <w:pStyle w:val="ArticleBody"/>
        <w:jc w:val="left"/>
      </w:pPr>
      <w:r>
        <w:rPr>
          <w:rFonts w:ascii="Times New Roman" w:hAnsi="Times New Roman" w:eastAsia="Times New Roman" w:cs="Times New Roman"/>
        </w:rPr>
        <w:t>Ya Kisa cha unabii cha “hata lini?” ambacho Isaya aliuliza huulizwa mara kwa mara katika Neno la Mungu (na kwa ufupi, jibu la swali la “hata lini?” ni kwamba linaashiria kufika kwa sheria ya kitaifa ya Jumapili nchini Marekani.) Kulingana na Ellen White, wakati huo “uasi wa kitaifa utafuatwa na uharibifu wa kitaifa,” na kulingana na Isaya ni wakati ambapo “miji itakapoharibiwa isikaliwe na mtu, na nyumba zisiwe na watu, na nchi iharibiwe kabisa, Naye Bwana atakapowaondoa watu mbali sana, na kuwe na kuachwa kukuu katikati ya nchi.” “Kuachwa kukuu katikati ya nchi” ndio wale “wengi” wanaoangushwa wakati wa Sheria ya Jumapili kulingana na Danieli 11:41. Hawa ndio watu wa Isaya sita na Mathayo kumi na tatu walio na macho, lakini hawaoni, na walio na masikio, lakini hawasikii, na pia wale wa Ufunuo tatu wanaokataa shauri kwa kanisa la Laodikia.</w:t>
      </w:r>
    </w:p>
    <w:p>
      <w:pPr>
        <w:pStyle w:val="ArticleScripture"/>
        <w:jc w:val="left"/>
      </w:pPr>
      <w:r>
        <w:rPr>
          <w:rFonts w:ascii="Times New Roman" w:hAnsi="Times New Roman" w:eastAsia="Times New Roman" w:cs="Times New Roman"/>
        </w:rPr>
        <w:t>Atangia mpe na mokili ya nkembo, mpe mikili mingi ekobebisama; kasi baye bakokima na lobɔkɔ na ye ezali oyo: Edome, mpe Moabe, mpe bakonzi ya liboso ya bana ba Amona. Daniele 11:41</w:t>
      </w:r>
    </w:p>
    <w:p>
      <w:pPr>
        <w:pStyle w:val="ArticleBody"/>
        <w:jc w:val="left"/>
      </w:pPr>
      <w:r>
        <w:rPr>
          <w:rFonts w:ascii="Times New Roman" w:hAnsi="Times New Roman" w:eastAsia="Times New Roman" w:cs="Times New Roman"/>
        </w:rPr>
        <w:t>Isaias avait une vision de Jésus-Christ dans son sanctuaire, comme Jean dans l’Apocalypse. Isaias représente le « dixième » ou la dîme qui « revient » et qui « sera mangée » comme un arbre. Le mot hébreu traduit par « mangée » signifie consumer par le feu. Pourtant, le « dixième » a en lui une « substance » que le feu ne consume pas. Il est évident que les neuf dixièmes ne possédaient pas cette substance ? Le feu représenté comme dévorant et consumant le térébinthe et le chêne est le feu du Messager de l’Alliance qui vient soudain à son temple dans le livre de Malachie.</w:t>
      </w:r>
    </w:p>
    <w:p>
      <w:pPr>
        <w:pStyle w:val="ArticleScripture"/>
        <w:jc w:val="left"/>
      </w:pPr>
      <w:r>
        <w:rPr>
          <w:rFonts w:ascii="Times New Roman" w:hAnsi="Times New Roman" w:eastAsia="Times New Roman" w:cs="Times New Roman"/>
        </w:rPr>
        <w:t>Voici, j’enverrai mon messager, et il préparera le chemin devant moi; et le Seigneur, que vous cherchez, viendra soudain à son temple, le messager de l’alliance, que vous désirez: voici, il viendra, dit l’Éternel des armées.</w:t>
      </w:r>
    </w:p>
    <w:p>
      <w:pPr>
        <w:pStyle w:val="ArticleScripture"/>
        <w:jc w:val="left"/>
      </w:pP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આગમનના</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કોણ</w:t>
      </w:r>
      <w:r>
        <w:rPr>
          <w:rFonts w:ascii="Times New Roman" w:hAnsi="Times New Roman" w:eastAsia="Times New Roman" w:cs="Times New Roman"/>
        </w:rPr>
        <w:t xml:space="preserve"> </w:t>
      </w:r>
      <w:r>
        <w:rPr>
          <w:rFonts w:ascii="Nirmala UI" w:hAnsi="Nirmala UI" w:eastAsia="Nirmala UI" w:cs="Nirmala UI"/>
        </w:rPr>
        <w:t>ટકી</w:t>
      </w:r>
      <w:r>
        <w:rPr>
          <w:rFonts w:ascii="Times New Roman" w:hAnsi="Times New Roman" w:eastAsia="Times New Roman" w:cs="Times New Roman"/>
        </w:rPr>
        <w:t xml:space="preserve"> </w:t>
      </w:r>
      <w:r>
        <w:rPr>
          <w:rFonts w:ascii="Nirmala UI" w:hAnsi="Nirmala UI" w:eastAsia="Nirmala UI" w:cs="Nirmala UI"/>
        </w:rPr>
        <w:t>શકશે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પ્રગટ</w:t>
      </w:r>
      <w:r>
        <w:rPr>
          <w:rFonts w:ascii="Times New Roman" w:hAnsi="Times New Roman" w:eastAsia="Times New Roman" w:cs="Times New Roman"/>
        </w:rPr>
        <w:t xml:space="preserve"> </w:t>
      </w:r>
      <w:r>
        <w:rPr>
          <w:rFonts w:ascii="Nirmala UI" w:hAnsi="Nirmala UI" w:eastAsia="Nirmala UI" w:cs="Nirmala UI"/>
        </w:rPr>
        <w:t>થશે</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કોણ</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રહી</w:t>
      </w:r>
      <w:r>
        <w:rPr>
          <w:rFonts w:ascii="Times New Roman" w:hAnsi="Times New Roman" w:eastAsia="Times New Roman" w:cs="Times New Roman"/>
        </w:rPr>
        <w:t xml:space="preserve"> </w:t>
      </w:r>
      <w:r>
        <w:rPr>
          <w:rFonts w:ascii="Nirmala UI" w:hAnsi="Nirmala UI" w:eastAsia="Nirmala UI" w:cs="Nirmala UI"/>
        </w:rPr>
        <w:t>શકશે</w:t>
      </w:r>
      <w:r>
        <w:rPr>
          <w:rFonts w:ascii="Times New Roman" w:hAnsi="Times New Roman" w:eastAsia="Times New Roman" w:cs="Times New Roman"/>
        </w:rPr>
        <w:t xml:space="preserve">? </w:t>
      </w:r>
      <w:r>
        <w:rPr>
          <w:rFonts w:ascii="Nirmala UI" w:hAnsi="Nirmala UI" w:eastAsia="Nirmala UI" w:cs="Nirmala UI"/>
        </w:rPr>
        <w:t>કેમ</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શુદ્ધિકારકની</w:t>
      </w:r>
      <w:r>
        <w:rPr>
          <w:rFonts w:ascii="Times New Roman" w:hAnsi="Times New Roman" w:eastAsia="Times New Roman" w:cs="Times New Roman"/>
        </w:rPr>
        <w:t xml:space="preserve"> </w:t>
      </w:r>
      <w:r>
        <w:rPr>
          <w:rFonts w:ascii="Nirmala UI" w:hAnsi="Nirmala UI" w:eastAsia="Nirmala UI" w:cs="Nirmala UI"/>
        </w:rPr>
        <w:t>આગ</w:t>
      </w:r>
      <w:r>
        <w:rPr>
          <w:rFonts w:ascii="Times New Roman" w:hAnsi="Times New Roman" w:eastAsia="Times New Roman" w:cs="Times New Roman"/>
        </w:rPr>
        <w:t xml:space="preserve"> </w:t>
      </w:r>
      <w:r>
        <w:rPr>
          <w:rFonts w:ascii="Nirmala UI" w:hAnsi="Nirmala UI" w:eastAsia="Nirmala UI" w:cs="Nirmala UI"/>
        </w:rPr>
        <w:t>સમાન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ધોબીના</w:t>
      </w:r>
      <w:r>
        <w:rPr>
          <w:rFonts w:ascii="Times New Roman" w:hAnsi="Times New Roman" w:eastAsia="Times New Roman" w:cs="Times New Roman"/>
        </w:rPr>
        <w:t xml:space="preserve"> </w:t>
      </w:r>
      <w:r>
        <w:rPr>
          <w:rFonts w:ascii="Nirmala UI" w:hAnsi="Nirmala UI" w:eastAsia="Nirmala UI" w:cs="Nirmala UI"/>
        </w:rPr>
        <w:t>સાબુ</w:t>
      </w:r>
      <w:r>
        <w:rPr>
          <w:rFonts w:ascii="Times New Roman" w:hAnsi="Times New Roman" w:eastAsia="Times New Roman" w:cs="Times New Roman"/>
        </w:rPr>
        <w:t xml:space="preserve"> </w:t>
      </w:r>
      <w:r>
        <w:rPr>
          <w:rFonts w:ascii="Nirmala UI" w:hAnsi="Nirmala UI" w:eastAsia="Nirmala UI" w:cs="Nirmala UI"/>
        </w:rPr>
        <w:t>સમાન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રૂપાને</w:t>
      </w:r>
      <w:r>
        <w:rPr>
          <w:rFonts w:ascii="Times New Roman" w:hAnsi="Times New Roman" w:eastAsia="Times New Roman" w:cs="Times New Roman"/>
        </w:rPr>
        <w:t xml:space="preserve"> </w:t>
      </w:r>
      <w:r>
        <w:rPr>
          <w:rFonts w:ascii="Nirmala UI" w:hAnsi="Nirmala UI" w:eastAsia="Nirmala UI" w:cs="Nirmala UI"/>
        </w:rPr>
        <w:t>શુદ્ધ</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કરનારની</w:t>
      </w:r>
      <w:r>
        <w:rPr>
          <w:rFonts w:ascii="Times New Roman" w:hAnsi="Times New Roman" w:eastAsia="Times New Roman" w:cs="Times New Roman"/>
        </w:rPr>
        <w:t xml:space="preserve"> </w:t>
      </w:r>
      <w:r>
        <w:rPr>
          <w:rFonts w:ascii="Nirmala UI" w:hAnsi="Nirmala UI" w:eastAsia="Nirmala UI" w:cs="Nirmala UI"/>
        </w:rPr>
        <w:t>માફક</w:t>
      </w:r>
      <w:r>
        <w:rPr>
          <w:rFonts w:ascii="Times New Roman" w:hAnsi="Times New Roman" w:eastAsia="Times New Roman" w:cs="Times New Roman"/>
        </w:rPr>
        <w:t xml:space="preserve"> </w:t>
      </w:r>
      <w:r>
        <w:rPr>
          <w:rFonts w:ascii="Nirmala UI" w:hAnsi="Nirmala UI" w:eastAsia="Nirmala UI" w:cs="Nirmala UI"/>
        </w:rPr>
        <w:t>બેસશે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લેવીના</w:t>
      </w:r>
      <w:r>
        <w:rPr>
          <w:rFonts w:ascii="Times New Roman" w:hAnsi="Times New Roman" w:eastAsia="Times New Roman" w:cs="Times New Roman"/>
        </w:rPr>
        <w:t xml:space="preserve"> </w:t>
      </w:r>
      <w:r>
        <w:rPr>
          <w:rFonts w:ascii="Nirmala UI" w:hAnsi="Nirmala UI" w:eastAsia="Nirmala UI" w:cs="Nirmala UI"/>
        </w:rPr>
        <w:t>પુત્રોને</w:t>
      </w:r>
      <w:r>
        <w:rPr>
          <w:rFonts w:ascii="Times New Roman" w:hAnsi="Times New Roman" w:eastAsia="Times New Roman" w:cs="Times New Roman"/>
        </w:rPr>
        <w:t xml:space="preserve"> </w:t>
      </w:r>
      <w:r>
        <w:rPr>
          <w:rFonts w:ascii="Nirmala UI" w:hAnsi="Nirmala UI" w:eastAsia="Nirmala UI" w:cs="Nirmala UI"/>
        </w:rPr>
        <w:t>શુદ્ધ</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સોનું</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ચાંદી</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પરિશોધિત</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જેથી</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યહોવાને</w:t>
      </w:r>
      <w:r>
        <w:rPr>
          <w:rFonts w:ascii="Times New Roman" w:hAnsi="Times New Roman" w:eastAsia="Times New Roman" w:cs="Times New Roman"/>
        </w:rPr>
        <w:t xml:space="preserve"> </w:t>
      </w:r>
      <w:r>
        <w:rPr>
          <w:rFonts w:ascii="Nirmala UI" w:hAnsi="Nirmala UI" w:eastAsia="Nirmala UI" w:cs="Nirmala UI"/>
        </w:rPr>
        <w:t>ધાર્મિકતામાં</w:t>
      </w:r>
      <w:r>
        <w:rPr>
          <w:rFonts w:ascii="Times New Roman" w:hAnsi="Times New Roman" w:eastAsia="Times New Roman" w:cs="Times New Roman"/>
        </w:rPr>
        <w:t xml:space="preserve"> </w:t>
      </w:r>
      <w:r>
        <w:rPr>
          <w:rFonts w:ascii="Nirmala UI" w:hAnsi="Nirmala UI" w:eastAsia="Nirmala UI" w:cs="Nirmala UI"/>
        </w:rPr>
        <w:t>અર્પણ</w:t>
      </w:r>
      <w:r>
        <w:rPr>
          <w:rFonts w:ascii="Times New Roman" w:hAnsi="Times New Roman" w:eastAsia="Times New Roman" w:cs="Times New Roman"/>
        </w:rPr>
        <w:t xml:space="preserve"> </w:t>
      </w:r>
      <w:r>
        <w:rPr>
          <w:rFonts w:ascii="Nirmala UI" w:hAnsi="Nirmala UI" w:eastAsia="Nirmala UI" w:cs="Nirmala UI"/>
        </w:rPr>
        <w:t>અર્પે</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યહૂદા</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યરુશાલેમનું</w:t>
      </w:r>
      <w:r>
        <w:rPr>
          <w:rFonts w:ascii="Times New Roman" w:hAnsi="Times New Roman" w:eastAsia="Times New Roman" w:cs="Times New Roman"/>
        </w:rPr>
        <w:t xml:space="preserve"> </w:t>
      </w:r>
      <w:r>
        <w:rPr>
          <w:rFonts w:ascii="Nirmala UI" w:hAnsi="Nirmala UI" w:eastAsia="Nirmala UI" w:cs="Nirmala UI"/>
        </w:rPr>
        <w:t>અર્પણ</w:t>
      </w:r>
      <w:r>
        <w:rPr>
          <w:rFonts w:ascii="Times New Roman" w:hAnsi="Times New Roman" w:eastAsia="Times New Roman" w:cs="Times New Roman"/>
        </w:rPr>
        <w:t xml:space="preserve"> </w:t>
      </w:r>
      <w:r>
        <w:rPr>
          <w:rFonts w:ascii="Nirmala UI" w:hAnsi="Nirmala UI" w:eastAsia="Nirmala UI" w:cs="Nirmala UI"/>
        </w:rPr>
        <w:t>યહોવાને</w:t>
      </w:r>
      <w:r>
        <w:rPr>
          <w:rFonts w:ascii="Times New Roman" w:hAnsi="Times New Roman" w:eastAsia="Times New Roman" w:cs="Times New Roman"/>
        </w:rPr>
        <w:t xml:space="preserve"> </w:t>
      </w:r>
      <w:r>
        <w:rPr>
          <w:rFonts w:ascii="Nirmala UI" w:hAnsi="Nirmala UI" w:eastAsia="Nirmala UI" w:cs="Nirmala UI"/>
        </w:rPr>
        <w:t>પ્રસન્નકારક</w:t>
      </w:r>
      <w:r>
        <w:rPr>
          <w:rFonts w:ascii="Times New Roman" w:hAnsi="Times New Roman" w:eastAsia="Times New Roman" w:cs="Times New Roman"/>
        </w:rPr>
        <w:t xml:space="preserve"> </w:t>
      </w:r>
      <w:r>
        <w:rPr>
          <w:rFonts w:ascii="Nirmala UI" w:hAnsi="Nirmala UI" w:eastAsia="Nirmala UI" w:cs="Nirmala UI"/>
        </w:rPr>
        <w:t>થશે</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પ્રાચીન</w:t>
      </w:r>
      <w:r>
        <w:rPr>
          <w:rFonts w:ascii="Times New Roman" w:hAnsi="Times New Roman" w:eastAsia="Times New Roman" w:cs="Times New Roman"/>
        </w:rPr>
        <w:t xml:space="preserve"> </w:t>
      </w:r>
      <w:r>
        <w:rPr>
          <w:rFonts w:ascii="Nirmala UI" w:hAnsi="Nirmala UI" w:eastAsia="Nirmala UI" w:cs="Nirmala UI"/>
        </w:rPr>
        <w:t>દિવસોમાં</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પૂર્વ</w:t>
      </w:r>
      <w:r>
        <w:rPr>
          <w:rFonts w:ascii="Times New Roman" w:hAnsi="Times New Roman" w:eastAsia="Times New Roman" w:cs="Times New Roman"/>
        </w:rPr>
        <w:t xml:space="preserve"> </w:t>
      </w:r>
      <w:r>
        <w:rPr>
          <w:rFonts w:ascii="Nirmala UI" w:hAnsi="Nirmala UI" w:eastAsia="Nirmala UI" w:cs="Nirmala UI"/>
        </w:rPr>
        <w:t>વર્ષોમાં</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માલાખી</w:t>
      </w:r>
      <w:r>
        <w:rPr>
          <w:rFonts w:ascii="Times New Roman" w:hAnsi="Times New Roman" w:eastAsia="Times New Roman" w:cs="Times New Roman"/>
        </w:rPr>
        <w:t xml:space="preserve"> 3:1–4.</w:t>
      </w:r>
    </w:p>
    <w:p>
      <w:pPr>
        <w:pStyle w:val="ArticleBody"/>
        <w:jc w:val="left"/>
      </w:pPr>
      <w:r>
        <w:rPr>
          <w:rFonts w:ascii="Times New Roman" w:hAnsi="Times New Roman" w:eastAsia="Times New Roman" w:cs="Times New Roman"/>
        </w:rPr>
        <w:t>La dixième d’Ésaïe, (qui est une dîme), est aussi « l’offrande dans la justice » de Malachie. L’offrande de Malachie, c’est le peuple de Dieu, représenté comme « les fils de Lévi », qui sont purifiés par le feu afin de produire une « offrande dans la justice » ; et ceux qui sont « dévorés » par le feu dans le témoignage d’Ésaïe sont le dixième, ou une dîme.</w:t>
      </w:r>
    </w:p>
    <w:p>
      <w:pPr>
        <w:pStyle w:val="ArticleScripture"/>
        <w:jc w:val="left"/>
      </w:pPr>
      <w:r>
        <w:rPr>
          <w:rFonts w:ascii="Times New Roman" w:hAnsi="Times New Roman" w:eastAsia="Times New Roman" w:cs="Times New Roman"/>
        </w:rPr>
        <w:t>حسب نعمة الله المعطاة لي، كأساسٍ بنّاءٍ حكيم، قد وضعتُ الأساس، وآخر يبني عليه. ولكن فلينظر كل واحد كيف يبني عليه. فإنه لا يستطيع أحد أن يضع أساسًا آخر غير الذي وُضع، الذي هو يسوع المسيح. ولكن إن كان أحد يبني على هذا الأساس ذهبًا، فضةً، حجارةً كريمةً، خشبًا، عشبًا، قشًّا، فإن عمل كل واحد سيُظهره البيان، لأن اليوم سيعلنه، إذ يُستعلن بالنار؛ والنار ستمتحن عمل كل واحد ما هو. 1 Corinthians 3:10–13.</w:t>
      </w:r>
    </w:p>
    <w:p>
      <w:pPr>
        <w:pStyle w:val="ArticleBody"/>
        <w:jc w:val="left"/>
      </w:pPr>
      <w:r>
        <w:rPr>
          <w:rFonts w:ascii="Times New Roman" w:hAnsi="Times New Roman" w:eastAsia="Times New Roman" w:cs="Times New Roman"/>
        </w:rPr>
        <w:t>Paulo aqui declara que as obras de cada homem serão reveladas pelo “fogo”. Em Malaquias, o fogo queima a escória. Em Isaías, a purificação do “décimo” ocorre “quando” eles lançam fora as suas folhas. As folhas são símbolo de pecado oculto, pretensão e presunção, como testificam Adão e Eva.</w:t>
      </w:r>
    </w:p>
    <w:p>
      <w:pPr>
        <w:pStyle w:val="ArticleBody"/>
        <w:jc w:val="left"/>
      </w:pPr>
      <w:r>
        <w:rPr>
          <w:rFonts w:ascii="Times New Roman" w:hAnsi="Times New Roman" w:eastAsia="Times New Roman" w:cs="Times New Roman"/>
        </w:rPr>
        <w:t>“</w:t>
      </w:r>
      <w:r>
        <w:rPr>
          <w:rFonts w:ascii="Nirmala UI" w:hAnsi="Nirmala UI" w:eastAsia="Nirmala UI" w:cs="Nirmala UI"/>
        </w:rPr>
        <w:t>દસમો</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ઈશાયા</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ઉલ્લેખ</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અંદર</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તત્ત્વ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દહન</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નષ્ટ</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તત્ત્વ</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અંદર</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મહિમાની</w:t>
      </w:r>
      <w:r>
        <w:rPr>
          <w:rFonts w:ascii="Times New Roman" w:hAnsi="Times New Roman" w:eastAsia="Times New Roman" w:cs="Times New Roman"/>
        </w:rPr>
        <w:t xml:space="preserve"> </w:t>
      </w:r>
      <w:r>
        <w:rPr>
          <w:rFonts w:ascii="Nirmala UI" w:hAnsi="Nirmala UI" w:eastAsia="Nirmala UI" w:cs="Nirmala UI"/>
        </w:rPr>
        <w:t>આશા</w:t>
      </w:r>
      <w:r>
        <w:rPr>
          <w:rFonts w:ascii="Times New Roman" w:hAnsi="Times New Roman" w:eastAsia="Times New Roman" w:cs="Times New Roman"/>
        </w:rPr>
        <w:t xml:space="preserve">. </w:t>
      </w:r>
      <w:r>
        <w:rPr>
          <w:rFonts w:ascii="Nirmala UI" w:hAnsi="Nirmala UI" w:eastAsia="Nirmala UI" w:cs="Nirmala UI"/>
        </w:rPr>
        <w:t>ઈશાયા</w:t>
      </w:r>
      <w:r>
        <w:rPr>
          <w:rFonts w:ascii="Times New Roman" w:hAnsi="Times New Roman" w:eastAsia="Times New Roman" w:cs="Times New Roman"/>
        </w:rPr>
        <w:t xml:space="preserve"> </w:t>
      </w:r>
      <w:r>
        <w:rPr>
          <w:rFonts w:ascii="Nirmala UI" w:hAnsi="Nirmala UI" w:eastAsia="Nirmala UI" w:cs="Nirmala UI"/>
        </w:rPr>
        <w:t>પોતે</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દસમો</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દસમો</w:t>
      </w:r>
      <w:r>
        <w:rPr>
          <w:rFonts w:ascii="Times New Roman" w:hAnsi="Times New Roman" w:eastAsia="Times New Roman" w:cs="Times New Roman"/>
        </w:rPr>
        <w:t xml:space="preserve"> </w:t>
      </w:r>
      <w:r>
        <w:rPr>
          <w:rFonts w:ascii="Nirmala UI" w:hAnsi="Nirmala UI" w:eastAsia="Nirmala UI" w:cs="Nirmala UI"/>
        </w:rPr>
        <w:t>ભાગ</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પવિત્રસ્થાનમાં</w:t>
      </w:r>
      <w:r>
        <w:rPr>
          <w:rFonts w:ascii="Times New Roman" w:hAnsi="Times New Roman" w:eastAsia="Times New Roman" w:cs="Times New Roman"/>
        </w:rPr>
        <w:t xml:space="preserve"> </w:t>
      </w:r>
      <w:r>
        <w:rPr>
          <w:rFonts w:ascii="Nirmala UI" w:hAnsi="Nirmala UI" w:eastAsia="Nirmala UI" w:cs="Nirmala UI"/>
        </w:rPr>
        <w:t>ઈસુ</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પ્રકાશન</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લાઓદિકીય</w:t>
      </w:r>
      <w:r>
        <w:rPr>
          <w:rFonts w:ascii="Times New Roman" w:hAnsi="Times New Roman" w:eastAsia="Times New Roman" w:cs="Times New Roman"/>
        </w:rPr>
        <w:t xml:space="preserve"> </w:t>
      </w:r>
      <w:r>
        <w:rPr>
          <w:rFonts w:ascii="Nirmala UI" w:hAnsi="Nirmala UI" w:eastAsia="Nirmala UI" w:cs="Nirmala UI"/>
        </w:rPr>
        <w:t>અવસ્થામાંથી</w:t>
      </w:r>
      <w:r>
        <w:rPr>
          <w:rFonts w:ascii="Times New Roman" w:hAnsi="Times New Roman" w:eastAsia="Times New Roman" w:cs="Times New Roman"/>
        </w:rPr>
        <w:t xml:space="preserve"> </w:t>
      </w:r>
      <w:r>
        <w:rPr>
          <w:rFonts w:ascii="Nirmala UI" w:hAnsi="Nirmala UI" w:eastAsia="Nirmala UI" w:cs="Nirmala UI"/>
        </w:rPr>
        <w:t>ફિલાદેલ્ફીય</w:t>
      </w:r>
      <w:r>
        <w:rPr>
          <w:rFonts w:ascii="Times New Roman" w:hAnsi="Times New Roman" w:eastAsia="Times New Roman" w:cs="Times New Roman"/>
        </w:rPr>
        <w:t xml:space="preserve"> </w:t>
      </w:r>
      <w:r>
        <w:rPr>
          <w:rFonts w:ascii="Nirmala UI" w:hAnsi="Nirmala UI" w:eastAsia="Nirmala UI" w:cs="Nirmala UI"/>
        </w:rPr>
        <w:t>અવસ્થામાં</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ફરે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Guds härlighets syn, som får Jesaja att ropa att han är förlorad, att han är en oren människa och en syndare i behov av förlåtelse, äger rum i den himmelska helgedomen när träden fäller sina löv. Ordet ”fäller” betyder att ”kasta ut” eller att ”hugga ned” ett träd. Här framställs Laodiceas utkasta nde. En ”tiondel” eller kvarleva skall gå igenom den renande ”elden” som åstadkoms genom Malakis Förbundets Budbärare, och därigenom få sina mänskliga gärningar andligen uppbrända, så att endast ”substansen” blir kvar, den som inte kan brännas bort, vilket är ”den Heliga Säden”. De som vägrar att höra skall kastas bort som döda torra löv, eller utspys ur Herrens mun.</w:t>
      </w:r>
    </w:p>
    <w:p>
      <w:pPr>
        <w:pStyle w:val="ArticleBody"/>
        <w:jc w:val="left"/>
      </w:pPr>
      <w:r>
        <w:rPr>
          <w:rFonts w:ascii="Times New Roman" w:hAnsi="Times New Roman" w:eastAsia="Times New Roman" w:cs="Times New Roman"/>
        </w:rPr>
        <w:t>Jésù ni Irú Mímọ́ náà, irú sì ní gbogbo ìtòlẹ́sẹẹsẹ ìyè tí ó yẹ láti mú gbogbo ewéko jáde. Ọ̀rọ̀ Ọlọ́run jẹ́ irú, nítorí náà ìdarúkọ àkọ́kọ́ ohun kan nínú Ọ̀rọ̀ Ọlọ́run ní gbogbo ìmọ̀ tí ó yẹ láti mú kókó-ọ̀rọ̀ náà dé ìdàgbàsókè pípé nínú onígbàgbọ́, bí a bá lóye rẹ̀ ní tòótọ́.</w:t>
      </w:r>
    </w:p>
    <w:p>
      <w:pPr>
        <w:pStyle w:val="ArticleBody"/>
        <w:jc w:val="left"/>
      </w:pPr>
      <w:r>
        <w:rPr>
          <w:rFonts w:ascii="Times New Roman" w:hAnsi="Times New Roman" w:eastAsia="Times New Roman" w:cs="Times New Roman"/>
        </w:rPr>
        <w:t>Le chapitre six d’Ésaïe désigne un peuple qui n’« entendra » pas au temps où vous DEVEZ entendre afin d’être béni par le message de la Révélation de Jésus-Christ. Le peuple auquel Jésus faisait référence était le peuple choisi de Dieu ; il était Son épouse, il était Son peuple d’alliance, il était l’ancien Israël.</w:t>
      </w:r>
    </w:p>
    <w:p>
      <w:pPr>
        <w:pStyle w:val="ArticleBody"/>
        <w:jc w:val="left"/>
      </w:pPr>
      <w:r>
        <w:rPr>
          <w:rFonts w:ascii="Times New Roman" w:hAnsi="Times New Roman" w:eastAsia="Times New Roman" w:cs="Times New Roman"/>
        </w:rPr>
        <w:t>Israël ancien, ou le premier Israël, est le type d’Israël moderne, ou du dernier Israël. Le peuple de Dieu à la fin du monde, ce sont les Adventistes du Septième Jour, son peuple élu, son épouse, le peuple de son alliance — l’Israël moderne. Le témoignage de l’histoire d’Ésaïe, joint à l’histoire du Christ, fournit deux témoins qui établissent qu’à la fin du monde l’adventisme du septième jour se trouvera dans une « condition » perdue et impossible à sauver, représentée dans le message à Laodicée.</w:t>
      </w:r>
    </w:p>
    <w:p>
      <w:pPr>
        <w:pStyle w:val="ArticleBody"/>
        <w:jc w:val="left"/>
      </w:pPr>
      <w:r>
        <w:rPr>
          <w:rFonts w:ascii="Times New Roman" w:hAnsi="Times New Roman" w:eastAsia="Times New Roman" w:cs="Times New Roman"/>
        </w:rPr>
        <w:t>They are not actually unsaveable, but simply unsaveable in their Laodicean condition, as was Isaiah before his experience and as were the Jews of Christ’s history.</w:t>
      </w:r>
    </w:p>
    <w:p>
      <w:pPr>
        <w:pStyle w:val="ArticleBody"/>
        <w:jc w:val="left"/>
      </w:pPr>
      <w:r>
        <w:rPr>
          <w:rFonts w:ascii="Times New Roman" w:hAnsi="Times New Roman" w:eastAsia="Times New Roman" w:cs="Times New Roman"/>
        </w:rPr>
        <w:t>Un dos asuntos que un laodicense debe “oír” es la parábola del Sembrador. Debe “oír” en esa parábola que la Palabra de Dios es una “semilla”, una semilla santa. Cuando eso es “oído”, entonces queda puesto un fundamento que empieza a abrir el mensaje secreto del Apocalipsis, pues ese mensaje está envuelto en el profundo reconocimiento de que Jesús es el Alfa y la Omega, el Primero y el Último, el Principio y el Fin. Comprender la relación del fin con el principio incluye comprender que Jesús es la Palabra, y Él es la Semilla.</w:t>
      </w:r>
    </w:p>
    <w:p>
      <w:pPr>
        <w:pStyle w:val="ArticleScripture"/>
        <w:jc w:val="left"/>
      </w:pPr>
      <w:r>
        <w:rPr>
          <w:rFonts w:ascii="Times New Roman" w:hAnsi="Times New Roman" w:eastAsia="Times New Roman" w:cs="Times New Roman"/>
        </w:rPr>
        <w:t>Au commencement était la Parole, et la Parole était avec Dieu, et la Parole était Dieu. Elle était au commencement avec Dieu. Toutes choses ont été faites par elle, et rien de ce qui a été fait n’a été fait sans elle. En elle était la vie, et la vie était la lumière des hommes. Et la lumière luit dans les ténèbres, et les ténèbres ne l’ont point comprise. Jean 1:1–5.</w:t>
      </w:r>
    </w:p>
    <w:p>
      <w:pPr>
        <w:pStyle w:val="ArticleScripture"/>
        <w:jc w:val="left"/>
      </w:pPr>
      <w:r>
        <w:rPr>
          <w:rFonts w:ascii="Times New Roman" w:hAnsi="Times New Roman" w:eastAsia="Times New Roman" w:cs="Times New Roman"/>
        </w:rPr>
        <w:t>Mukadzi Abrahamo n’enzalo yakwe mikhango yachita perekedwa. Iye salankhula kuti, “ndi ku nzalo,” ngati za ambiri; koma ngati za mmodzi, “ndi ku nzalo yako,” amene ali Khristu. Agalatiya 3:16.</w:t>
      </w:r>
    </w:p>
    <w:p>
      <w:pPr>
        <w:pStyle w:val="ArticleBody"/>
        <w:jc w:val="left"/>
      </w:pPr>
      <w:r>
        <w:rPr>
          <w:rFonts w:ascii="Times New Roman" w:hAnsi="Times New Roman" w:eastAsia="Times New Roman" w:cs="Times New Roman"/>
        </w:rPr>
        <w:t>Pou konprann relasyon ki genyen ant fen an ak kòmansman an, li nesesè pou konprann “règleman premye mansyon an.” Règleman premye mansyon an montre ke kòmansman yon sijè se referans ki pi enpòtan an, paske li genyen tout istwa a, paske, antanke Pawòl Bondye a, li se yon semans. Dènye referans lan se dezyèm nan enpòtans, nan sans se la tout eleman istwa a mare ansanm san yo pa kite okenn bout ki pa ranje. Men, se referans ki nan mitan yo sou yon sijè ki bay istwa a fòs ak klète li; epi, nan sans sa a, mitan an esansyèl menm jan ak kòmansman an oswa ak fen an.</w:t>
      </w:r>
    </w:p>
    <w:p>
      <w:pPr>
        <w:pStyle w:val="ArticleBody"/>
        <w:jc w:val="left"/>
      </w:pPr>
      <w:r>
        <w:rPr>
          <w:rFonts w:ascii="Times New Roman" w:hAnsi="Times New Roman" w:eastAsia="Times New Roman" w:cs="Times New Roman"/>
        </w:rPr>
        <w:t>Ni hay koze byinshi byo kuvuga kuri iyi ngingo, ariko dusubiye ku gice cyo muri Matayo 13 dushobora kubona ko Yesu yagaragaje ibyiciro bibiri by’abantu bumva cyangwa batumva. Yagaragaje uburyo burenze bumwe bwo kutumva, ariko hanyuma ahesha umugisha abumva.</w:t>
      </w:r>
    </w:p>
    <w:p>
      <w:pPr>
        <w:pStyle w:val="ArticleScripture"/>
        <w:jc w:val="left"/>
      </w:pPr>
      <w:r>
        <w:rPr>
          <w:rFonts w:ascii="Times New Roman" w:hAnsi="Times New Roman" w:eastAsia="Times New Roman" w:cs="Times New Roman"/>
        </w:rPr>
        <w:t>Mais heureux sont vos yeux, parce qu’ils voient, et vos oreilles, parce qu’elles entendent. Car, en vérité, je vous le dis, beaucoup de prophètes et de justes ont désiré voir les choses que vous voyez, et ne les ont pas vues, et entendre les choses que vous entendez, et ne les ont pas entendues. Vous donc, écoutez la parabole du semeur. Matthieu 13:16–18.</w:t>
      </w:r>
    </w:p>
    <w:p>
      <w:pPr>
        <w:pStyle w:val="ArticleBody"/>
        <w:jc w:val="left"/>
      </w:pPr>
      <w:r>
        <w:rPr>
          <w:rFonts w:ascii="Times New Roman" w:hAnsi="Times New Roman" w:eastAsia="Times New Roman" w:cs="Times New Roman"/>
        </w:rPr>
        <w:t>Par conséquent, sur le plan prophétique, cette « bénédiction » est exactement la même que celle de l’Apocalypse 1:3 :</w:t>
      </w:r>
    </w:p>
    <w:p>
      <w:pPr>
        <w:pStyle w:val="ArticleScripture"/>
        <w:jc w:val="left"/>
      </w:pPr>
      <w:r>
        <w:rPr>
          <w:rFonts w:ascii="Times New Roman" w:hAnsi="Times New Roman" w:eastAsia="Times New Roman" w:cs="Times New Roman"/>
        </w:rPr>
        <w:t>Ærî dûr ew ku dixwîne, û ewên ku guh didin gotinên vê pêxemberiyê û wan tiştên ku tê de hatine nivîsandin diparêzin; çimkî dem nêzîk e.</w:t>
      </w:r>
    </w:p>
    <w:p>
      <w:pPr>
        <w:pStyle w:val="ArticleBody"/>
        <w:jc w:val="left"/>
      </w:pPr>
      <w:r>
        <w:rPr>
          <w:rFonts w:ascii="Times New Roman" w:hAnsi="Times New Roman" w:eastAsia="Times New Roman" w:cs="Times New Roman"/>
        </w:rPr>
        <w:t>Jesu’ henvisning i Matthæus tretten til Esajas seks bekræfter, i sammenhæng med Ellen Whites skrifter, at der ved verdens ende er ting, som ses og høres, og som er så overvældende, at mange retfærdige mænd og profeter ønskede at leve i den tidsperiode, hvor det sidste advarselsbudskab skulle blive åbenbaret, og hvor mennesker da skulle “se” og “høre” dem.</w:t>
      </w:r>
    </w:p>
    <w:p>
      <w:pPr>
        <w:pStyle w:val="ArticleBody"/>
        <w:jc w:val="left"/>
      </w:pPr>
      <w:r>
        <w:rPr>
          <w:rFonts w:ascii="Nirmala UI" w:hAnsi="Nirmala UI" w:eastAsia="Nirmala UI" w:cs="Nirmala UI"/>
        </w:rPr>
        <w:t>यूहन्नालाई</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दसमा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गर्जनहरू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उच्चारण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लगाएर</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भनिएको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बाइसमा</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वचनहरूलाई</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नलगाऊ</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नजिकै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त्यसपछिको</w:t>
      </w:r>
      <w:r>
        <w:rPr>
          <w:rFonts w:ascii="Times New Roman" w:hAnsi="Times New Roman" w:eastAsia="Times New Roman" w:cs="Times New Roman"/>
        </w:rPr>
        <w:t xml:space="preserve"> </w:t>
      </w:r>
      <w:r>
        <w:rPr>
          <w:rFonts w:ascii="Nirmala UI" w:hAnsi="Nirmala UI" w:eastAsia="Nirmala UI" w:cs="Nirmala UI"/>
        </w:rPr>
        <w:t>पदले</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समाप्तिलाई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हुनुभन्दा</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गर्जनहरू</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अनमुद्रित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समयसम्म</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लगाएर</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राखिएको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गर्जनहरू</w:t>
      </w:r>
      <w:r>
        <w:rPr>
          <w:rFonts w:ascii="Times New Roman" w:hAnsi="Times New Roman" w:eastAsia="Times New Roman" w:cs="Times New Roman"/>
        </w:rPr>
        <w:t xml:space="preserve">” </w:t>
      </w:r>
      <w:r>
        <w:rPr>
          <w:rFonts w:ascii="Nirmala UI" w:hAnsi="Nirmala UI" w:eastAsia="Nirmala UI" w:cs="Nirmala UI"/>
        </w:rPr>
        <w:t>सम्बन्धमा</w:t>
      </w:r>
      <w:r>
        <w:rPr>
          <w:rFonts w:ascii="Times New Roman" w:hAnsi="Times New Roman" w:eastAsia="Times New Roman" w:cs="Times New Roman"/>
        </w:rPr>
        <w:t xml:space="preserve"> </w:t>
      </w:r>
      <w:r>
        <w:rPr>
          <w:rFonts w:ascii="Nirmala UI" w:hAnsi="Nirmala UI" w:eastAsia="Nirmala UI" w:cs="Nirmala UI"/>
        </w:rPr>
        <w:t>हामीलाई</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जानकारी</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तिनले</w:t>
      </w:r>
      <w:r>
        <w:rPr>
          <w:rFonts w:ascii="Times New Roman" w:hAnsi="Times New Roman" w:eastAsia="Times New Roman" w:cs="Times New Roman"/>
        </w:rPr>
        <w:t xml:space="preserve"> </w:t>
      </w:r>
      <w:r>
        <w:rPr>
          <w:rFonts w:ascii="Nirmala UI" w:hAnsi="Nirmala UI" w:eastAsia="Nirmala UI" w:cs="Nirmala UI"/>
        </w:rPr>
        <w:t>एडभेन्टवादको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p>
    <w:p>
      <w:pPr>
        <w:pStyle w:val="ArticleScripture"/>
        <w:jc w:val="left"/>
      </w:pPr>
      <w:r>
        <w:rPr>
          <w:rFonts w:ascii="Times New Roman" w:hAnsi="Times New Roman" w:eastAsia="Times New Roman" w:cs="Times New Roman"/>
        </w:rPr>
        <w:t>«Η ιδιαίτερη φως που δόθηκε στον Ιωάννη και εκφράστηκε στις επτά βροντές ήταν μια περιγραφή γεγονότων τα οποία θα διαδραματίζονταν υπό τα μηνύματα του πρώτου και του δευτέρου αγγέλου....»</w:t>
      </w:r>
    </w:p>
    <w:p>
      <w:pPr>
        <w:pStyle w:val="ArticleScripture"/>
        <w:jc w:val="left"/>
      </w:pPr>
      <w:r>
        <w:rPr>
          <w:rFonts w:ascii="Times New Roman" w:hAnsi="Times New Roman" w:eastAsia="Times New Roman" w:cs="Times New Roman"/>
        </w:rPr>
        <w:t>« Après que ces sept tonnerres eurent fait entendre leurs voix, l’injonction est adressée à Jean, comme à Daniel au sujet du petit livre : “Scelle ce qu’ont dit les sept tonnerres.” Ces paroles se rapportent à des événements futurs qui seront révélés en leur temps. » The Seventh-day Adventist Bible Commentary, volume 7, 971.</w:t>
      </w:r>
    </w:p>
    <w:p>
      <w:pPr>
        <w:pStyle w:val="ArticleBody"/>
        <w:jc w:val="left"/>
      </w:pPr>
      <w:r>
        <w:rPr>
          <w:rFonts w:ascii="Times New Roman" w:hAnsi="Times New Roman" w:eastAsia="Times New Roman" w:cs="Times New Roman"/>
        </w:rPr>
        <w:t>Les Sept Tonnerres représentent les événements survenus au commencement de l’adventisme dans l’histoire du message du premier et du second ange, de 1798 jusqu’au 22 octobre 1844, et dans le même article mentionné ci-dessus, il nous est dit que les Sept Tonnerres « se rapportent à des événements futurs qui seront dévoilés dans leur ordre ». L’histoire des débuts de l’adventisme illustre la fin de l’adventisme, car Jésus-Christ, en tant qu’Alpha et Oméga, appose sa signature sur toute l’histoire de l’adventisme, car c’est une histoire aussi sacrée que l’était l’histoire de l’ancien Israël.</w:t>
      </w:r>
    </w:p>
    <w:p>
      <w:pPr>
        <w:pStyle w:val="ArticleBody"/>
        <w:jc w:val="left"/>
      </w:pPr>
      <w:r>
        <w:rPr>
          <w:rFonts w:ascii="Times New Roman" w:hAnsi="Times New Roman" w:eastAsia="Times New Roman" w:cs="Times New Roman"/>
        </w:rPr>
        <w:t>Mateo trecearen arabera, Jesusek dio gertaera hauek direla profetek ikusi nahi izan zituztenak, eta ikasleak zoriontsu izan zirela haiek ezagutzeagatik. Ikasle horiek munduaren amaieran Jainkoaren herria ordezkatzen dute, ikusten eta entzuten dutenagatik dohatsu direnak. Ikusten eta entzuten dutena Jesu Kristoren Apokalipsiaren mezua da, Zazpi Trumoien mezuak ere irudikatzen duena; eta horiek, aldi berean, bai Milleriten historia bai ehun eta berrogeita lau milen historia adierazten dute.</w:t>
      </w:r>
    </w:p>
    <w:p>
      <w:pPr>
        <w:pStyle w:val="ArticleScripture"/>
        <w:jc w:val="left"/>
      </w:pPr>
      <w:r>
        <w:rPr>
          <w:rFonts w:ascii="Times New Roman" w:hAnsi="Times New Roman" w:eastAsia="Times New Roman" w:cs="Times New Roman"/>
        </w:rPr>
        <w:t>«Αἱ ἀγγελίαι πᾶσαι αἱ δοθεῖσαι ἀπὸ τοῦ 1840–1844 πρέπει νὰ γίνωσιν ἰσχυραὶ νῦν, διότι ὑπάρχουν πολλοὶ ἄνθρωποι οἵτινες ἔχασαν τὸν προσανατολισμόν των. Αἱ ἀγγελίαι πρέπει νὰ ἀπευθυνθῶσι πρὸς πάσας τὰς ἐκκλησίας.»</w:t>
      </w:r>
    </w:p>
    <w:p>
      <w:pPr>
        <w:pStyle w:val="ArticleScripture"/>
        <w:jc w:val="left"/>
      </w:pPr>
      <w:r>
        <w:rPr>
          <w:rFonts w:ascii="Times New Roman" w:hAnsi="Times New Roman" w:eastAsia="Times New Roman" w:cs="Times New Roman"/>
        </w:rPr>
        <w:t>« Le Christ a dit : “Heureux vos yeux, parce qu’ils voient ; et vos oreilles, parce qu’elles entendent. Car en vérité je vous le dis, beaucoup de prophètes et de justes ont désiré voir les choses que vous voyez, et ne les ont pas vues ; et entendre les choses que vous entendez, et ne les ont pas entendues” [Matthieu 13:16, 17]. Heureux les yeux qui ont vu les choses qui ont été vues en 1843 et 1844. »</w:t>
      </w:r>
    </w:p>
    <w:p>
      <w:pPr>
        <w:pStyle w:val="ArticleScripture"/>
        <w:jc w:val="left"/>
      </w:pPr>
      <w:r>
        <w:rPr>
          <w:rFonts w:ascii="Times New Roman" w:hAnsi="Times New Roman" w:eastAsia="Times New Roman" w:cs="Times New Roman"/>
        </w:rPr>
        <w:t>“Ujumbe ulitolewa. Nayo hapaswi kuwapo ucheleweshaji wowote katika kuurudia ujumbe huo, kwa maana ishara za nyakati zinatimia; kazi ya mwisho ni lazima ifanywe. Kazi kubwa itafanywa kwa muda mfupi. Ujumbe utatolewa upesi kwa uteuzi wa Mungu, nao utakua na kuwa kilio kikuu. Ndipo Danieli atasimama katika sehemu yake, kutoa ushuhuda wake.” Manuscript Releases, volume 21, 437.</w:t>
      </w:r>
    </w:p>
    <w:p>
      <w:pPr>
        <w:pStyle w:val="ArticleBody"/>
        <w:jc w:val="left"/>
      </w:pPr>
      <w:r>
        <w:rPr>
          <w:rFonts w:ascii="Nirmala UI" w:hAnsi="Nirmala UI" w:eastAsia="Nirmala UI" w:cs="Nirmala UI"/>
        </w:rPr>
        <w:t>એલેન</w:t>
      </w:r>
      <w:r>
        <w:rPr>
          <w:rFonts w:ascii="Times New Roman" w:hAnsi="Times New Roman" w:eastAsia="Times New Roman" w:cs="Times New Roman"/>
        </w:rPr>
        <w:t xml:space="preserve"> </w:t>
      </w:r>
      <w:r>
        <w:rPr>
          <w:rFonts w:ascii="Nirmala UI" w:hAnsi="Nirmala UI" w:eastAsia="Nirmala UI" w:cs="Nirmala UI"/>
        </w:rPr>
        <w:t>વ્હાઇટ</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ઓળખાવ્યો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જોવા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ધર્મી</w:t>
      </w:r>
      <w:r>
        <w:rPr>
          <w:rFonts w:ascii="Times New Roman" w:hAnsi="Times New Roman" w:eastAsia="Times New Roman" w:cs="Times New Roman"/>
        </w:rPr>
        <w:t xml:space="preserve"> </w:t>
      </w:r>
      <w:r>
        <w:rPr>
          <w:rFonts w:ascii="Nirmala UI" w:hAnsi="Nirmala UI" w:eastAsia="Nirmala UI" w:cs="Nirmala UI"/>
        </w:rPr>
        <w:t>પુરુષોએ</w:t>
      </w:r>
      <w:r>
        <w:rPr>
          <w:rFonts w:ascii="Times New Roman" w:hAnsi="Times New Roman" w:eastAsia="Times New Roman" w:cs="Times New Roman"/>
        </w:rPr>
        <w:t xml:space="preserve"> </w:t>
      </w:r>
      <w:r>
        <w:rPr>
          <w:rFonts w:ascii="Nirmala UI" w:hAnsi="Nirmala UI" w:eastAsia="Nirmala UI" w:cs="Nirmala UI"/>
        </w:rPr>
        <w:t>ઇચ્છા</w:t>
      </w:r>
      <w:r>
        <w:rPr>
          <w:rFonts w:ascii="Times New Roman" w:hAnsi="Times New Roman" w:eastAsia="Times New Roman" w:cs="Times New Roman"/>
        </w:rPr>
        <w:t xml:space="preserve"> </w:t>
      </w:r>
      <w:r>
        <w:rPr>
          <w:rFonts w:ascii="Nirmala UI" w:hAnsi="Nirmala UI" w:eastAsia="Nirmala UI" w:cs="Nirmala UI"/>
        </w:rPr>
        <w:t>રાખી</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—1840 </w:t>
      </w:r>
      <w:r>
        <w:rPr>
          <w:rFonts w:ascii="Nirmala UI" w:hAnsi="Nirmala UI" w:eastAsia="Nirmala UI" w:cs="Nirmala UI"/>
        </w:rPr>
        <w:t>થી</w:t>
      </w:r>
      <w:r>
        <w:rPr>
          <w:rFonts w:ascii="Times New Roman" w:hAnsi="Times New Roman" w:eastAsia="Times New Roman" w:cs="Times New Roman"/>
        </w:rPr>
        <w:t xml:space="preserve"> 1844 </w:t>
      </w:r>
      <w:r>
        <w:rPr>
          <w:rFonts w:ascii="Nirmala UI" w:hAnsi="Nirmala UI" w:eastAsia="Nirmala UI" w:cs="Nirmala UI"/>
        </w:rPr>
        <w:t>સુધીના</w:t>
      </w:r>
      <w:r>
        <w:rPr>
          <w:rFonts w:ascii="Times New Roman" w:hAnsi="Times New Roman" w:eastAsia="Times New Roman" w:cs="Times New Roman"/>
        </w:rPr>
        <w:t xml:space="preserve"> </w:t>
      </w:r>
      <w:r>
        <w:rPr>
          <w:rFonts w:ascii="Nirmala UI" w:hAnsi="Nirmala UI" w:eastAsia="Nirmala UI" w:cs="Nirmala UI"/>
        </w:rPr>
        <w:t>મિલરાઇટોના</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નિમણૂકથી</w:t>
      </w:r>
      <w:r>
        <w:rPr>
          <w:rFonts w:ascii="Times New Roman" w:hAnsi="Times New Roman" w:eastAsia="Times New Roman" w:cs="Times New Roman"/>
        </w:rPr>
        <w:t xml:space="preserve"> </w:t>
      </w:r>
      <w:r>
        <w:rPr>
          <w:rFonts w:ascii="Nirmala UI" w:hAnsi="Nirmala UI" w:eastAsia="Nirmala UI" w:cs="Nirmala UI"/>
        </w:rPr>
        <w:t>જલ્દી</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ફૂલી</w:t>
      </w:r>
      <w:r>
        <w:rPr>
          <w:rFonts w:ascii="Times New Roman" w:hAnsi="Times New Roman" w:eastAsia="Times New Roman" w:cs="Times New Roman"/>
        </w:rPr>
        <w:t>-</w:t>
      </w:r>
      <w:r>
        <w:rPr>
          <w:rFonts w:ascii="Nirmala UI" w:hAnsi="Nirmala UI" w:eastAsia="Nirmala UI" w:cs="Nirmala UI"/>
        </w:rPr>
        <w:t>ફાલી</w:t>
      </w:r>
      <w:r>
        <w:rPr>
          <w:rFonts w:ascii="Times New Roman" w:hAnsi="Times New Roman" w:eastAsia="Times New Roman" w:cs="Times New Roman"/>
        </w:rPr>
        <w:t xml:space="preserve"> </w:t>
      </w:r>
      <w:r>
        <w:rPr>
          <w:rFonts w:ascii="Nirmala UI" w:hAnsi="Nirmala UI" w:eastAsia="Nirmala UI" w:cs="Nirmala UI"/>
        </w:rPr>
        <w:t>ઊંચા</w:t>
      </w:r>
      <w:r>
        <w:rPr>
          <w:rFonts w:ascii="Times New Roman" w:hAnsi="Times New Roman" w:eastAsia="Times New Roman" w:cs="Times New Roman"/>
        </w:rPr>
        <w:t xml:space="preserve"> </w:t>
      </w:r>
      <w:r>
        <w:rPr>
          <w:rFonts w:ascii="Nirmala UI" w:hAnsi="Nirmala UI" w:eastAsia="Nirmala UI" w:cs="Nirmala UI"/>
        </w:rPr>
        <w:t>ક્રંદન</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પહોંચશે</w:t>
      </w:r>
      <w:r>
        <w:rPr>
          <w:rFonts w:ascii="Times New Roman" w:hAnsi="Times New Roman" w:eastAsia="Times New Roman" w:cs="Times New Roman"/>
        </w:rPr>
        <w:t>.” “</w:t>
      </w:r>
      <w:r>
        <w:rPr>
          <w:rFonts w:ascii="Nirmala UI" w:hAnsi="Nirmala UI" w:eastAsia="Nirmala UI" w:cs="Nirmala UI"/>
        </w:rPr>
        <w:t>ઊંચો</w:t>
      </w:r>
      <w:r>
        <w:rPr>
          <w:rFonts w:ascii="Times New Roman" w:hAnsi="Times New Roman" w:eastAsia="Times New Roman" w:cs="Times New Roman"/>
        </w:rPr>
        <w:t xml:space="preserve"> </w:t>
      </w:r>
      <w:r>
        <w:rPr>
          <w:rFonts w:ascii="Nirmala UI" w:hAnsi="Nirmala UI" w:eastAsia="Nirmala UI" w:cs="Nirmala UI"/>
        </w:rPr>
        <w:t>ક્રંદન</w:t>
      </w:r>
      <w:r>
        <w:rPr>
          <w:rFonts w:ascii="Times New Roman" w:hAnsi="Times New Roman" w:eastAsia="Times New Roman" w:cs="Times New Roman"/>
        </w:rPr>
        <w:t xml:space="preserve">” </w:t>
      </w:r>
      <w:r>
        <w:rPr>
          <w:rFonts w:ascii="Nirmala UI" w:hAnsi="Nirmala UI" w:eastAsia="Nirmala UI" w:cs="Nirmala UI"/>
        </w:rPr>
        <w:t>ત્રીજા</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ચેતવણીનું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એડ્વેન્ટિઝમની</w:t>
      </w:r>
      <w:r>
        <w:rPr>
          <w:rFonts w:ascii="Times New Roman" w:hAnsi="Times New Roman" w:eastAsia="Times New Roman" w:cs="Times New Roman"/>
        </w:rPr>
        <w:t xml:space="preserve"> </w:t>
      </w:r>
      <w:r>
        <w:rPr>
          <w:rFonts w:ascii="Nirmala UI" w:hAnsi="Nirmala UI" w:eastAsia="Nirmala UI" w:cs="Nirmala UI"/>
        </w:rPr>
        <w:t>શરૂઆતના</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પુનરાવર્તન</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અંતિમ</w:t>
      </w:r>
      <w:r>
        <w:rPr>
          <w:rFonts w:ascii="Times New Roman" w:hAnsi="Times New Roman" w:eastAsia="Times New Roman" w:cs="Times New Roman"/>
        </w:rPr>
        <w:t xml:space="preserve"> </w:t>
      </w:r>
      <w:r>
        <w:rPr>
          <w:rFonts w:ascii="Nirmala UI" w:hAnsi="Nirmala UI" w:eastAsia="Nirmala UI" w:cs="Nirmala UI"/>
        </w:rPr>
        <w:t>ચેતવણીનો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સંદેશાઓ</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કલીસિયાઓ</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જવાના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1840–1844 </w:t>
      </w:r>
      <w:r>
        <w:rPr>
          <w:rFonts w:ascii="Nirmala UI" w:hAnsi="Nirmala UI" w:eastAsia="Nirmala UI" w:cs="Nirmala UI"/>
        </w:rPr>
        <w:t>દરમ્યાન</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સંદેશાઓને</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પ્રબળ</w:t>
      </w:r>
      <w:r>
        <w:rPr>
          <w:rFonts w:ascii="Times New Roman" w:hAnsi="Times New Roman" w:eastAsia="Times New Roman" w:cs="Times New Roman"/>
        </w:rPr>
        <w:t xml:space="preserve"> </w:t>
      </w:r>
      <w:r>
        <w:rPr>
          <w:rFonts w:ascii="Nirmala UI" w:hAnsi="Nirmala UI" w:eastAsia="Nirmala UI" w:cs="Nirmala UI"/>
        </w:rPr>
        <w:t>બનાવવાના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L’Alfa et l’Oméga illustrent la fin par le commencement. Ellen White déclare que « les messages doivent être envoyés à toutes les Églises », et Jésus dit à Jean : « Je suis l’Alfa et l’Oméga, le premier et le dernier ; et ce que tu vois, écris-le dans un livre, et envoie-le aux sept Églises qui sont en Asie : à Éphèse, et à Smyrne, et à Pergame, et à Thyatire, et à Sardes, et à Philadelphie, et à Laodicée. »</w:t>
      </w:r>
    </w:p>
    <w:p>
      <w:pPr>
        <w:pStyle w:val="ArticleBody"/>
        <w:jc w:val="left"/>
      </w:pPr>
      <w:r>
        <w:rPr>
          <w:rFonts w:ascii="Times New Roman" w:hAnsi="Times New Roman" w:eastAsia="Times New Roman" w:cs="Times New Roman"/>
        </w:rPr>
        <w:t>Saɓɓaakiiji 1840 haa 1844 ko renndo e ko ɗum ɗon neldete e ceriije.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Ufunuo wa Yesu Kristo - Namba Moja</dc:title>
  <dc:subject>Mbegu za Ufunuo: Kufunua Tapestri ya Kinabii kutoka Mithali hadi Onyo la Mwisho</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