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Nne</w:t>
      </w:r>
    </w:p>
    <w:p>
      <w:pPr>
        <w:pStyle w:val="ArticleSubtitle"/>
        <w:jc w:val="left"/>
      </w:pPr>
      <w:r>
        <w:rPr>
          <w:rFonts w:ascii="Arial" w:hAnsi="Arial" w:eastAsia="Arial" w:cs="Arial"/>
        </w:rPr>
        <w:t>Эсаия Кырык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Isaïe, chapitre quarante, marque le commencement d’un récit prophétique qui se poursuit jusqu’à la fin du livre d’Isaïe, au chapitre soixante-six. Il commence par identifier le Consolateur qui est envoyé, celui que Christ promet aux disciples pour les consoler de son départ; mais la venue du Consolateur trouve son plein accomplissement, comme toutes les prophéties, dans les derniers jours. L’identification, par Ésaïe et par Jésus, de l’arrivée du Consolateur renvoie à la déception du mouvement des cent quarante-quatre mille, qui eut lieu le 18 juillet 2020.</w:t>
      </w:r>
    </w:p>
    <w:p>
      <w:pPr>
        <w:pStyle w:val="ArticleScripture"/>
        <w:jc w:val="left"/>
      </w:pPr>
      <w:r>
        <w:rPr>
          <w:rFonts w:ascii="Times New Roman" w:hAnsi="Times New Roman" w:eastAsia="Times New Roman" w:cs="Times New Roman"/>
        </w:rPr>
        <w:t>Néanmoins, je vous dis la vérité : il vous est avantageux que je m’en aille ; car si je ne m’en vais pas, le Consolateur ne viendra pas à vous ; mais si je pars, je vous l’enverrai. Et quand il sera venu, il convaincra le monde en ce qui concerne le péché, la justice et le jugement. Jean 16:7, 8.</w:t>
      </w:r>
    </w:p>
    <w:p>
      <w:pPr>
        <w:pStyle w:val="ArticleBody"/>
        <w:jc w:val="left"/>
      </w:pPr>
      <w:r>
        <w:rPr>
          <w:rFonts w:ascii="Times New Roman" w:hAnsi="Times New Roman" w:eastAsia="Times New Roman" w:cs="Times New Roman"/>
        </w:rPr>
        <w:t>Les mots « péché, justice et jugement » sont ce que le Consolateur emploiera pour « convaincre » le monde. Le mot traduit par « convaincre » comprend aussi le sens de persuader. Les trois étapes de « péché, justice et jugement » représentent le mot hébreu traduit par « vérité ». Ce mot a été formé à partir de la première, de la treizième et de la dernière lettres de l’alphabet hébreu, et il signifie que le Créateur de toutes choses est le premier et le dernier, l’Alpha et l’Oméga. Lorsque le Consolateur viendra vers les cent quarante-quatre mille déçus, Il les convaincra, puis convaincra le monde, que Dieu est l’Alpha et l’Oméga.</w:t>
      </w:r>
    </w:p>
    <w:p>
      <w:pPr>
        <w:pStyle w:val="ArticleScripture"/>
        <w:jc w:val="left"/>
      </w:pPr>
      <w:r>
        <w:rPr>
          <w:rFonts w:ascii="Times New Roman" w:hAnsi="Times New Roman" w:eastAsia="Times New Roman" w:cs="Times New Roman"/>
        </w:rPr>
        <w:t>“</w:t>
      </w:r>
      <w:r>
        <w:rPr>
          <w:rFonts w:ascii="Nirmala UI" w:hAnsi="Nirmala UI" w:eastAsia="Nirmala UI" w:cs="Nirmala UI"/>
        </w:rPr>
        <w:t>ସାନ୍ତ୍ୱନା</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ସାନ୍ତ୍ୱନା</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ପ୍ରଜାକୁ</w:t>
      </w:r>
      <w:r>
        <w:rPr>
          <w:rFonts w:ascii="Times New Roman" w:hAnsi="Times New Roman" w:eastAsia="Times New Roman" w:cs="Times New Roman"/>
        </w:rPr>
        <w:t xml:space="preserve">,” </w:t>
      </w:r>
      <w:r>
        <w:rPr>
          <w:rFonts w:ascii="Nirmala UI" w:hAnsi="Nirmala UI" w:eastAsia="Nirmala UI" w:cs="Nirmala UI"/>
        </w:rPr>
        <w:t>ତୁମ୍ମାନଙ୍କର</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କହୁଛନ୍ତି।</w:t>
      </w:r>
      <w:r>
        <w:rPr>
          <w:rFonts w:ascii="Times New Roman" w:hAnsi="Times New Roman" w:eastAsia="Times New Roman" w:cs="Times New Roman"/>
        </w:rPr>
        <w:t xml:space="preserve"> “</w:t>
      </w:r>
      <w:r>
        <w:rPr>
          <w:rFonts w:ascii="Nirmala UI" w:hAnsi="Nirmala UI" w:eastAsia="Nirmala UI" w:cs="Nirmala UI"/>
        </w:rPr>
        <w:t>ଯିରୂଶାଲେମଙ୍କୁ</w:t>
      </w:r>
      <w:r>
        <w:rPr>
          <w:rFonts w:ascii="Times New Roman" w:hAnsi="Times New Roman" w:eastAsia="Times New Roman" w:cs="Times New Roman"/>
        </w:rPr>
        <w:t xml:space="preserve"> </w:t>
      </w:r>
      <w:r>
        <w:rPr>
          <w:rFonts w:ascii="Nirmala UI" w:hAnsi="Nirmala UI" w:eastAsia="Nirmala UI" w:cs="Nirmala UI"/>
        </w:rPr>
        <w:t>ସାନ୍ତ୍ୱନାଦାୟକ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ଯୁଦ୍ଧସେବା</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ଅଧର୍ମ</w:t>
      </w:r>
      <w:r>
        <w:rPr>
          <w:rFonts w:ascii="Times New Roman" w:hAnsi="Times New Roman" w:eastAsia="Times New Roman" w:cs="Times New Roman"/>
        </w:rPr>
        <w:t xml:space="preserve"> </w:t>
      </w:r>
      <w:r>
        <w:rPr>
          <w:rFonts w:ascii="Nirmala UI" w:hAnsi="Nirmala UI" w:eastAsia="Nirmala UI" w:cs="Nirmala UI"/>
        </w:rPr>
        <w:t>କ୍ଷମା</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ହସ୍ତରୁ</w:t>
      </w:r>
      <w:r>
        <w:rPr>
          <w:rFonts w:ascii="Times New Roman" w:hAnsi="Times New Roman" w:eastAsia="Times New Roman" w:cs="Times New Roman"/>
        </w:rPr>
        <w:t xml:space="preserve"> </w:t>
      </w:r>
      <w:r>
        <w:rPr>
          <w:rFonts w:ascii="Nirmala UI" w:hAnsi="Nirmala UI" w:eastAsia="Nirmala UI" w:cs="Nirmala UI"/>
        </w:rPr>
        <w:t>ଦ୍ୱିଗୁଣ</w:t>
      </w:r>
      <w:r>
        <w:rPr>
          <w:rFonts w:ascii="Times New Roman" w:hAnsi="Times New Roman" w:eastAsia="Times New Roman" w:cs="Times New Roman"/>
        </w:rPr>
        <w:t xml:space="preserve"> </w:t>
      </w:r>
      <w:r>
        <w:rPr>
          <w:rFonts w:ascii="Nirmala UI" w:hAnsi="Nirmala UI" w:eastAsia="Nirmala UI" w:cs="Nirmala UI"/>
        </w:rPr>
        <w:t>ପାଇଛି।</w:t>
      </w:r>
      <w:r>
        <w:rPr>
          <w:rFonts w:ascii="Times New Roman" w:hAnsi="Times New Roman" w:eastAsia="Times New Roman" w:cs="Times New Roman"/>
        </w:rPr>
        <w:t xml:space="preserve"> </w:t>
      </w:r>
      <w:r>
        <w:rPr>
          <w:rFonts w:ascii="Nirmala UI" w:hAnsi="Nirmala UI" w:eastAsia="Nirmala UI" w:cs="Nirmala UI"/>
        </w:rPr>
        <w:t>ଜଣେର</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ମରୁଭୂମିରେ</w:t>
      </w:r>
      <w:r>
        <w:rPr>
          <w:rFonts w:ascii="Times New Roman" w:hAnsi="Times New Roman" w:eastAsia="Times New Roman" w:cs="Times New Roman"/>
        </w:rPr>
        <w:t xml:space="preserve"> </w:t>
      </w:r>
      <w:r>
        <w:rPr>
          <w:rFonts w:ascii="Nirmala UI" w:hAnsi="Nirmala UI" w:eastAsia="Nirmala UI" w:cs="Nirmala UI"/>
        </w:rPr>
        <w:t>ଡାକୁଛି</w:t>
      </w:r>
      <w:r>
        <w:rPr>
          <w:rFonts w:ascii="Times New Roman" w:hAnsi="Times New Roman" w:eastAsia="Times New Roman" w:cs="Times New Roman"/>
        </w:rPr>
        <w:t>,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ମରୁସ୍ଥଳରେ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ରାଜପଥ</w:t>
      </w:r>
      <w:r>
        <w:rPr>
          <w:rFonts w:ascii="Times New Roman" w:hAnsi="Times New Roman" w:eastAsia="Times New Roman" w:cs="Times New Roman"/>
        </w:rPr>
        <w:t xml:space="preserve"> </w:t>
      </w:r>
      <w:r>
        <w:rPr>
          <w:rFonts w:ascii="Nirmala UI" w:hAnsi="Nirmala UI" w:eastAsia="Nirmala UI" w:cs="Nirmala UI"/>
        </w:rPr>
        <w:t>ସୋଜା</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ଉପତ୍ୟକା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ପର୍ବତ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ପାହାଡ଼</w:t>
      </w:r>
      <w:r>
        <w:rPr>
          <w:rFonts w:ascii="Times New Roman" w:hAnsi="Times New Roman" w:eastAsia="Times New Roman" w:cs="Times New Roman"/>
        </w:rPr>
        <w:t xml:space="preserve"> </w:t>
      </w:r>
      <w:r>
        <w:rPr>
          <w:rFonts w:ascii="Nirmala UI" w:hAnsi="Nirmala UI" w:eastAsia="Nirmala UI" w:cs="Nirmala UI"/>
        </w:rPr>
        <w:t>ନିଚ</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ବାଙ୍କା</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ସୋଜା</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ଅସମତଳ</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ସମତଳ</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ମାନବଜାତି</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ଏକାତ୍ମକ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ଦେଖିବେ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ମୁଖ</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କହିଛି।</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40:1–5</w:t>
      </w:r>
      <w:r>
        <w:rPr>
          <w:rFonts w:ascii="Nirmala UI" w:hAnsi="Nirmala UI" w:eastAsia="Nirmala UI" w:cs="Nirmala UI"/>
        </w:rPr>
        <w:t>।</w:t>
      </w:r>
    </w:p>
    <w:p>
      <w:pPr>
        <w:pStyle w:val="ArticleBody"/>
        <w:jc w:val="left"/>
      </w:pPr>
      <w:r>
        <w:rPr>
          <w:rFonts w:ascii="Times New Roman" w:hAnsi="Times New Roman" w:eastAsia="Times New Roman" w:cs="Times New Roman"/>
        </w:rPr>
        <w:t>Le passage identifie l’œuvre du messager final d’Élie, préfigurée par William Miller, lequel avait été préfiguré par Jean-Baptiste, lequel avait été préfiguré par Élie, et qui avait été désigné par Malachie comme le messager qui prépare la voie pour le messager de l’alliance. Dans le mouvement final d’Élie, lorsque le Seigneur envoie le consolateur pour fortifier ceux qui ont été déçus et qui attendent le Seigneur durant un temps de délai, la « gloire de l’Éternel sera révélée, et toute chair la verra ensemble ». La « gloire » du Seigneur est son caractère, et la Révélation de Jésus-Christ est un dévoilement de l’élément de son caractère représenté comme Alpha et Oméga. Après l’introduction des cinq premiers versets, la « voix de celui qui crie dans le désert » demande à Dieu : « Que crierai-je ? »</w:t>
      </w:r>
    </w:p>
    <w:p>
      <w:pPr>
        <w:pStyle w:val="ArticleScripture"/>
        <w:jc w:val="left"/>
      </w:pPr>
      <w:r>
        <w:rPr>
          <w:rFonts w:ascii="Times New Roman" w:hAnsi="Times New Roman" w:eastAsia="Times New Roman" w:cs="Times New Roman"/>
        </w:rPr>
        <w:t>Voice yi te, Cry. Na ɔse, Dɛn na menka? Honam nyinaa yɛ sare, na ne fɛfɛ nyinaa te sɛ wuram nhwiren. Sare no twe, nhwiren no hyee: efisɛ AWURADE Honhom bɔ gu so; nokware, ɔman no yɛ sare. Sare no twe, nhwiren no hyee: na yɛn Nyankopɔn asɛm de, ebesi hɔ daa. Yesaia 40:6–8.</w:t>
      </w:r>
    </w:p>
    <w:p>
      <w:pPr>
        <w:pStyle w:val="ArticleBody"/>
        <w:jc w:val="left"/>
      </w:pPr>
      <w:r>
        <w:rPr>
          <w:rFonts w:ascii="Times New Roman" w:hAnsi="Times New Roman" w:eastAsia="Times New Roman" w:cs="Times New Roman"/>
        </w:rPr>
        <w:t>Maandiko juu ya tabia ya Kristo, inayoonyeshwa kuwa Alfa na Omega, yamewekwa ndani ya ishara ya Uislamu. Katika Ezekieli thelathini na saba, bonde la mifupa mikavu kwanza linaunganishwa pamoja, kisha linahuishwa kwa ujumbe wa kinabii wa pepo nne.</w:t>
      </w:r>
    </w:p>
    <w:p>
      <w:pPr>
        <w:pStyle w:val="ArticleScripture"/>
        <w:jc w:val="left"/>
      </w:pPr>
      <w:r>
        <w:rPr>
          <w:rFonts w:ascii="Times New Roman" w:hAnsi="Times New Roman" w:eastAsia="Times New Roman" w:cs="Times New Roman"/>
        </w:rPr>
        <w:t>« Les anges retiennent les quatre vents, représentés comme un cheval furieux cherchant à se déchaîner et à se précipiter sur toute la surface de la terre, semant sur son passage la destruction et la mort. »</w:t>
      </w:r>
    </w:p>
    <w:p>
      <w:pPr>
        <w:pStyle w:val="ArticleScripture"/>
        <w:jc w:val="left"/>
      </w:pPr>
      <w:r>
        <w:rPr>
          <w:rFonts w:ascii="Times New Roman" w:hAnsi="Times New Roman" w:eastAsia="Times New Roman" w:cs="Times New Roman"/>
        </w:rPr>
        <w:t>« Tutaruhusu kusinzia kwenye ukingo wenyewe wa ulimwengu wa milele? Je, tutakuwa wazito, baridi, na wafu? Laiti tungalikuwa nayo makanisani mwetu Roho na pumzi ya Mungu vikivutiwa ndani ya watu Wake, ili wasimame kwa miguu yao na kuishi. Tunahitaji kuona kwamba njia ni nyembamba, na lango ni jembamba. Lakini tunapopita katika lango lile jembamba, upana wake hauna kikomo. » Manuscript Releases, juzuu ya 20, 217.</w:t>
      </w:r>
    </w:p>
    <w:p>
      <w:pPr>
        <w:pStyle w:val="ArticleBody"/>
        <w:jc w:val="left"/>
      </w:pPr>
      <w:r>
        <w:rPr>
          <w:rFonts w:ascii="Times New Roman" w:hAnsi="Times New Roman" w:eastAsia="Times New Roman" w:cs="Times New Roman"/>
        </w:rPr>
        <w:t>اسب خشمگینِ نبوتِ کتاب‌مقدس، اسلام است. این اسب خشمگین از انجام کار ویرانگر خود بازداشته شده است، چنان‌که در مکاشفه هفت، نگه‌داشته شدنِ چهار باد به‌وسیلهٔ چهار فرشته آن را نشان می‌دهد. آنان مهار شده‌اند تا آن‌گاه که آن یکصد و چهل و چهار هزار نفر مُهر شوند.</w:t>
      </w:r>
    </w:p>
    <w:p>
      <w:pPr>
        <w:pStyle w:val="ArticleScripture"/>
        <w:jc w:val="left"/>
      </w:pPr>
      <w:r>
        <w:rPr>
          <w:rFonts w:ascii="Times New Roman" w:hAnsi="Times New Roman" w:eastAsia="Times New Roman" w:cs="Times New Roman"/>
        </w:rPr>
        <w:t>Basi baada ya hayo nikawaona malaika wanne wamesimama katika pembe nne za dunia, wakiizuia pepo nne za dunia, ili upepo usivume juu ya nchi, wala juu ya bahari, wala juu ya mti wowote. Nami nikamwona malaika mwingine akipanda kutoka mashariki, naye alikuwa na muhuri wa Mungu aliye hai; naye akalia kwa sauti kuu akiwaambia wale malaika wanne, waliopewa kuidhuru nchi na bahari, akisema, Msiidhuru nchi, wala bahari, wala miti, hata tutakapowatia muhuri watumishi wa Mungu wetu katika vipaji vya nyuso zao. Ufunuo 7:1–3.</w:t>
      </w:r>
    </w:p>
    <w:p>
      <w:pPr>
        <w:pStyle w:val="ArticleBody"/>
        <w:jc w:val="left"/>
      </w:pPr>
      <w:r>
        <w:rPr>
          <w:rFonts w:ascii="Times New Roman" w:hAnsi="Times New Roman" w:eastAsia="Times New Roman" w:cs="Times New Roman"/>
        </w:rPr>
        <w:t>چار باد که نگاه داشته شده‌اند، نمایانگرِ مهار شدنِ اسلام است تا مُهر شدنِ قومِ خدا به انجام رسد. اسلام در مکاشفه، هم در سه شیپورِ آخر از هفت شیپور، و هم در سه وای، بازنمایی شده است.</w:t>
      </w:r>
    </w:p>
    <w:p>
      <w:pPr>
        <w:pStyle w:val="ArticleScripture"/>
        <w:jc w:val="left"/>
      </w:pPr>
      <w:r>
        <w:rPr>
          <w:rFonts w:ascii="Times New Roman" w:hAnsi="Times New Roman" w:eastAsia="Times New Roman" w:cs="Times New Roman"/>
        </w:rPr>
        <w:t>Et je regardai, et j’entendis un ange qui volait au milieu du ciel, disant d’une voix forte : Malheur, malheur, malheur aux habitants de la terre, à cause des autres sons de la trompette des trois anges qui vont encore sonner ! Apocalypse 8:13.</w:t>
      </w:r>
    </w:p>
    <w:p>
      <w:pPr>
        <w:pStyle w:val="ArticleBody"/>
        <w:jc w:val="left"/>
      </w:pPr>
      <w:r>
        <w:rPr>
          <w:rFonts w:ascii="Times New Roman" w:hAnsi="Times New Roman" w:eastAsia="Times New Roman" w:cs="Times New Roman"/>
        </w:rPr>
        <w:t>Baada ya kutambulisha baragumu tatu za ole, Yohana anabainisha sifa za Uislamu katika sura ya tisa. Katika aya ya nne ya sura ya tisa, Uislamu unapewa amri, ambayo ilitimizwa katika historia ya Abubekr, kiongozi wa kwanza baada ya Mohammed.</w:t>
      </w:r>
    </w:p>
    <w:p>
      <w:pPr>
        <w:pStyle w:val="ArticleScripture"/>
        <w:jc w:val="left"/>
      </w:pPr>
      <w:r>
        <w:rPr>
          <w:rFonts w:ascii="Times New Roman" w:hAnsi="Times New Roman" w:eastAsia="Times New Roman" w:cs="Times New Roman"/>
        </w:rPr>
        <w:t>Na waliamriwa wasidhuru majani ya nchi, wala kitu chochote kilicho kibichi, wala mti wowote; bali wale watu tu wasio na muhuri wa Mungu katika vipaji vya nyuso zao. Ufunuo 9:4.</w:t>
      </w:r>
    </w:p>
    <w:p>
      <w:pPr>
        <w:pStyle w:val="ArticleBody"/>
        <w:jc w:val="left"/>
      </w:pPr>
      <w:r>
        <w:rPr>
          <w:rFonts w:ascii="Times New Roman" w:hAnsi="Times New Roman" w:eastAsia="Times New Roman" w:cs="Times New Roman"/>
        </w:rPr>
        <w:t>Uriah Smith a identifié le rapport d’Abubekr avec le verset quatre.</w:t>
      </w:r>
    </w:p>
    <w:p>
      <w:pPr>
        <w:pStyle w:val="ArticleScripture"/>
        <w:jc w:val="left"/>
      </w:pPr>
      <w:r>
        <w:rPr>
          <w:rFonts w:ascii="Times New Roman" w:hAnsi="Times New Roman" w:eastAsia="Times New Roman" w:cs="Times New Roman"/>
        </w:rPr>
        <w:t>«بعد وفاة محمد، خلفه في القيادة أبو بكر سنة 632م، الذي ما إن أحكم تثبيت سلطانه وحكومته حتى بعث رسالةً دورية إلى القبائل العربية، وفيما يلي مقتطفٌ منها:</w:t>
      </w:r>
    </w:p>
    <w:p>
      <w:pPr>
        <w:pStyle w:val="ArticleScripture"/>
        <w:jc w:val="left"/>
      </w:pPr>
      <w:r>
        <w:rPr>
          <w:rFonts w:ascii="Times New Roman" w:hAnsi="Times New Roman" w:eastAsia="Times New Roman" w:cs="Times New Roman"/>
        </w:rPr>
        <w:t>«“Lorsque vous livrez les combats du Seigneur, comportez-vous en hommes, sans tourner le dos ; mais que votre victoire ne soit pas souillée par le sang des femmes et des enfants. Ne détruisez aucun palmier et ne brûlez aucun champ de blé. N’abattez aucun arbre fruitier et ne faites aucun mal au bétail, sauf à ceux que vous tuez pour vous nourrir. Lorsque vous concluez quelque alliance ou quelque convention, tenez-vous-y et soyez fidèles à votre parole. Et, au cours de votre marche, vous trouverez des personnes religieuses qui vivent retirées dans des monastères et se proposent de servir Dieu de cette manière ; laissez-les en paix, ne les tuez pas et ne détruisez pas leurs monastères. Et vous trouverez une autre sorte de gens qui appartiennent à la synagogue de Satan, qui ont le sommet de la tête rasé ; veillez à leur fendre le crâne et ne leur faites aucune grâce jusqu’à ce qu’ils deviennent mahométans ou paient tribut.”» Uriah Smith, Daniel and the Revelation, 500.</w:t>
      </w:r>
    </w:p>
    <w:p>
      <w:pPr>
        <w:pStyle w:val="ArticleBody"/>
        <w:jc w:val="left"/>
      </w:pPr>
      <w:r>
        <w:rPr>
          <w:rFonts w:ascii="Segoe UI Historic" w:hAnsi="Segoe UI Historic" w:eastAsia="Segoe UI Historic" w:cs="Segoe UI Historic"/>
        </w:rPr>
        <w:t>ܐܘܪܝܼܐ</w:t>
      </w:r>
      <w:r>
        <w:rPr>
          <w:rFonts w:ascii="Times New Roman" w:hAnsi="Times New Roman" w:eastAsia="Times New Roman" w:cs="Times New Roman"/>
        </w:rPr>
        <w:t xml:space="preserve"> </w:t>
      </w:r>
      <w:r>
        <w:rPr>
          <w:rFonts w:ascii="Segoe UI Historic" w:hAnsi="Segoe UI Historic" w:eastAsia="Segoe UI Historic" w:cs="Segoe UI Historic"/>
        </w:rPr>
        <w:t>ܣܡܝܼܬ݂</w:t>
      </w:r>
      <w:r>
        <w:rPr>
          <w:rFonts w:ascii="Times New Roman" w:hAnsi="Times New Roman" w:eastAsia="Times New Roman" w:cs="Times New Roman"/>
        </w:rPr>
        <w:t xml:space="preserve"> </w:t>
      </w:r>
      <w:r>
        <w:rPr>
          <w:rFonts w:ascii="Segoe UI Historic" w:hAnsi="Segoe UI Historic" w:eastAsia="Segoe UI Historic" w:cs="Segoe UI Historic"/>
        </w:rPr>
        <w:t>ܡܘܿܣܸܦ</w:t>
      </w:r>
      <w:r>
        <w:rPr>
          <w:rFonts w:ascii="Times New Roman" w:hAnsi="Times New Roman" w:eastAsia="Times New Roman" w:cs="Times New Roman"/>
        </w:rPr>
        <w:t xml:space="preserve"> </w:t>
      </w:r>
      <w:r>
        <w:rPr>
          <w:rFonts w:ascii="Segoe UI Historic" w:hAnsi="Segoe UI Historic" w:eastAsia="Segoe UI Historic" w:cs="Segoe UI Historic"/>
        </w:rPr>
        <w:t>ܘܡܫܲܚܠܸܦ</w:t>
      </w:r>
      <w:r>
        <w:rPr>
          <w:rFonts w:ascii="Times New Roman" w:hAnsi="Times New Roman" w:eastAsia="Times New Roman" w:cs="Times New Roman"/>
        </w:rPr>
        <w:t xml:space="preserve"> </w:t>
      </w:r>
      <w:r>
        <w:rPr>
          <w:rFonts w:ascii="Segoe UI Historic" w:hAnsi="Segoe UI Historic" w:eastAsia="Segoe UI Historic" w:cs="Segoe UI Historic"/>
        </w:rPr>
        <w:t>ܠܡܲܙܕܝܼܢܘܼܬ݂ܗ</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ܣܘܿܓ</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ܕܐܝܼܬܘܗܝ</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ܕܢܸܬ݂ܦܲܪܫܘܼܢ</w:t>
      </w:r>
      <w:r>
        <w:rPr>
          <w:rFonts w:ascii="Times New Roman" w:hAnsi="Times New Roman" w:eastAsia="Times New Roman" w:cs="Times New Roman"/>
        </w:rPr>
        <w:t xml:space="preserve"> </w:t>
      </w:r>
      <w:r>
        <w:rPr>
          <w:rFonts w:ascii="Segoe UI Historic" w:hAnsi="Segoe UI Historic" w:eastAsia="Segoe UI Historic" w:cs="Segoe UI Historic"/>
        </w:rPr>
        <w:t>ܡ</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ܠܘܼܚܡܢ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ܐܣܠܵܡܵܝ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ܕܐܒ݂ܘܼܒܟܪ</w:t>
      </w:r>
      <w:r>
        <w:rPr>
          <w:rFonts w:ascii="Times New Roman" w:hAnsi="Times New Roman" w:eastAsia="Times New Roman" w:cs="Times New Roman"/>
        </w:rPr>
        <w:t xml:space="preserve"> </w:t>
      </w:r>
      <w:r>
        <w:rPr>
          <w:rFonts w:ascii="Segoe UI Historic" w:hAnsi="Segoe UI Historic" w:eastAsia="Segoe UI Historic" w:cs="Segoe UI Historic"/>
        </w:rPr>
        <w:t>ܫܲܕܲܪ</w:t>
      </w:r>
      <w:r>
        <w:rPr>
          <w:rFonts w:ascii="Times New Roman" w:hAnsi="Times New Roman" w:eastAsia="Times New Roman" w:cs="Times New Roman"/>
        </w:rPr>
        <w:t xml:space="preserve"> </w:t>
      </w:r>
      <w:r>
        <w:rPr>
          <w:rFonts w:ascii="Segoe UI Historic" w:hAnsi="Segoe UI Historic" w:eastAsia="Segoe UI Historic" w:cs="Segoe UI Historic"/>
        </w:rPr>
        <w:t>ܠܡܲܝܬܵܝܘܼ</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ܪܘܿܡܝ</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ܣܘܿܓܵܐ</w:t>
      </w:r>
      <w:r>
        <w:rPr>
          <w:rFonts w:ascii="Times New Roman" w:hAnsi="Times New Roman" w:eastAsia="Times New Roman" w:cs="Times New Roman"/>
        </w:rPr>
        <w:t xml:space="preserve"> </w:t>
      </w:r>
      <w:r>
        <w:rPr>
          <w:rFonts w:ascii="Segoe UI Historic" w:hAnsi="Segoe UI Historic" w:eastAsia="Segoe UI Historic" w:cs="Segoe UI Historic"/>
        </w:rPr>
        <w:t>ܡܫܲܚܠܸܦ</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ܡܘܢܟ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ܟܵܬܘܿܠܝܼܩ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ܕܣܵܓ݂ܕܝܼܢ</w:t>
      </w:r>
      <w:r>
        <w:rPr>
          <w:rFonts w:ascii="Times New Roman" w:hAnsi="Times New Roman" w:eastAsia="Times New Roman" w:cs="Times New Roman"/>
        </w:rPr>
        <w:t xml:space="preserve"> </w:t>
      </w:r>
      <w:r>
        <w:rPr>
          <w:rFonts w:ascii="Segoe UI Historic" w:hAnsi="Segoe UI Historic" w:eastAsia="Segoe UI Historic" w:cs="Segoe UI Historic"/>
        </w:rPr>
        <w:t>ܒܝܘܿܡ</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ܘܣܘܿܓܵܐ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ܕܗܵܢܘܿܢ</w:t>
      </w:r>
      <w:r>
        <w:rPr>
          <w:rFonts w:ascii="Times New Roman" w:hAnsi="Times New Roman" w:eastAsia="Times New Roman" w:cs="Times New Roman"/>
        </w:rPr>
        <w:t xml:space="preserve"> </w:t>
      </w:r>
      <w:r>
        <w:rPr>
          <w:rFonts w:ascii="Segoe UI Historic" w:hAnsi="Segoe UI Historic" w:eastAsia="Segoe UI Historic" w:cs="Segoe UI Historic"/>
        </w:rPr>
        <w:t>ܕܣܵܓ݂ܕܝܼܢ</w:t>
      </w:r>
      <w:r>
        <w:rPr>
          <w:rFonts w:ascii="Times New Roman" w:hAnsi="Times New Roman" w:eastAsia="Times New Roman" w:cs="Times New Roman"/>
        </w:rPr>
        <w:t xml:space="preserve"> </w:t>
      </w:r>
      <w:r>
        <w:rPr>
          <w:rFonts w:ascii="Segoe UI Historic" w:hAnsi="Segoe UI Historic" w:eastAsia="Segoe UI Historic" w:cs="Segoe UI Historic"/>
        </w:rPr>
        <w:t>ܒܝܘܿܡܵܐ</w:t>
      </w:r>
      <w:r>
        <w:rPr>
          <w:rFonts w:ascii="Times New Roman" w:hAnsi="Times New Roman" w:eastAsia="Times New Roman" w:cs="Times New Roman"/>
        </w:rPr>
        <w:t xml:space="preserve"> </w:t>
      </w:r>
      <w:r>
        <w:rPr>
          <w:rFonts w:ascii="Segoe UI Historic" w:hAnsi="Segoe UI Historic" w:eastAsia="Segoe UI Historic" w:cs="Segoe UI Historic"/>
        </w:rPr>
        <w:t>ܫܒ݂ܝܼܥܵܝܵܐ</w:t>
      </w:r>
      <w:r>
        <w:rPr>
          <w:rFonts w:ascii="Times New Roman" w:hAnsi="Times New Roman" w:eastAsia="Times New Roman" w:cs="Times New Roman"/>
        </w:rPr>
        <w:t xml:space="preserve">. </w:t>
      </w:r>
      <w:r>
        <w:rPr>
          <w:rFonts w:ascii="Segoe UI Historic" w:hAnsi="Segoe UI Historic" w:eastAsia="Segoe UI Historic" w:cs="Segoe UI Historic"/>
        </w:rPr>
        <w:t>ܐܣܠܵܡ</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ܕܬܸܬ݂ܩܪܸܒ݂</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ܣܵܓ݂ܘܿܕ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ܕܫܸܡܫܵܐ</w:t>
      </w:r>
      <w:r>
        <w:rPr>
          <w:rFonts w:ascii="Times New Roman" w:hAnsi="Times New Roman" w:eastAsia="Times New Roman" w:cs="Times New Roman"/>
        </w:rPr>
        <w:t xml:space="preserve">. </w:t>
      </w:r>
      <w:r>
        <w:rPr>
          <w:rFonts w:ascii="Segoe UI Historic" w:hAnsi="Segoe UI Historic" w:eastAsia="Segoe UI Historic" w:cs="Segoe UI Historic"/>
        </w:rPr>
        <w:t>ܘܡ</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ܚܫܝܼܚܘܼܬ݂ܐ</w:t>
      </w:r>
      <w:r>
        <w:rPr>
          <w:rFonts w:ascii="Times New Roman" w:hAnsi="Times New Roman" w:eastAsia="Times New Roman" w:cs="Times New Roman"/>
        </w:rPr>
        <w:t xml:space="preserve"> </w:t>
      </w:r>
      <w:r>
        <w:rPr>
          <w:rFonts w:ascii="Segoe UI Historic" w:hAnsi="Segoe UI Historic" w:eastAsia="Segoe UI Historic" w:cs="Segoe UI Historic"/>
        </w:rPr>
        <w:t>ܠܚܘܼܫܵܒܲܝ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ܕܓܲܒ݂ܪ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ܢܵܛܪ</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ܢܵܛܪ</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ܫܲܒܬܵܐ</w:t>
      </w:r>
      <w:r>
        <w:rPr>
          <w:rFonts w:ascii="Times New Roman" w:hAnsi="Times New Roman" w:eastAsia="Times New Roman" w:cs="Times New Roman"/>
        </w:rPr>
        <w:t xml:space="preserve">، </w:t>
      </w:r>
      <w:r>
        <w:rPr>
          <w:rFonts w:ascii="Segoe UI Historic" w:hAnsi="Segoe UI Historic" w:eastAsia="Segoe UI Historic" w:cs="Segoe UI Historic"/>
        </w:rPr>
        <w:t>ܒܪܸܡܙܵܐ</w:t>
      </w:r>
      <w:r>
        <w:rPr>
          <w:rFonts w:ascii="Times New Roman" w:hAnsi="Times New Roman" w:eastAsia="Times New Roman" w:cs="Times New Roman"/>
        </w:rPr>
        <w:t xml:space="preserve"> </w:t>
      </w:r>
      <w:r>
        <w:rPr>
          <w:rFonts w:ascii="Segoe UI Historic" w:hAnsi="Segoe UI Historic" w:eastAsia="Segoe UI Historic" w:cs="Segoe UI Historic"/>
        </w:rPr>
        <w:t>ܡܸܬ݂ܬܲܨܝܪܝܼܢ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ܥܸܣܒܵܐ</w:t>
      </w:r>
      <w:r>
        <w:rPr>
          <w:rFonts w:ascii="Times New Roman" w:hAnsi="Times New Roman" w:eastAsia="Times New Roman" w:cs="Times New Roman"/>
        </w:rPr>
        <w:t xml:space="preserve">، </w:t>
      </w:r>
      <w:r>
        <w:rPr>
          <w:rFonts w:ascii="Segoe UI Historic" w:hAnsi="Segoe UI Historic" w:eastAsia="Segoe UI Historic" w:cs="Segoe UI Historic"/>
        </w:rPr>
        <w:t>ܘܙܲܪ</w:t>
      </w:r>
      <w:r>
        <w:rPr>
          <w:rFonts w:ascii="Times New Roman" w:hAnsi="Times New Roman" w:eastAsia="Times New Roman" w:cs="Times New Roman"/>
        </w:rPr>
        <w:t>̈</w:t>
      </w:r>
      <w:r>
        <w:rPr>
          <w:rFonts w:ascii="Segoe UI Historic" w:hAnsi="Segoe UI Historic" w:eastAsia="Segoe UI Historic" w:cs="Segoe UI Historic"/>
        </w:rPr>
        <w:t>ܥܹܐ</w:t>
      </w:r>
      <w:r>
        <w:rPr>
          <w:rFonts w:ascii="Times New Roman" w:hAnsi="Times New Roman" w:eastAsia="Times New Roman" w:cs="Times New Roman"/>
        </w:rPr>
        <w:t xml:space="preserve"> </w:t>
      </w:r>
      <w:r>
        <w:rPr>
          <w:rFonts w:ascii="Segoe UI Historic" w:hAnsi="Segoe UI Historic" w:eastAsia="Segoe UI Historic" w:cs="Segoe UI Historic"/>
        </w:rPr>
        <w:t>ܝܲܪ</w:t>
      </w:r>
      <w:r>
        <w:rPr>
          <w:rFonts w:ascii="Times New Roman" w:hAnsi="Times New Roman" w:eastAsia="Times New Roman" w:cs="Times New Roman"/>
        </w:rPr>
        <w:t>̈</w:t>
      </w:r>
      <w:r>
        <w:rPr>
          <w:rFonts w:ascii="Segoe UI Historic" w:hAnsi="Segoe UI Historic" w:eastAsia="Segoe UI Historic" w:cs="Segoe UI Historic"/>
        </w:rPr>
        <w:t>ܘܿܩܹܐ</w:t>
      </w:r>
      <w:r>
        <w:rPr>
          <w:rFonts w:ascii="Times New Roman" w:hAnsi="Times New Roman" w:eastAsia="Times New Roman" w:cs="Times New Roman"/>
        </w:rPr>
        <w:t xml:space="preserve">، </w:t>
      </w:r>
      <w:r>
        <w:rPr>
          <w:rFonts w:ascii="Segoe UI Historic" w:hAnsi="Segoe UI Historic" w:eastAsia="Segoe UI Historic" w:cs="Segoe UI Historic"/>
        </w:rPr>
        <w:t>ܘܐܝܼܠܵܢ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ܘܼܚܹܐ</w:t>
      </w:r>
      <w:r>
        <w:rPr>
          <w:rFonts w:ascii="Times New Roman" w:hAnsi="Times New Roman" w:eastAsia="Times New Roman" w:cs="Times New Roman"/>
        </w:rPr>
        <w:t xml:space="preserve"> </w:t>
      </w:r>
      <w:r>
        <w:rPr>
          <w:rFonts w:ascii="Segoe UI Historic" w:hAnsi="Segoe UI Historic" w:eastAsia="Segoe UI Historic" w:cs="Segoe UI Historic"/>
        </w:rPr>
        <w:t>ܒܦܸܬ݂ܓ݂ܵܡܵܐ</w:t>
      </w:r>
      <w:r>
        <w:rPr>
          <w:rFonts w:ascii="Times New Roman" w:hAnsi="Times New Roman" w:eastAsia="Times New Roman" w:cs="Times New Roman"/>
        </w:rPr>
        <w:t xml:space="preserve"> </w:t>
      </w:r>
      <w:r>
        <w:rPr>
          <w:rFonts w:ascii="Segoe UI Historic" w:hAnsi="Segoe UI Historic" w:eastAsia="Segoe UI Historic" w:cs="Segoe UI Historic"/>
        </w:rPr>
        <w:t>ܫܒ݂ܝܼܥܵܝܵܐ</w:t>
      </w:r>
      <w:r>
        <w:rPr>
          <w:rFonts w:ascii="Times New Roman" w:hAnsi="Times New Roman" w:eastAsia="Times New Roman" w:cs="Times New Roman"/>
        </w:rPr>
        <w:t xml:space="preserve"> </w:t>
      </w:r>
      <w:r>
        <w:rPr>
          <w:rFonts w:ascii="Segoe UI Historic" w:hAnsi="Segoe UI Historic" w:eastAsia="Segoe UI Historic" w:cs="Segoe UI Historic"/>
        </w:rPr>
        <w:t>ܗܘܵܝ</w:t>
      </w:r>
      <w:r>
        <w:rPr>
          <w:rFonts w:ascii="Times New Roman" w:hAnsi="Times New Roman" w:eastAsia="Times New Roman" w:cs="Times New Roman"/>
        </w:rPr>
        <w:t xml:space="preserve">̈ </w:t>
      </w:r>
      <w:r>
        <w:rPr>
          <w:rFonts w:ascii="Segoe UI Historic" w:hAnsi="Segoe UI Historic" w:eastAsia="Segoe UI Historic" w:cs="Segoe UI Historic"/>
        </w:rPr>
        <w:t>ܟܠܝܼܠ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ܡܸܢܫܲܒ݂</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ܥܸܣܒܵܐ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ܕܢܵܛܪ</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ܫܲܒܬܵܐ</w:t>
      </w:r>
      <w:r>
        <w:rPr>
          <w:rFonts w:ascii="Times New Roman" w:hAnsi="Times New Roman" w:eastAsia="Times New Roman" w:cs="Times New Roman"/>
        </w:rPr>
        <w:t xml:space="preserve"> </w:t>
      </w:r>
      <w:r>
        <w:rPr>
          <w:rFonts w:ascii="Segoe UI Historic" w:hAnsi="Segoe UI Historic" w:eastAsia="Segoe UI Historic" w:cs="Segoe UI Historic"/>
        </w:rPr>
        <w:t>ܢܸܬ݂ܚܬܡܘܼܢ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messager du mouvement des cent quarante-quatre mille demande à Dieu : « Que crierai-je ? » Il lui fut répondu que son message devait être que la Parole de Dieu demeure ferme à jamais, et que ce message devait être placé dans le contexte du vent qui souffle sur l’herbe. Lorsque le Consolateur est envoyé aux cent quarante-quatre mille qui ont été déçus à la suite d’une prédiction erronée concernant l’islam, et qui reconnaissent ensuite qu’ils se trouvent dans le temps du retardement de la parabole des dix vierges, le Consolateur les informe alors que le message qu’ils doivent présenter est le message du rôle de l’islam dans la prophétie biblique. L’arrivée du Consolateur, dans l’histoire du temps du retardement, les fait se tenir debout.</w:t>
      </w:r>
    </w:p>
    <w:p>
      <w:pPr>
        <w:pStyle w:val="ArticleScripture"/>
        <w:jc w:val="left"/>
      </w:pPr>
      <w:r>
        <w:rPr>
          <w:rFonts w:ascii="Times New Roman" w:hAnsi="Times New Roman" w:eastAsia="Times New Roman" w:cs="Times New Roman"/>
        </w:rPr>
        <w:t>Ol i tokim mi, “Pikinini bilong man, sanap long tupela lek bilong yu, na bai mi toktok long yu.” Na Spirit i kam insait long mi taim em i toktok long mi, na em i mekim mi sanap long tupela lek bilong mi, na mi harim em i toktok long mi. Esekiel 2:1, 2.</w:t>
      </w:r>
    </w:p>
    <w:p>
      <w:pPr>
        <w:pStyle w:val="ArticleBody"/>
        <w:jc w:val="left"/>
      </w:pPr>
      <w:r>
        <w:rPr>
          <w:rFonts w:ascii="Times New Roman" w:hAnsi="Times New Roman" w:eastAsia="Times New Roman" w:cs="Times New Roman"/>
        </w:rPr>
        <w:t>Wọn dúró nígbà tí a jí wọn dìde.</w:t>
      </w:r>
    </w:p>
    <w:p>
      <w:pPr>
        <w:pStyle w:val="ArticleScripture"/>
        <w:jc w:val="left"/>
      </w:pPr>
      <w:r>
        <w:rPr>
          <w:rFonts w:ascii="Times New Roman" w:hAnsi="Times New Roman" w:eastAsia="Times New Roman" w:cs="Times New Roman"/>
        </w:rPr>
        <w:t>اور مردمانی از قوم‌ها و قبیله‌ها و زبان‌ها و امت‌ها، لاشه‌های ایشان را سه روز و نیم خواهند نگریست و نخواهند گذاشت که لاشه‌های ایشان در قبرها نهاده شود. و ساکنان زمین بر ایشان شادی خواهند کرد و به عیش و سرور خواهند پرداخت و به یکدیگر هدایا خواهند فرستاد، زیرا این دو نبی ساکنان زمین را عذاب می‌دادند. و پس از سه روز و نیم، روحِ حیات از جانب خدا در ایشان داخل شد، و بر پاهای خود ایستادند؛ و خوفی عظیم بر آنان که ایشان را دیدند فرو افتاد. مکاشفه 11:9–11</w:t>
      </w:r>
    </w:p>
    <w:p>
      <w:pPr>
        <w:pStyle w:val="ArticleBody"/>
        <w:jc w:val="left"/>
      </w:pPr>
      <w:r>
        <w:rPr>
          <w:rFonts w:ascii="Times New Roman" w:hAnsi="Times New Roman" w:eastAsia="Times New Roman" w:cs="Times New Roman"/>
        </w:rPr>
        <w:t>Les deux étapes consistant à se tenir debout, puis à être élevé comme l’étendard, sont également représentées par Ézéchiel au chapitre trente-sept. La première étape d’Ézéchiel rassemble les membres du corps des ossements desséchés et morts qui se trouvent dans la vallée de la déception. La seconde étape d’Ézéchiel est le message des quatre vents, qui est le message du scellement, lequel est le message de l’islam.</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ਸਕਦੀਆਂ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ਹੱਡਿਓ</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ਉੱਠੋਗੇ।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ਚੜ੍ਹਾਵਾਂਗਾ</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ਲਿਆਵਾਂਗਾ</w:t>
      </w:r>
      <w:r>
        <w:rPr>
          <w:rFonts w:ascii="Times New Roman" w:hAnsi="Times New Roman" w:eastAsia="Times New Roman" w:cs="Times New Roman"/>
        </w:rPr>
        <w:t xml:space="preserve">, </w:t>
      </w:r>
      <w:r>
        <w:rPr>
          <w:rFonts w:ascii="Nirmala UI" w:hAnsi="Nirmala UI" w:eastAsia="Nirmala UI" w:cs="Nirmala UI"/>
        </w:rPr>
        <w:t>ਤੁਹਾਨੂੰ</w:t>
      </w:r>
      <w:r>
        <w:rPr>
          <w:rFonts w:ascii="Times New Roman" w:hAnsi="Times New Roman" w:eastAsia="Times New Roman" w:cs="Times New Roman"/>
        </w:rPr>
        <w:t xml:space="preserve"> </w:t>
      </w:r>
      <w:r>
        <w:rPr>
          <w:rFonts w:ascii="Nirmala UI" w:hAnsi="Nirmala UI" w:eastAsia="Nirmala UI" w:cs="Nirmala UI"/>
        </w:rPr>
        <w:t>ਚਮੜੀ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ਢੱਕਾਂਗਾ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ਪਾਵਾਂਗਾ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ਉੱਠੋਗੇ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ਲਵੋਗੇ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ਕੰਬਣ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ਹੱਡੀ</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ਹੱਡੀ</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ਚਮੜੀ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ਢੱਕ</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ਪਵਨ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ਪਵਨ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ਯੋਂ</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ਪਵਨਾਂ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ਘਾਤ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ਫੂੰਕ</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ਉੱਠਣ।</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37:3–10</w:t>
      </w:r>
      <w:r>
        <w:rPr>
          <w:rFonts w:ascii="Nirmala UI" w:hAnsi="Nirmala UI" w:eastAsia="Nirmala UI" w:cs="Nirmala UI"/>
        </w:rPr>
        <w:t>।</w:t>
      </w:r>
    </w:p>
    <w:p>
      <w:pPr>
        <w:pStyle w:val="ArticleBody"/>
        <w:jc w:val="left"/>
      </w:pPr>
      <w:r>
        <w:rPr>
          <w:rFonts w:ascii="Times New Roman" w:hAnsi="Times New Roman" w:eastAsia="Times New Roman" w:cs="Times New Roman"/>
        </w:rPr>
        <w:t>Dans le passage d’Ésaïe que nous considérons actuellement, lorsque le Consolateur arrive, ils se tiennent sur leurs pieds; puis ils sont élevés sur une haute montagne comme une bannière, et proclament la « bonne nouvelle », qui est la pluie de l’arrière-saison, le message du troisième ange.</w:t>
      </w:r>
    </w:p>
    <w:p>
      <w:pPr>
        <w:pStyle w:val="ArticleScripture"/>
        <w:jc w:val="left"/>
      </w:pPr>
      <w:r>
        <w:rPr>
          <w:rFonts w:ascii="Times New Roman" w:hAnsi="Times New Roman" w:eastAsia="Times New Roman" w:cs="Times New Roman"/>
        </w:rPr>
        <w:t>ئ زيون، اتي چې ښه زېرى راوړې، لوړې غره ته وخېژه؛ اې اورشليم، اتي چې ښه زېرى راوړې، خپل غږ په قوت پورته کړه؛ پورته يې کړه، مه وېرېږه؛ د يهودا ښارونو ته ووايه: ګورئ، ستاسو خدای! ګورئ، مالِک خدای به په زورور لاس راشي، او د هغه بازو به د هغه لپاره واکمني وکړي؛ ګورئ، د هغه اجر له هغه سره دی، او د هغه بدله د هغه مخې ته ده. هغه به خپله رمه د شپانه په شان وڅروي؛ وريان به په خپل بازو راټول کړي، او په خپله غېږ کې به يې يوسي، او هغه چې بچي لري په نرمتيا سره به رهبري کړي. چا د خپل لاس په تل کې اوبه پيمانه کړې دي، او اسمانونه يې په څپانده اندازه کړي دي، او د ځمکې دوړه يې په پيمانه کې راټوله کړې ده، او غرونه يې په ترازو کې تللي دي، او غونډۍ يې په تله کې؟ چا د مالِک روح ته لوری ورکړی دی، يا د هغه سلاکار ګرځېدلی او هغه ته يې ښوونه کړې ده؟ له چا سره يې سلا کړې ده، او چا هغه ته لارښوونه کړې ده، او د عدالت په لاره کې يې ښوولی دی، او پوهه يې ورزده کړې ده، او د فهم لار يې ورته ښودلې ده؟ ګورئ، قومونه د سطل د يو څاڅکي په شان دي، او د ترازو د وړې دوړې په څېر شمېرل کېږي؛ ګورئ، هغه ټاپوګان د يو ډېر کوچني شي په شان پورته کوي. او لبنان د سوځولو لپاره بسنه نه کوي، او د هغه ځناور د سوزېدونکې نذرانه لپاره بسنه نه کوي. ټول قومونه د هغه په وړاندې د هېڅ په شان دي؛ او د هغه په وړاندې تر هېڅ هم کم، او باطل ګڼل کېږي. اشعياه ۴۰:۹–۱۷.</w:t>
      </w:r>
    </w:p>
    <w:p>
      <w:pPr>
        <w:pStyle w:val="ArticleBody"/>
        <w:jc w:val="left"/>
      </w:pPr>
      <w:r>
        <w:rPr>
          <w:rFonts w:ascii="Times New Roman" w:hAnsi="Times New Roman" w:eastAsia="Times New Roman" w:cs="Times New Roman"/>
        </w:rPr>
        <w:t>Ang mga lumabas mula sa kanilang mga libingan ay itinataas bilang isang watawat, o gaya ng ipinakikilala ni Isaias, sila ay dinadala sa “isang mataas na bundok.” Ang mataas na bundok ang siyang watawat, at ito ay kumakatawan sa mga naghihintay sa Panginoon sa panahon ng pagpapalugit na pinasimulan ng unang kabiguan noong Hulyo 18, 2020.</w:t>
      </w:r>
    </w:p>
    <w:p>
      <w:pPr>
        <w:pStyle w:val="ArticleScripture"/>
        <w:jc w:val="left"/>
      </w:pPr>
      <w:r>
        <w:rPr>
          <w:rFonts w:ascii="Times New Roman" w:hAnsi="Times New Roman" w:eastAsia="Times New Roman" w:cs="Times New Roman"/>
        </w:rPr>
        <w:t>À la menace d’un seul, mille prendront la fuite; à la menace de cinq, vous fuirez, jusqu’à ce que vous restiez comme un signal au sommet d’une montagne, et comme une bannière sur une colline. C’est pourquoi l’Éternel attend pour vous faire grâce, c’est pourquoi il se lèvera pour vous faire miséricorde; car l’Éternel est un Dieu de justice: heureux tous ceux qui espèrent en lui. Ésaïe 30:17, 18.</w:t>
      </w:r>
    </w:p>
    <w:p>
      <w:pPr>
        <w:pStyle w:val="ArticleBody"/>
        <w:jc w:val="left"/>
      </w:pPr>
      <w:r>
        <w:rPr>
          <w:rFonts w:ascii="Times New Roman" w:hAnsi="Times New Roman" w:eastAsia="Times New Roman" w:cs="Times New Roman"/>
        </w:rPr>
        <w:t>Mu Nreveyo ikumi na kumwe ibendera ryazamuwe rijyanwa mu ijuru.</w:t>
      </w:r>
    </w:p>
    <w:p>
      <w:pPr>
        <w:pStyle w:val="ArticleScripture"/>
        <w:jc w:val="left"/>
      </w:pPr>
      <w:r>
        <w:rPr>
          <w:rFonts w:ascii="Times New Roman" w:hAnsi="Times New Roman" w:eastAsia="Times New Roman" w:cs="Times New Roman"/>
        </w:rPr>
        <w:t>Alors ils entendirent du ciel une voix forte qui leur disait : Montez ici. Et ils montèrent au ciel dans une nuée ; et leurs ennemis les virent. À cette même heure, il y eut un grand tremblement de terre ; le dixième de la ville tomba, et sept mille hommes périrent dans ce tremblement de terre ; et le reste fut saisi de frayeur et rendit gloire au Dieu du ciel. Apocalypse 11:12, 13.</w:t>
      </w:r>
    </w:p>
    <w:p>
      <w:pPr>
        <w:pStyle w:val="ArticleBody"/>
        <w:jc w:val="left"/>
      </w:pPr>
      <w:r>
        <w:rPr>
          <w:rFonts w:ascii="Times New Roman" w:hAnsi="Times New Roman" w:eastAsia="Times New Roman" w:cs="Times New Roman"/>
        </w:rPr>
        <w:t>L’Apocalypse chapitre onze indique que les deux témoins sont élevés au ciel à la même heure que le tremblement de terre. Le tremblement de terre qui, dans l’histoire passée, trouva son accomplissement dans la Révolution française, préfigure le renversement des États-Unis lors de la loi dominicale. L’étendard est donc élevé lors de la loi dominicale, et l’étendard proclame alors les « bonnes nouvelles » au monde entier.</w:t>
      </w:r>
    </w:p>
    <w:p>
      <w:pPr>
        <w:pStyle w:val="ArticleScripture"/>
        <w:jc w:val="left"/>
      </w:pPr>
      <w:r>
        <w:rPr>
          <w:rFonts w:ascii="Leelawadee UI" w:hAnsi="Leelawadee UI" w:eastAsia="Leelawadee UI" w:cs="Leelawadee UI"/>
        </w:rPr>
        <w:t>អ្នករស់នៅទាំងអស់លើពិភពលោក</w:t>
      </w:r>
      <w:r>
        <w:rPr>
          <w:rFonts w:ascii="Times New Roman" w:hAnsi="Times New Roman" w:eastAsia="Times New Roman" w:cs="Times New Roman"/>
        </w:rPr>
        <w:t xml:space="preserve"> </w:t>
      </w:r>
      <w:r>
        <w:rPr>
          <w:rFonts w:ascii="Leelawadee UI" w:hAnsi="Leelawadee UI" w:eastAsia="Leelawadee UI" w:cs="Leelawadee UI"/>
        </w:rPr>
        <w:t>និងអ្នកស្នាក់នៅលើផែនដីអើយ</w:t>
      </w:r>
      <w:r>
        <w:rPr>
          <w:rFonts w:ascii="Times New Roman" w:hAnsi="Times New Roman" w:eastAsia="Times New Roman" w:cs="Times New Roman"/>
        </w:rPr>
        <w:t xml:space="preserve"> </w:t>
      </w:r>
      <w:r>
        <w:rPr>
          <w:rFonts w:ascii="Leelawadee UI" w:hAnsi="Leelawadee UI" w:eastAsia="Leelawadee UI" w:cs="Leelawadee UI"/>
        </w:rPr>
        <w:t>ចូរមើល</w:t>
      </w:r>
      <w:r>
        <w:rPr>
          <w:rFonts w:ascii="Times New Roman" w:hAnsi="Times New Roman" w:eastAsia="Times New Roman" w:cs="Times New Roman"/>
        </w:rPr>
        <w:t xml:space="preserve"> </w:t>
      </w:r>
      <w:r>
        <w:rPr>
          <w:rFonts w:ascii="Leelawadee UI" w:hAnsi="Leelawadee UI" w:eastAsia="Leelawadee UI" w:cs="Leelawadee UI"/>
        </w:rPr>
        <w:t>នៅពេលដែលទ្រង់លើកទង់សញ្ញាមួយឡើងលើភ្នំទាំងឡាយ</w:t>
      </w:r>
      <w:r>
        <w:rPr>
          <w:rFonts w:ascii="Times New Roman" w:hAnsi="Times New Roman" w:eastAsia="Times New Roman" w:cs="Times New Roman"/>
        </w:rPr>
        <w:t xml:space="preserve">; </w:t>
      </w:r>
      <w:r>
        <w:rPr>
          <w:rFonts w:ascii="Leelawadee UI" w:hAnsi="Leelawadee UI" w:eastAsia="Leelawadee UI" w:cs="Leelawadee UI"/>
        </w:rPr>
        <w:t>ហើយនៅពេលដែលទ្រង់ផ្លុំត្រែ</w:t>
      </w:r>
      <w:r>
        <w:rPr>
          <w:rFonts w:ascii="Times New Roman" w:hAnsi="Times New Roman" w:eastAsia="Times New Roman" w:cs="Times New Roman"/>
        </w:rPr>
        <w:t xml:space="preserve"> </w:t>
      </w:r>
      <w:r>
        <w:rPr>
          <w:rFonts w:ascii="Leelawadee UI" w:hAnsi="Leelawadee UI" w:eastAsia="Leelawadee UI" w:cs="Leelawadee UI"/>
        </w:rPr>
        <w:t>ចូរស្តាប់។</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18:3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The ensign sallallaa “oduu gaarii” yeroo “malakataan” afuufamu ni dhiheessa. Ergaan malakata dhumaa kan Mul’ataa keessaa jiru malakata torbaffaadha; innis balaa sadaffaa ti; innis Islaama. Isaayyaas, Yohaannis, fi Hisqi’eel hundinuu waa’ee guyyoota dhumaa dubbatu; isaanis wal hin faallessan.</w:t>
      </w:r>
    </w:p>
    <w:p>
      <w:pPr>
        <w:pStyle w:val="ArticleBody"/>
        <w:jc w:val="left"/>
      </w:pPr>
      <w:r>
        <w:rPr>
          <w:rFonts w:ascii="Times New Roman" w:hAnsi="Times New Roman" w:eastAsia="Times New Roman" w:cs="Times New Roman"/>
        </w:rPr>
        <w:t>Le sceau de Dieu est apposé sur le peuple de Dieu au moment de la loi du dimanche.</w:t>
      </w:r>
    </w:p>
    <w:p>
      <w:pPr>
        <w:pStyle w:val="ArticleScripture"/>
        <w:jc w:val="left"/>
      </w:pPr>
      <w:r>
        <w:rPr>
          <w:rFonts w:ascii="Times New Roman" w:hAnsi="Times New Roman" w:eastAsia="Times New Roman" w:cs="Times New Roman"/>
        </w:rPr>
        <w:t>« Aucun d’entre nous ne recevra jamais le sceau de Dieu tant que nos caractères porteront sur eux une seule tache ou souillure. Il nous appartient de remédier aux défauts de nos caractères, de purifier le temple de l’âme de toute impureté. Alors la pluie de l’arrière-saison tombera sur nous, comme la première pluie tomba sur les disciples au jour de la Pentecôte.... »</w:t>
      </w:r>
    </w:p>
    <w:p>
      <w:pPr>
        <w:pStyle w:val="ArticleScripture"/>
        <w:jc w:val="left"/>
      </w:pPr>
      <w:r>
        <w:rPr>
          <w:rFonts w:ascii="Times New Roman" w:hAnsi="Times New Roman" w:eastAsia="Times New Roman" w:cs="Times New Roman"/>
        </w:rPr>
        <w:t>«Շի՛նչ էք անում, եղբայրնե՛ր, պատրաստության այս մեծ գործում։ Նրանք, ովքեր միավորվում են աշխարհի հետ, ընդունում են աշխարհային կաղապարը և պատրաստվում են գազանի դրոշմին։ Իսկ նրանք, ովքեր անվստահ են իրենց անձին, ովքեր խոնարհվում են Աստծո առաջ և ճշմարտությանը հնազանդվելով մաքրում են իրենց հոգիները, նրանք ընդունում են երկնային կաղապարը և պատրաստվում են Աստծո կնիքին իրենց ճակատների վրա։ Երբ հրովարտակը դուրս գա և դրոշմը դրվի, նրանց բնավորությունը հավիտենության համար կմնա մաքուր և անբիծ»։ Վկայություններ, հատոր 5, 214–216։</w:t>
      </w:r>
    </w:p>
    <w:p>
      <w:pPr>
        <w:pStyle w:val="ArticleBody"/>
        <w:jc w:val="left"/>
      </w:pPr>
      <w:r>
        <w:rPr>
          <w:rFonts w:ascii="Times New Roman" w:hAnsi="Times New Roman" w:eastAsia="Times New Roman" w:cs="Times New Roman"/>
        </w:rPr>
        <w:t>Nahoana na dia apetraka amin’ny lalàn’ny Alahady aza ny didy, ireo izay handray ny tombo-kase dia tsy maintsy manana toetra voaomana ho amin’ny tombo-kase mialoha ny lalàn’ny Alahady, satria ny lalàn’ny Alahady no krizy izay itondran’ny krizy rehetra ao amin’ny tenin’Andriamanitra ny fijeriny mialoha. Izy no “krizy”, na “antso”, amin’ny misasakalina ao amin’ny fanoharana momba ireo virijina folo.</w:t>
      </w:r>
    </w:p>
    <w:p>
      <w:pPr>
        <w:pStyle w:val="ArticleScripture"/>
        <w:jc w:val="left"/>
      </w:pPr>
      <w:r>
        <w:rPr>
          <w:rFonts w:ascii="Times New Roman" w:hAnsi="Times New Roman" w:eastAsia="Times New Roman" w:cs="Times New Roman"/>
        </w:rPr>
        <w:t>„</w:t>
      </w:r>
      <w:r>
        <w:rPr>
          <w:rFonts w:ascii="Sylfaen" w:hAnsi="Sylfaen" w:eastAsia="Sylfaen" w:cs="Sylfaen"/>
        </w:rPr>
        <w:t>ხასიათი</w:t>
      </w:r>
      <w:r>
        <w:rPr>
          <w:rFonts w:ascii="Times New Roman" w:hAnsi="Times New Roman" w:eastAsia="Times New Roman" w:cs="Times New Roman"/>
        </w:rPr>
        <w:t xml:space="preserve"> </w:t>
      </w:r>
      <w:r>
        <w:rPr>
          <w:rFonts w:ascii="Sylfaen" w:hAnsi="Sylfaen" w:eastAsia="Sylfaen" w:cs="Sylfaen"/>
        </w:rPr>
        <w:t>კრიზისის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ვლინდება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შუაღამისას</w:t>
      </w:r>
      <w:r>
        <w:rPr>
          <w:rFonts w:ascii="Times New Roman" w:hAnsi="Times New Roman" w:eastAsia="Times New Roman" w:cs="Times New Roman"/>
        </w:rPr>
        <w:t xml:space="preserve"> </w:t>
      </w:r>
      <w:r>
        <w:rPr>
          <w:rFonts w:ascii="Sylfaen" w:hAnsi="Sylfaen" w:eastAsia="Sylfaen" w:cs="Sylfaen"/>
        </w:rPr>
        <w:t>გულმოდგინე</w:t>
      </w:r>
      <w:r>
        <w:rPr>
          <w:rFonts w:ascii="Times New Roman" w:hAnsi="Times New Roman" w:eastAsia="Times New Roman" w:cs="Times New Roman"/>
        </w:rPr>
        <w:t xml:space="preserve"> </w:t>
      </w:r>
      <w:r>
        <w:rPr>
          <w:rFonts w:ascii="Sylfaen" w:hAnsi="Sylfaen" w:eastAsia="Sylfaen" w:cs="Sylfaen"/>
        </w:rPr>
        <w:t>ხმამ</w:t>
      </w:r>
      <w:r>
        <w:rPr>
          <w:rFonts w:ascii="Times New Roman" w:hAnsi="Times New Roman" w:eastAsia="Times New Roman" w:cs="Times New Roman"/>
        </w:rPr>
        <w:t xml:space="preserve"> </w:t>
      </w:r>
      <w:r>
        <w:rPr>
          <w:rFonts w:ascii="Sylfaen" w:hAnsi="Sylfaen" w:eastAsia="Sylfaen" w:cs="Sylfaen"/>
        </w:rPr>
        <w:t>გამოაცხადა</w:t>
      </w:r>
      <w:r>
        <w:rPr>
          <w:rFonts w:ascii="Times New Roman" w:hAnsi="Times New Roman" w:eastAsia="Times New Roman" w:cs="Times New Roman"/>
        </w:rPr>
        <w:t>: „</w:t>
      </w:r>
      <w:r>
        <w:rPr>
          <w:rFonts w:ascii="Sylfaen" w:hAnsi="Sylfaen" w:eastAsia="Sylfaen" w:cs="Sylfaen"/>
        </w:rPr>
        <w:t>აჰა</w:t>
      </w:r>
      <w:r>
        <w:rPr>
          <w:rFonts w:ascii="Times New Roman" w:hAnsi="Times New Roman" w:eastAsia="Times New Roman" w:cs="Times New Roman"/>
        </w:rPr>
        <w:t xml:space="preserve">, </w:t>
      </w:r>
      <w:r>
        <w:rPr>
          <w:rFonts w:ascii="Sylfaen" w:hAnsi="Sylfaen" w:eastAsia="Sylfaen" w:cs="Sylfaen"/>
        </w:rPr>
        <w:t>სიძე</w:t>
      </w:r>
      <w:r>
        <w:rPr>
          <w:rFonts w:ascii="Times New Roman" w:hAnsi="Times New Roman" w:eastAsia="Times New Roman" w:cs="Times New Roman"/>
        </w:rPr>
        <w:t xml:space="preserve"> </w:t>
      </w:r>
      <w:r>
        <w:rPr>
          <w:rFonts w:ascii="Sylfaen" w:hAnsi="Sylfaen" w:eastAsia="Sylfaen" w:cs="Sylfaen"/>
        </w:rPr>
        <w:t>მოდის</w:t>
      </w:r>
      <w:r>
        <w:rPr>
          <w:rFonts w:ascii="Times New Roman" w:hAnsi="Times New Roman" w:eastAsia="Times New Roman" w:cs="Times New Roman"/>
        </w:rPr>
        <w:t xml:space="preserve">; </w:t>
      </w:r>
      <w:r>
        <w:rPr>
          <w:rFonts w:ascii="Sylfaen" w:hAnsi="Sylfaen" w:eastAsia="Sylfaen" w:cs="Sylfaen"/>
        </w:rPr>
        <w:t>გამოდით</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შესახვედრად</w:t>
      </w:r>
      <w:r>
        <w:rPr>
          <w:rFonts w:ascii="Times New Roman" w:hAnsi="Times New Roman" w:eastAsia="Times New Roman" w:cs="Times New Roman"/>
        </w:rPr>
        <w:t xml:space="preserve">,“ </w:t>
      </w:r>
      <w:r>
        <w:rPr>
          <w:rFonts w:ascii="Sylfaen" w:hAnsi="Sylfaen" w:eastAsia="Sylfaen" w:cs="Sylfaen"/>
        </w:rPr>
        <w:t>მძინარე</w:t>
      </w:r>
      <w:r>
        <w:rPr>
          <w:rFonts w:ascii="Times New Roman" w:hAnsi="Times New Roman" w:eastAsia="Times New Roman" w:cs="Times New Roman"/>
        </w:rPr>
        <w:t xml:space="preserve"> </w:t>
      </w:r>
      <w:r>
        <w:rPr>
          <w:rFonts w:ascii="Sylfaen" w:hAnsi="Sylfaen" w:eastAsia="Sylfaen" w:cs="Sylfaen"/>
        </w:rPr>
        <w:t>ქალწულები</w:t>
      </w:r>
      <w:r>
        <w:rPr>
          <w:rFonts w:ascii="Times New Roman" w:hAnsi="Times New Roman" w:eastAsia="Times New Roman" w:cs="Times New Roman"/>
        </w:rPr>
        <w:t xml:space="preserve"> </w:t>
      </w:r>
      <w:r>
        <w:rPr>
          <w:rFonts w:ascii="Sylfaen" w:hAnsi="Sylfaen" w:eastAsia="Sylfaen" w:cs="Sylfaen"/>
        </w:rPr>
        <w:t>ძილისგან</w:t>
      </w:r>
      <w:r>
        <w:rPr>
          <w:rFonts w:ascii="Times New Roman" w:hAnsi="Times New Roman" w:eastAsia="Times New Roman" w:cs="Times New Roman"/>
        </w:rPr>
        <w:t xml:space="preserve"> </w:t>
      </w:r>
      <w:r>
        <w:rPr>
          <w:rFonts w:ascii="Sylfaen" w:hAnsi="Sylfaen" w:eastAsia="Sylfaen" w:cs="Sylfaen"/>
        </w:rPr>
        <w:t>გამოერკვნენ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გამოიკვეთა</w:t>
      </w:r>
      <w:r>
        <w:rPr>
          <w:rFonts w:ascii="Times New Roman" w:hAnsi="Times New Roman" w:eastAsia="Times New Roman" w:cs="Times New Roman"/>
        </w:rPr>
        <w:t xml:space="preserve">, </w:t>
      </w:r>
      <w:r>
        <w:rPr>
          <w:rFonts w:ascii="Sylfaen" w:hAnsi="Sylfaen" w:eastAsia="Sylfaen" w:cs="Sylfaen"/>
        </w:rPr>
        <w:t>ვის</w:t>
      </w:r>
      <w:r>
        <w:rPr>
          <w:rFonts w:ascii="Times New Roman" w:hAnsi="Times New Roman" w:eastAsia="Times New Roman" w:cs="Times New Roman"/>
        </w:rPr>
        <w:t xml:space="preserve"> </w:t>
      </w:r>
      <w:r>
        <w:rPr>
          <w:rFonts w:ascii="Sylfaen" w:hAnsi="Sylfaen" w:eastAsia="Sylfaen" w:cs="Sylfaen"/>
        </w:rPr>
        <w:t>ჰქონდა</w:t>
      </w:r>
      <w:r>
        <w:rPr>
          <w:rFonts w:ascii="Times New Roman" w:hAnsi="Times New Roman" w:eastAsia="Times New Roman" w:cs="Times New Roman"/>
        </w:rPr>
        <w:t xml:space="preserve"> </w:t>
      </w:r>
      <w:r>
        <w:rPr>
          <w:rFonts w:ascii="Sylfaen" w:hAnsi="Sylfaen" w:eastAsia="Sylfaen" w:cs="Sylfaen"/>
        </w:rPr>
        <w:t>მზადება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მოვლენისათვის</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მხარე</w:t>
      </w:r>
      <w:r>
        <w:rPr>
          <w:rFonts w:ascii="Times New Roman" w:hAnsi="Times New Roman" w:eastAsia="Times New Roman" w:cs="Times New Roman"/>
        </w:rPr>
        <w:t xml:space="preserve"> </w:t>
      </w:r>
      <w:r>
        <w:rPr>
          <w:rFonts w:ascii="Sylfaen" w:hAnsi="Sylfaen" w:eastAsia="Sylfaen" w:cs="Sylfaen"/>
        </w:rPr>
        <w:t>მოულოდნელად</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შეპყრობილი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მზად</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საგანგებო</w:t>
      </w:r>
      <w:r>
        <w:rPr>
          <w:rFonts w:ascii="Times New Roman" w:hAnsi="Times New Roman" w:eastAsia="Times New Roman" w:cs="Times New Roman"/>
        </w:rPr>
        <w:t xml:space="preserve"> </w:t>
      </w:r>
      <w:r>
        <w:rPr>
          <w:rFonts w:ascii="Sylfaen" w:hAnsi="Sylfaen" w:eastAsia="Sylfaen" w:cs="Sylfaen"/>
        </w:rPr>
        <w:t>მდგომარეობისათვის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მოუმზადებელი</w:t>
      </w:r>
      <w:r>
        <w:rPr>
          <w:rFonts w:ascii="Times New Roman" w:hAnsi="Times New Roman" w:eastAsia="Times New Roman" w:cs="Times New Roman"/>
        </w:rPr>
        <w:t xml:space="preserve"> </w:t>
      </w:r>
      <w:r>
        <w:rPr>
          <w:rFonts w:ascii="Sylfaen" w:hAnsi="Sylfaen" w:eastAsia="Sylfaen" w:cs="Sylfaen"/>
        </w:rPr>
        <w:t>აღმოჩნდა</w:t>
      </w:r>
      <w:r>
        <w:rPr>
          <w:rFonts w:ascii="Times New Roman" w:hAnsi="Times New Roman" w:eastAsia="Times New Roman" w:cs="Times New Roman"/>
        </w:rPr>
        <w:t xml:space="preserve">. </w:t>
      </w:r>
      <w:r>
        <w:rPr>
          <w:rFonts w:ascii="Sylfaen" w:hAnsi="Sylfaen" w:eastAsia="Sylfaen" w:cs="Sylfaen"/>
        </w:rPr>
        <w:t>ხასიათი</w:t>
      </w:r>
      <w:r>
        <w:rPr>
          <w:rFonts w:ascii="Times New Roman" w:hAnsi="Times New Roman" w:eastAsia="Times New Roman" w:cs="Times New Roman"/>
        </w:rPr>
        <w:t xml:space="preserve"> </w:t>
      </w:r>
      <w:r>
        <w:rPr>
          <w:rFonts w:ascii="Sylfaen" w:hAnsi="Sylfaen" w:eastAsia="Sylfaen" w:cs="Sylfaen"/>
        </w:rPr>
        <w:t>გარემოებებით</w:t>
      </w:r>
      <w:r>
        <w:rPr>
          <w:rFonts w:ascii="Times New Roman" w:hAnsi="Times New Roman" w:eastAsia="Times New Roman" w:cs="Times New Roman"/>
        </w:rPr>
        <w:t xml:space="preserve"> </w:t>
      </w:r>
      <w:r>
        <w:rPr>
          <w:rFonts w:ascii="Sylfaen" w:hAnsi="Sylfaen" w:eastAsia="Sylfaen" w:cs="Sylfaen"/>
        </w:rPr>
        <w:t>ვლინდება</w:t>
      </w:r>
      <w:r>
        <w:rPr>
          <w:rFonts w:ascii="Times New Roman" w:hAnsi="Times New Roman" w:eastAsia="Times New Roman" w:cs="Times New Roman"/>
        </w:rPr>
        <w:t xml:space="preserve">. </w:t>
      </w:r>
      <w:r>
        <w:rPr>
          <w:rFonts w:ascii="Sylfaen" w:hAnsi="Sylfaen" w:eastAsia="Sylfaen" w:cs="Sylfaen"/>
        </w:rPr>
        <w:t>საგანგებო</w:t>
      </w:r>
      <w:r>
        <w:rPr>
          <w:rFonts w:ascii="Times New Roman" w:hAnsi="Times New Roman" w:eastAsia="Times New Roman" w:cs="Times New Roman"/>
        </w:rPr>
        <w:t xml:space="preserve"> </w:t>
      </w:r>
      <w:r>
        <w:rPr>
          <w:rFonts w:ascii="Sylfaen" w:hAnsi="Sylfaen" w:eastAsia="Sylfaen" w:cs="Sylfaen"/>
        </w:rPr>
        <w:t>ვითარებანი</w:t>
      </w:r>
      <w:r>
        <w:rPr>
          <w:rFonts w:ascii="Times New Roman" w:hAnsi="Times New Roman" w:eastAsia="Times New Roman" w:cs="Times New Roman"/>
        </w:rPr>
        <w:t xml:space="preserve"> </w:t>
      </w:r>
      <w:r>
        <w:rPr>
          <w:rFonts w:ascii="Sylfaen" w:hAnsi="Sylfaen" w:eastAsia="Sylfaen" w:cs="Sylfaen"/>
        </w:rPr>
        <w:t>ხასიათის</w:t>
      </w:r>
      <w:r>
        <w:rPr>
          <w:rFonts w:ascii="Times New Roman" w:hAnsi="Times New Roman" w:eastAsia="Times New Roman" w:cs="Times New Roman"/>
        </w:rPr>
        <w:t xml:space="preserve"> </w:t>
      </w:r>
      <w:r>
        <w:rPr>
          <w:rFonts w:ascii="Sylfaen" w:hAnsi="Sylfaen" w:eastAsia="Sylfaen" w:cs="Sylfaen"/>
        </w:rPr>
        <w:t>ნამდვილ</w:t>
      </w:r>
      <w:r>
        <w:rPr>
          <w:rFonts w:ascii="Times New Roman" w:hAnsi="Times New Roman" w:eastAsia="Times New Roman" w:cs="Times New Roman"/>
        </w:rPr>
        <w:t xml:space="preserve"> </w:t>
      </w:r>
      <w:r>
        <w:rPr>
          <w:rFonts w:ascii="Sylfaen" w:hAnsi="Sylfaen" w:eastAsia="Sylfaen" w:cs="Sylfaen"/>
        </w:rPr>
        <w:t>ბუნებას</w:t>
      </w:r>
      <w:r>
        <w:rPr>
          <w:rFonts w:ascii="Times New Roman" w:hAnsi="Times New Roman" w:eastAsia="Times New Roman" w:cs="Times New Roman"/>
        </w:rPr>
        <w:t xml:space="preserve"> </w:t>
      </w:r>
      <w:r>
        <w:rPr>
          <w:rFonts w:ascii="Sylfaen" w:hAnsi="Sylfaen" w:eastAsia="Sylfaen" w:cs="Sylfaen"/>
        </w:rPr>
        <w:t>ამჟღავნებს</w:t>
      </w:r>
      <w:r>
        <w:rPr>
          <w:rFonts w:ascii="Times New Roman" w:hAnsi="Times New Roman" w:eastAsia="Times New Roman" w:cs="Times New Roman"/>
        </w:rPr>
        <w:t xml:space="preserve">. </w:t>
      </w:r>
      <w:r>
        <w:rPr>
          <w:rFonts w:ascii="Sylfaen" w:hAnsi="Sylfaen" w:eastAsia="Sylfaen" w:cs="Sylfaen"/>
        </w:rPr>
        <w:t>რომელიმე</w:t>
      </w:r>
      <w:r>
        <w:rPr>
          <w:rFonts w:ascii="Times New Roman" w:hAnsi="Times New Roman" w:eastAsia="Times New Roman" w:cs="Times New Roman"/>
        </w:rPr>
        <w:t xml:space="preserve"> </w:t>
      </w:r>
      <w:r>
        <w:rPr>
          <w:rFonts w:ascii="Sylfaen" w:hAnsi="Sylfaen" w:eastAsia="Sylfaen" w:cs="Sylfaen"/>
        </w:rPr>
        <w:t>უეცარი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მოულოდნელი</w:t>
      </w:r>
      <w:r>
        <w:rPr>
          <w:rFonts w:ascii="Times New Roman" w:hAnsi="Times New Roman" w:eastAsia="Times New Roman" w:cs="Times New Roman"/>
        </w:rPr>
        <w:t xml:space="preserve"> </w:t>
      </w:r>
      <w:r>
        <w:rPr>
          <w:rFonts w:ascii="Sylfaen" w:hAnsi="Sylfaen" w:eastAsia="Sylfaen" w:cs="Sylfaen"/>
        </w:rPr>
        <w:t>უბედურება</w:t>
      </w:r>
      <w:r>
        <w:rPr>
          <w:rFonts w:ascii="Times New Roman" w:hAnsi="Times New Roman" w:eastAsia="Times New Roman" w:cs="Times New Roman"/>
        </w:rPr>
        <w:t xml:space="preserve">, </w:t>
      </w:r>
      <w:r>
        <w:rPr>
          <w:rFonts w:ascii="Sylfaen" w:hAnsi="Sylfaen" w:eastAsia="Sylfaen" w:cs="Sylfaen"/>
        </w:rPr>
        <w:t>გლოვა</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კრიზისი</w:t>
      </w:r>
      <w:r>
        <w:rPr>
          <w:rFonts w:ascii="Times New Roman" w:hAnsi="Times New Roman" w:eastAsia="Times New Roman" w:cs="Times New Roman"/>
        </w:rPr>
        <w:t xml:space="preserve">, </w:t>
      </w:r>
      <w:r>
        <w:rPr>
          <w:rFonts w:ascii="Sylfaen" w:hAnsi="Sylfaen" w:eastAsia="Sylfaen" w:cs="Sylfaen"/>
        </w:rPr>
        <w:t>რაიმე</w:t>
      </w:r>
      <w:r>
        <w:rPr>
          <w:rFonts w:ascii="Times New Roman" w:hAnsi="Times New Roman" w:eastAsia="Times New Roman" w:cs="Times New Roman"/>
        </w:rPr>
        <w:t xml:space="preserve"> </w:t>
      </w:r>
      <w:r>
        <w:rPr>
          <w:rFonts w:ascii="Sylfaen" w:hAnsi="Sylfaen" w:eastAsia="Sylfaen" w:cs="Sylfaen"/>
        </w:rPr>
        <w:t>გაუთვალისწინებელი</w:t>
      </w:r>
      <w:r>
        <w:rPr>
          <w:rFonts w:ascii="Times New Roman" w:hAnsi="Times New Roman" w:eastAsia="Times New Roman" w:cs="Times New Roman"/>
        </w:rPr>
        <w:t xml:space="preserve"> </w:t>
      </w:r>
      <w:r>
        <w:rPr>
          <w:rFonts w:ascii="Sylfaen" w:hAnsi="Sylfaen" w:eastAsia="Sylfaen" w:cs="Sylfaen"/>
        </w:rPr>
        <w:t>ავადმყოფობა</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ტანჯვა</w:t>
      </w:r>
      <w:r>
        <w:rPr>
          <w:rFonts w:ascii="Times New Roman" w:hAnsi="Times New Roman" w:eastAsia="Times New Roman" w:cs="Times New Roman"/>
        </w:rPr>
        <w:t xml:space="preserve">, </w:t>
      </w:r>
      <w:r>
        <w:rPr>
          <w:rFonts w:ascii="Sylfaen" w:hAnsi="Sylfaen" w:eastAsia="Sylfaen" w:cs="Sylfaen"/>
        </w:rPr>
        <w:t>რაიმე</w:t>
      </w:r>
      <w:r>
        <w:rPr>
          <w:rFonts w:ascii="Times New Roman" w:hAnsi="Times New Roman" w:eastAsia="Times New Roman" w:cs="Times New Roman"/>
        </w:rPr>
        <w:t xml:space="preserve"> </w:t>
      </w:r>
      <w:r>
        <w:rPr>
          <w:rFonts w:ascii="Sylfaen" w:hAnsi="Sylfaen" w:eastAsia="Sylfaen" w:cs="Sylfaen"/>
        </w:rPr>
        <w:t>ისეთი</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სულს</w:t>
      </w:r>
      <w:r>
        <w:rPr>
          <w:rFonts w:ascii="Times New Roman" w:hAnsi="Times New Roman" w:eastAsia="Times New Roman" w:cs="Times New Roman"/>
        </w:rPr>
        <w:t xml:space="preserve"> </w:t>
      </w:r>
      <w:r>
        <w:rPr>
          <w:rFonts w:ascii="Sylfaen" w:hAnsi="Sylfaen" w:eastAsia="Sylfaen" w:cs="Sylfaen"/>
        </w:rPr>
        <w:t>პირისპირ</w:t>
      </w:r>
      <w:r>
        <w:rPr>
          <w:rFonts w:ascii="Times New Roman" w:hAnsi="Times New Roman" w:eastAsia="Times New Roman" w:cs="Times New Roman"/>
        </w:rPr>
        <w:t xml:space="preserve"> </w:t>
      </w:r>
      <w:r>
        <w:rPr>
          <w:rFonts w:ascii="Sylfaen" w:hAnsi="Sylfaen" w:eastAsia="Sylfaen" w:cs="Sylfaen"/>
        </w:rPr>
        <w:t>აყენებს</w:t>
      </w:r>
      <w:r>
        <w:rPr>
          <w:rFonts w:ascii="Times New Roman" w:hAnsi="Times New Roman" w:eastAsia="Times New Roman" w:cs="Times New Roman"/>
        </w:rPr>
        <w:t xml:space="preserve"> </w:t>
      </w:r>
      <w:r>
        <w:rPr>
          <w:rFonts w:ascii="Sylfaen" w:hAnsi="Sylfaen" w:eastAsia="Sylfaen" w:cs="Sylfaen"/>
        </w:rPr>
        <w:t>სიკვდილთან</w:t>
      </w:r>
      <w:r>
        <w:rPr>
          <w:rFonts w:ascii="Times New Roman" w:hAnsi="Times New Roman" w:eastAsia="Times New Roman" w:cs="Times New Roman"/>
        </w:rPr>
        <w:t xml:space="preserve">, </w:t>
      </w:r>
      <w:r>
        <w:rPr>
          <w:rFonts w:ascii="Sylfaen" w:hAnsi="Sylfaen" w:eastAsia="Sylfaen" w:cs="Sylfaen"/>
        </w:rPr>
        <w:t>გამოავლენს</w:t>
      </w:r>
      <w:r>
        <w:rPr>
          <w:rFonts w:ascii="Times New Roman" w:hAnsi="Times New Roman" w:eastAsia="Times New Roman" w:cs="Times New Roman"/>
        </w:rPr>
        <w:t xml:space="preserve"> </w:t>
      </w:r>
      <w:r>
        <w:rPr>
          <w:rFonts w:ascii="Sylfaen" w:hAnsi="Sylfaen" w:eastAsia="Sylfaen" w:cs="Sylfaen"/>
        </w:rPr>
        <w:t>ხასიათის</w:t>
      </w:r>
      <w:r>
        <w:rPr>
          <w:rFonts w:ascii="Times New Roman" w:hAnsi="Times New Roman" w:eastAsia="Times New Roman" w:cs="Times New Roman"/>
        </w:rPr>
        <w:t xml:space="preserve"> </w:t>
      </w:r>
      <w:r>
        <w:rPr>
          <w:rFonts w:ascii="Sylfaen" w:hAnsi="Sylfaen" w:eastAsia="Sylfaen" w:cs="Sylfaen"/>
        </w:rPr>
        <w:t>ნამდვილ</w:t>
      </w:r>
      <w:r>
        <w:rPr>
          <w:rFonts w:ascii="Times New Roman" w:hAnsi="Times New Roman" w:eastAsia="Times New Roman" w:cs="Times New Roman"/>
        </w:rPr>
        <w:t xml:space="preserve"> </w:t>
      </w:r>
      <w:r>
        <w:rPr>
          <w:rFonts w:ascii="Sylfaen" w:hAnsi="Sylfaen" w:eastAsia="Sylfaen" w:cs="Sylfaen"/>
        </w:rPr>
        <w:t>შინაგან</w:t>
      </w:r>
      <w:r>
        <w:rPr>
          <w:rFonts w:ascii="Times New Roman" w:hAnsi="Times New Roman" w:eastAsia="Times New Roman" w:cs="Times New Roman"/>
        </w:rPr>
        <w:t xml:space="preserve"> </w:t>
      </w:r>
      <w:r>
        <w:rPr>
          <w:rFonts w:ascii="Sylfaen" w:hAnsi="Sylfaen" w:eastAsia="Sylfaen" w:cs="Sylfaen"/>
        </w:rPr>
        <w:t>არსს</w:t>
      </w:r>
      <w:r>
        <w:rPr>
          <w:rFonts w:ascii="Times New Roman" w:hAnsi="Times New Roman" w:eastAsia="Times New Roman" w:cs="Times New Roman"/>
        </w:rPr>
        <w:t xml:space="preserve">. </w:t>
      </w:r>
      <w:r>
        <w:rPr>
          <w:rFonts w:ascii="Sylfaen" w:hAnsi="Sylfaen" w:eastAsia="Sylfaen" w:cs="Sylfaen"/>
        </w:rPr>
        <w:t>ცხადი</w:t>
      </w:r>
      <w:r>
        <w:rPr>
          <w:rFonts w:ascii="Times New Roman" w:hAnsi="Times New Roman" w:eastAsia="Times New Roman" w:cs="Times New Roman"/>
        </w:rPr>
        <w:t xml:space="preserve"> </w:t>
      </w:r>
      <w:r>
        <w:rPr>
          <w:rFonts w:ascii="Sylfaen" w:hAnsi="Sylfaen" w:eastAsia="Sylfaen" w:cs="Sylfaen"/>
        </w:rPr>
        <w:t>გახდება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აღთქმებში</w:t>
      </w:r>
      <w:r>
        <w:rPr>
          <w:rFonts w:ascii="Times New Roman" w:hAnsi="Times New Roman" w:eastAsia="Times New Roman" w:cs="Times New Roman"/>
        </w:rPr>
        <w:t xml:space="preserve"> </w:t>
      </w:r>
      <w:r>
        <w:rPr>
          <w:rFonts w:ascii="Sylfaen" w:hAnsi="Sylfaen" w:eastAsia="Sylfaen" w:cs="Sylfaen"/>
        </w:rPr>
        <w:t>რაიმე</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რწმენა</w:t>
      </w:r>
      <w:r>
        <w:rPr>
          <w:rFonts w:ascii="Times New Roman" w:hAnsi="Times New Roman" w:eastAsia="Times New Roman" w:cs="Times New Roman"/>
        </w:rPr>
        <w:t xml:space="preserve">. </w:t>
      </w:r>
      <w:r>
        <w:rPr>
          <w:rFonts w:ascii="Sylfaen" w:hAnsi="Sylfaen" w:eastAsia="Sylfaen" w:cs="Sylfaen"/>
        </w:rPr>
        <w:t>ცხადი</w:t>
      </w:r>
      <w:r>
        <w:rPr>
          <w:rFonts w:ascii="Times New Roman" w:hAnsi="Times New Roman" w:eastAsia="Times New Roman" w:cs="Times New Roman"/>
        </w:rPr>
        <w:t xml:space="preserve"> </w:t>
      </w:r>
      <w:r>
        <w:rPr>
          <w:rFonts w:ascii="Sylfaen" w:hAnsi="Sylfaen" w:eastAsia="Sylfaen" w:cs="Sylfaen"/>
        </w:rPr>
        <w:t>გახდება</w:t>
      </w:r>
      <w:r>
        <w:rPr>
          <w:rFonts w:ascii="Times New Roman" w:hAnsi="Times New Roman" w:eastAsia="Times New Roman" w:cs="Times New Roman"/>
        </w:rPr>
        <w:t xml:space="preserve">, </w:t>
      </w:r>
      <w:r>
        <w:rPr>
          <w:rFonts w:ascii="Sylfaen" w:hAnsi="Sylfaen" w:eastAsia="Sylfaen" w:cs="Sylfaen"/>
        </w:rPr>
        <w:t>საზრდოობს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სული</w:t>
      </w:r>
      <w:r>
        <w:rPr>
          <w:rFonts w:ascii="Times New Roman" w:hAnsi="Times New Roman" w:eastAsia="Times New Roman" w:cs="Times New Roman"/>
        </w:rPr>
        <w:t xml:space="preserve"> </w:t>
      </w:r>
      <w:r>
        <w:rPr>
          <w:rFonts w:ascii="Sylfaen" w:hAnsi="Sylfaen" w:eastAsia="Sylfaen" w:cs="Sylfaen"/>
        </w:rPr>
        <w:t>მადლით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ლამპართან</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ზეთი</w:t>
      </w:r>
      <w:r>
        <w:rPr>
          <w:rFonts w:ascii="Times New Roman" w:hAnsi="Times New Roman" w:eastAsia="Times New Roman" w:cs="Times New Roman"/>
        </w:rPr>
        <w:t xml:space="preserve"> </w:t>
      </w:r>
      <w:r>
        <w:rPr>
          <w:rFonts w:ascii="Sylfaen" w:hAnsi="Sylfaen" w:eastAsia="Sylfaen" w:cs="Sylfaen"/>
        </w:rPr>
        <w:t>ჭურჭელში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Les temps d’épreuve viennent pour tous. Comment nous comportons-nous sous l’épreuve et la mise à l’essai de Dieu ? Nos lampes s’éteignent-elles ? ou continuons-nous à les garder allumées ? Sommes-nous préparés à toute urgence par notre union avec Celui qui est plein de grâce et de vérité ? Les cinq vierges sages ne purent communiquer leur caractère aux cinq vierges folles. Le caractère doit être formé par chacun de nous individuellement. » Review and Herald, 17 octobre 1895.</w:t>
      </w:r>
    </w:p>
    <w:p>
      <w:pPr>
        <w:pStyle w:val="ArticleBody"/>
        <w:jc w:val="left"/>
      </w:pPr>
      <w:r>
        <w:rPr>
          <w:rFonts w:ascii="Times New Roman" w:hAnsi="Times New Roman" w:eastAsia="Times New Roman" w:cs="Times New Roman"/>
        </w:rPr>
        <w:t>Les vierges sages avaient besoin de l’huile avant que le cri ne fût lancé, car lorsque survient la crise de minuit, il est trop tard pour se procurer l’huile.</w:t>
      </w:r>
    </w:p>
    <w:p>
      <w:pPr>
        <w:pStyle w:val="ArticleScripture"/>
        <w:jc w:val="left"/>
      </w:pP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የመከራ</w:t>
      </w:r>
      <w:r>
        <w:rPr>
          <w:rFonts w:ascii="Times New Roman" w:hAnsi="Times New Roman" w:eastAsia="Times New Roman" w:cs="Times New Roman"/>
        </w:rPr>
        <w:t xml:space="preserve"> </w:t>
      </w:r>
      <w:r>
        <w:rPr>
          <w:rFonts w:ascii="Ebrima" w:hAnsi="Ebrima" w:eastAsia="Ebrima" w:cs="Ebrima"/>
        </w:rPr>
        <w:t>ጭንቀት፣</w:t>
      </w:r>
      <w:r>
        <w:rPr>
          <w:rFonts w:ascii="Times New Roman" w:hAnsi="Times New Roman" w:eastAsia="Times New Roman" w:cs="Times New Roman"/>
        </w:rPr>
        <w:t xml:space="preserve"> </w:t>
      </w:r>
      <w:r>
        <w:rPr>
          <w:rFonts w:ascii="Ebrima" w:hAnsi="Ebrima" w:eastAsia="Ebrima" w:cs="Ebrima"/>
        </w:rPr>
        <w:t>የጦርነትና</w:t>
      </w:r>
      <w:r>
        <w:rPr>
          <w:rFonts w:ascii="Times New Roman" w:hAnsi="Times New Roman" w:eastAsia="Times New Roman" w:cs="Times New Roman"/>
        </w:rPr>
        <w:t xml:space="preserve"> </w:t>
      </w:r>
      <w:r>
        <w:rPr>
          <w:rFonts w:ascii="Ebrima" w:hAnsi="Ebrima" w:eastAsia="Ebrima" w:cs="Ebrima"/>
        </w:rPr>
        <w:t>የደም</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ቅርብ</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ይጨምራል።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በግምባራቸው</w:t>
      </w:r>
      <w:r>
        <w:rPr>
          <w:rFonts w:ascii="Times New Roman" w:hAnsi="Times New Roman" w:eastAsia="Times New Roman" w:cs="Times New Roman"/>
        </w:rPr>
        <w:t xml:space="preserve"> </w:t>
      </w:r>
      <w:r>
        <w:rPr>
          <w:rFonts w:ascii="Ebrima" w:hAnsi="Ebrima" w:eastAsia="Ebrima" w:cs="Ebrima"/>
        </w:rPr>
        <w:t>እንደታተሙ</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ሊታይ</w:t>
      </w:r>
      <w:r>
        <w:rPr>
          <w:rFonts w:ascii="Times New Roman" w:hAnsi="Times New Roman" w:eastAsia="Times New Roman" w:cs="Times New Roman"/>
        </w:rPr>
        <w:t xml:space="preserve"> </w:t>
      </w:r>
      <w:r>
        <w:rPr>
          <w:rFonts w:ascii="Ebrima" w:hAnsi="Ebrima" w:eastAsia="Ebrima" w:cs="Ebrima"/>
        </w:rPr>
        <w:t>የሚችል</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በአእምሮና</w:t>
      </w:r>
      <w:r>
        <w:rPr>
          <w:rFonts w:ascii="Times New Roman" w:hAnsi="Times New Roman" w:eastAsia="Times New Roman" w:cs="Times New Roman"/>
        </w:rPr>
        <w:t xml:space="preserve"> </w:t>
      </w:r>
      <w:r>
        <w:rPr>
          <w:rFonts w:ascii="Ebrima" w:hAnsi="Ebrima" w:eastAsia="Ebrima" w:cs="Ebrima"/>
        </w:rPr>
        <w:t>በመንፈስ</w:t>
      </w:r>
      <w:r>
        <w:rPr>
          <w:rFonts w:ascii="Times New Roman" w:hAnsi="Times New Roman" w:eastAsia="Times New Roman" w:cs="Times New Roman"/>
        </w:rPr>
        <w:t xml:space="preserve"> </w:t>
      </w:r>
      <w:r>
        <w:rPr>
          <w:rFonts w:ascii="Ebrima" w:hAnsi="Ebrima" w:eastAsia="Ebrima" w:cs="Ebrima"/>
        </w:rPr>
        <w:t>መጽናት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እንዳይናወጡ</w:t>
      </w: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እንደታተሙና</w:t>
      </w:r>
      <w:r>
        <w:rPr>
          <w:rFonts w:ascii="Times New Roman" w:hAnsi="Times New Roman" w:eastAsia="Times New Roman" w:cs="Times New Roman"/>
        </w:rPr>
        <w:t xml:space="preserve"> </w:t>
      </w:r>
      <w:r>
        <w:rPr>
          <w:rFonts w:ascii="Ebrima" w:hAnsi="Ebrima" w:eastAsia="Ebrima" w:cs="Ebrima"/>
        </w:rPr>
        <w:t>ለማናወጥ</w:t>
      </w:r>
      <w:r>
        <w:rPr>
          <w:rFonts w:ascii="Times New Roman" w:hAnsi="Times New Roman" w:eastAsia="Times New Roman" w:cs="Times New Roman"/>
        </w:rPr>
        <w:t xml:space="preserve"> </w:t>
      </w:r>
      <w:r>
        <w:rPr>
          <w:rFonts w:ascii="Ebrima" w:hAnsi="Ebrima" w:eastAsia="Ebrima" w:cs="Ebrima"/>
        </w:rPr>
        <w:t>እንደተዘጋጁ</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ጀምሮአል፤</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እንድናውቅ</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እንዲሆንልን፣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 Manuscript Releases, volume 1, 249.</w:t>
      </w:r>
    </w:p>
    <w:p>
      <w:pPr>
        <w:pStyle w:val="ArticleBody"/>
        <w:jc w:val="left"/>
      </w:pPr>
      <w:r>
        <w:rPr>
          <w:rFonts w:ascii="Times New Roman" w:hAnsi="Times New Roman" w:eastAsia="Times New Roman" w:cs="Times New Roman"/>
        </w:rPr>
        <w:t>Le sceau de Dieu est un enracinement dans la vérité, tant intellectuellement que spirituellement. Ce sceau ne peut être vu, mais l’étendard sera vu, car c’est le seul moyen par lequel le monde peut être averti. Par conséquent, il y a un temps où le sceau ne peut être vu, lequel est suivi de la loi du dimanche, où le sceau doit être vu.</w:t>
      </w:r>
    </w:p>
    <w:p>
      <w:pPr>
        <w:pStyle w:val="ArticleScripture"/>
        <w:jc w:val="left"/>
      </w:pPr>
      <w:r>
        <w:rPr>
          <w:rFonts w:ascii="Times New Roman" w:hAnsi="Times New Roman" w:eastAsia="Times New Roman" w:cs="Times New Roman"/>
        </w:rPr>
        <w:t>“Tœuvre du Saint-Esprit est de convaincre le monde en ce qui concerne le péché, la justice et le jugement. Le monde ne peut être averti qu’en voyant ceux qui croient à la vérité sanctifiés par la vérité, agissant selon des principes élevés et saints, montrant, dans un sens noble et élevé, la ligne de démarcation entre ceux qui gardent les commandements de Dieu et ceux qui les foulent aux pieds. La sanctification de l’Esprit signale la différence entre ceux qui ont le sceau de Dieu et ceux qui observent un jour de repos contrefait. Lorsque l’épreuve viendra, il sera clairement montré quelle est la marque de la bête. C’est l’observance du dimanche. Ceux qui, après avoir entendu la vérité, continuent à regarder ce jour comme saint, portent la signature de l’homme de péché, qui pensa changer les temps et la loi.” Bible Training School, 1er décembre 1903.</w:t>
      </w:r>
    </w:p>
    <w:p>
      <w:pPr>
        <w:pStyle w:val="ArticleBody"/>
        <w:jc w:val="left"/>
      </w:pPr>
      <w:r>
        <w:rPr>
          <w:rFonts w:ascii="Times New Roman" w:hAnsi="Times New Roman" w:eastAsia="Times New Roman" w:cs="Times New Roman"/>
        </w:rPr>
        <w:t>Akipandi oyo esengeli kozwa liboso ya mobeko ya mokolo ya Lomingo ezali bokoli mobimba ya ezaleli ya Klisto, mpe emonanaka te, longola kaka epai ya baanzelu. Akipandi oyo emonanaka na ntango ya mobeko ya mokolo ya Lomingo ezali bato oyo babatelaka Sabata ya mokolo ya nsambo, mpo yango nde ezali akipandi, to elembo, ya bato ya Nzambe.</w:t>
      </w:r>
    </w:p>
    <w:p>
      <w:pPr>
        <w:pStyle w:val="ArticleScripture"/>
        <w:jc w:val="left"/>
      </w:pPr>
      <w:r>
        <w:rPr>
          <w:rFonts w:ascii="Times New Roman" w:hAnsi="Times New Roman" w:eastAsia="Times New Roman" w:cs="Times New Roman"/>
        </w:rPr>
        <w:t>Parle aussi aux enfants d’Israël, en disant : Assurément, vous garderez mes sabbats ; car c’est un signe entre moi et vous, dans toutes vos générations, afin que vous sachiez que je suis l’Éternel qui vous sanctifie. Exode 31:13.</w:t>
      </w:r>
    </w:p>
    <w:p>
      <w:pPr>
        <w:pStyle w:val="ArticleBody"/>
        <w:jc w:val="left"/>
      </w:pPr>
      <w:r>
        <w:rPr>
          <w:rFonts w:ascii="Times New Roman" w:hAnsi="Times New Roman" w:eastAsia="Times New Roman" w:cs="Times New Roman"/>
        </w:rPr>
        <w:t>د صدو څلورڅلوېښت زرو مُهرول د ۲۰۲۰ کال د جولای په ۱۸مه نېټه پیل شول، او باید د یکشنبې له قانون څخه مخکې بشپړ شي.</w:t>
      </w:r>
    </w:p>
    <w:p>
      <w:pPr>
        <w:pStyle w:val="ArticleScripture"/>
        <w:jc w:val="left"/>
      </w:pPr>
      <w:r>
        <w:rPr>
          <w:rFonts w:ascii="Times New Roman" w:hAnsi="Times New Roman" w:eastAsia="Times New Roman" w:cs="Times New Roman"/>
        </w:rPr>
        <w:t>Hé, gbogbo ẹnyin olùgbé ayé, àti olùgbé ilẹ̀ ayé, ẹ máa wo, nígbà tí ó bá gbé àsíá sókè lórí àwọn òkè; àti nígbà tí ó bá fún ìpè, ẹ máa gbọ́. Aísáyà 18:3.</w:t>
      </w:r>
    </w:p>
    <w:p>
      <w:pPr>
        <w:pStyle w:val="ArticleBody"/>
        <w:jc w:val="left"/>
      </w:pPr>
      <w:r>
        <w:rPr>
          <w:rFonts w:ascii="Times New Roman" w:hAnsi="Times New Roman" w:eastAsia="Times New Roman" w:cs="Times New Roman"/>
        </w:rPr>
        <w:t>Les sept tonnerres qui ont maintenant été descellés révèlent que l’histoire des cent quarante-quatre mille est l’œuvre consistant à proclamer un message placé dans le contexte de l’avertissement de la trompette du troisième malheur. La trompette de l’islam dans la prophétie biblique est celle qui est sonnée par l’étendard élevé hors du tombeau.</w:t>
      </w:r>
    </w:p>
    <w:p>
      <w:pPr>
        <w:pStyle w:val="ArticleBody"/>
        <w:jc w:val="left"/>
      </w:pPr>
      <w:r>
        <w:rPr>
          <w:rFonts w:ascii="Times New Roman" w:hAnsi="Times New Roman" w:eastAsia="Times New Roman" w:cs="Times New Roman"/>
        </w:rPr>
        <w:t>Ko waymark’i nnan aakɔre biara mu no, a ɛne abakɔsɛm a ɛfiri 1840 kɔsi 1844 no waymark anan no hyia no, si pi sɛ aakɔre biara anammɔn anan no mu biara da so kura asɛmti koro no ara. Waymark a edi kan wɔ wɔn a wɔyɛ ɔha aduanan anan apem no abakɔsɛm mu, a na 1840 kɔsi 1844 gyina hɔ ma no no, ne nkrasɛm no tumi-hyɛmu wɔ September 11, 2001. Saa waymark no yɛɛ Islam. Waymark a ɛtɔ so mmienu wɔ abakɔsɛm a ɛne yi sɛ ma wɔn a wɔyɛ ɔha aduanan anan apem no ne awerɛhosɛm a ɛbaa July 18, 2020. Saa waymark no yɛɛ Islam ho nkɔmhyɛ bi a bere-de no ayɛ basabasa. Waymark a ɛtɔ so mmiɛnsa, a ɛhyɛ Midnight Cry no agyirae no, yɛ Islam ho nkɔmhyɛ a antumi anni mu no nsiesie. Nsiesie no gyina hɔ ma bere-de no po. Waymark a ɛtɔ so anan ne Sunday law no, baabi a frankaa a wɔama so no hyɛn totorobɛnto a ɛtɔ so ason no, a ɛne amanehunu a ɛtɔ so mmiɛnsa no, a ɛne Islam no.</w:t>
      </w:r>
    </w:p>
    <w:p>
      <w:pPr>
        <w:pStyle w:val="ArticleBody"/>
        <w:jc w:val="left"/>
      </w:pPr>
      <w:r>
        <w:rPr>
          <w:rFonts w:ascii="Nirmala UI" w:hAnsi="Nirmala UI" w:eastAsia="Nirmala UI" w:cs="Nirmala UI"/>
        </w:rPr>
        <w:t>ईसायाह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ईसायाह</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पुकारनेवाले</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पट्टिकाओं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चित्रात्मक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p>
    <w:p>
      <w:pPr>
        <w:pStyle w:val="ArticleScripture"/>
        <w:jc w:val="left"/>
      </w:pPr>
      <w:r>
        <w:rPr>
          <w:rFonts w:ascii="Times New Roman" w:hAnsi="Times New Roman" w:eastAsia="Times New Roman" w:cs="Times New Roman"/>
        </w:rPr>
        <w:t>Waxaan Ruuxa ku jiray maalintii Rabbiga, oo gadaashayda waxaan ka maqlay cod weyn, sida buun oo kale. Muujintii 1:10.</w:t>
      </w:r>
    </w:p>
    <w:p>
      <w:pPr>
        <w:pStyle w:val="ArticleBody"/>
        <w:jc w:val="left"/>
      </w:pPr>
      <w:r>
        <w:rPr>
          <w:rFonts w:ascii="Times New Roman" w:hAnsi="Times New Roman" w:eastAsia="Times New Roman" w:cs="Times New Roman"/>
        </w:rPr>
        <w:t>در مکاشفه، یوحنا آواز شیپوری را از پشت سر خود شنید، و یوحنا نمایندۀ آن یکصد و چهل و چهار هزار نفری است که صدایی را از گذشته می‌شنوند. آن صدا که در پشت سر یوحنا بود، یعنی آنچه نمایانگر طنین شیپوری از گذشته است، همان فهم پیشگامان است که شیپورها داوری‌های خدا بر ضد عبادت یکشنبه بودند. چهار شیپور نخست بر روم بت‌پرست فرود آمدند، در پاسخ به نخستین قانون یکشنبه که به‌دست قسطنطین در سال 321 وضع شد. شیپور پنجم و ششم، که وای اول و دوم هستند، نمایانگر داوری‌های خدا بر ضد روم پاپی‌اند، پس از آنکه آن نیز در شورای اورلئان در سال 538 قانونی برای یکشنبه تصویب کرد. وای سومِ اسلام هنگامی فرا می‌رسد که قانون یکشنبه در ایالات متحده تصویب شود. آنگاه عَلَم برافراشته می‌شود و نقش نبوی اسلام را، بر پایۀ نقش آغازین اسلام، مشخص می‌سازد.</w:t>
      </w:r>
    </w:p>
    <w:p>
      <w:pPr>
        <w:pStyle w:val="ArticleBody"/>
        <w:jc w:val="left"/>
      </w:pPr>
      <w:r>
        <w:rPr>
          <w:rFonts w:ascii="Times New Roman" w:hAnsi="Times New Roman" w:eastAsia="Times New Roman" w:cs="Times New Roman"/>
        </w:rPr>
        <w:t>Mesej yang diberitakan oleh panji itu hanya dapat ditegakkan apabila mesej itu diletakkan dalam konteks Alfa dan Omega. Selepas pendahuluan ini dalam Yesaya pasal empat puluh, penyajian alkitabiah yang paling kuat dan paling langsung tentang Allah sebagai Alfa dan Omega dikemukakan sepanjang beberapa pasal yang berturutan. Pasal-pasal itu merupakan gambaran Yesaya tentang Wahyu Yesus Kristus yang “dikaruniakan Allah kepada-Nya,” “untuk menunjukkan kepada hamba-hamba-Nya perkara-perkara yang harus segera berlaku; dan Dia mengutus seorang malaikat-Nya untuk menyatakannya dengan tanda-tanda kepada hamba-Nya, Yohanes,” yang menuliskannya “di dalam sebuah kitab, lalu” mengirimkannya “kepada ketujuh jemaat.”</w:t>
      </w:r>
    </w:p>
    <w:p>
      <w:pPr>
        <w:pStyle w:val="ArticleBody"/>
        <w:jc w:val="left"/>
      </w:pPr>
      <w:r>
        <w:rPr>
          <w:rFonts w:ascii="Times New Roman" w:hAnsi="Times New Roman" w:eastAsia="Times New Roman" w:cs="Times New Roman"/>
        </w:rPr>
        <w:t>Tumekwenda kuzingatia sura zifuatazo za Isaya katika makala inayofuata.</w:t>
      </w:r>
    </w:p>
    <w:p>
      <w:pPr>
        <w:pStyle w:val="ArticleScripture"/>
        <w:jc w:val="left"/>
      </w:pPr>
      <w:r>
        <w:rPr>
          <w:rFonts w:ascii="Times New Roman" w:hAnsi="Times New Roman" w:eastAsia="Times New Roman" w:cs="Times New Roman"/>
        </w:rPr>
        <w:t>Happy is the one reading, and those hearing the words of this prophecy and keeping the things written in it, because the time is near. Revelation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Nne</dc:title>
  <dc:subject>Эсаия Кырык</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