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 Tano</w:t>
      </w:r>
    </w:p>
    <w:p>
      <w:pPr>
        <w:pStyle w:val="ArticleSubtitle"/>
        <w:jc w:val="left"/>
      </w:pPr>
      <w:r>
        <w:rPr>
          <w:rFonts w:ascii="Arial" w:hAnsi="Arial" w:eastAsia="Arial" w:cs="Arial"/>
        </w:rPr>
        <w:t>Esaya makumi amane: Nyaradzai, nyaradzai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Tại mười bảy câu đầu của Ê-sai bốn mươi, một trăm bốn mươi bốn nghìn người được đặt vào vị trí theo ý nghĩa tiên tri ở cuối ba ngày rưỡi, là nơi họ đã nằm chết ngoài đường phố, trong khi thế gian vui mừng hớn hở. Mọi đấng tiên tri đều hòa hợp với nhau, và các biến cố tiên tri mà họ trình bày luôn phù hợp với các đấng tiên tri khác, vì Đức Chúa Trời không phải là tác giả của sự hỗn loạn.</w:t>
      </w:r>
    </w:p>
    <w:p>
      <w:pPr>
        <w:pStyle w:val="ArticleScripture"/>
        <w:jc w:val="left"/>
      </w:pPr>
      <w:r>
        <w:rPr>
          <w:rFonts w:ascii="Times New Roman" w:hAnsi="Times New Roman" w:eastAsia="Times New Roman" w:cs="Times New Roman"/>
        </w:rPr>
        <w:t>At awọn ẹmi awọn woli wa labẹ awọn woli. Nítorí Ọlọrun kì í ṣe akọ̀dá ìdàrúdàpọ̀, bí kò ṣe ti àlàáfíà, gẹ́gẹ́ bí ó ti rí nínú gbogbo àwọn ìjọ àwọn ènìyàn mímọ́. 1 Kọrinti 14:32, 33.</w:t>
      </w:r>
    </w:p>
    <w:p>
      <w:pPr>
        <w:pStyle w:val="ArticleBody"/>
        <w:jc w:val="left"/>
      </w:pPr>
      <w:r>
        <w:rPr>
          <w:rFonts w:ascii="Times New Roman" w:hAnsi="Times New Roman" w:eastAsia="Times New Roman" w:cs="Times New Roman"/>
        </w:rPr>
        <w:t>The Comforter, whom Jesus promised to send in His absence, was placed into the very first words of the very first verse of the twenty-six chapters that compose Isaiah’s final prophetic narrative. “Comfort ye, comfort ye my people, saith your God.” The rule of first mention emphasizes that the following twenty-six chapters are to be understood in relation to the perfect and final fulfillment of the coming of the Comforter.</w:t>
      </w:r>
    </w:p>
    <w:p>
      <w:pPr>
        <w:pStyle w:val="ArticleScripture"/>
        <w:jc w:val="left"/>
      </w:pPr>
      <w:r>
        <w:rPr>
          <w:rFonts w:ascii="Times New Roman" w:hAnsi="Times New Roman" w:eastAsia="Times New Roman" w:cs="Times New Roman"/>
        </w:rPr>
        <w:t>Et je prierai le Père, et il vous donnera un autre Consolateur, afin qu’il demeure éternellement avec vous.... Mais le Consolateur, qui est le Saint-Esprit, que le Père enverra en mon nom, lui, vous enseignera toutes choses, et vous rappellera tout ce que je vous ai dit. Jean 14:16, 26.</w:t>
      </w:r>
    </w:p>
    <w:p>
      <w:pPr>
        <w:pStyle w:val="ArticleBody"/>
        <w:jc w:val="left"/>
      </w:pPr>
      <w:r>
        <w:rPr>
          <w:rFonts w:ascii="Times New Roman" w:hAnsi="Times New Roman" w:eastAsia="Times New Roman" w:cs="Times New Roman"/>
        </w:rPr>
        <w:t>Le cri de minuit de l’histoire millérite se répète dans l’histoire des cent quarante-quatre mille.</w:t>
      </w:r>
    </w:p>
    <w:p>
      <w:pPr>
        <w:pStyle w:val="ArticleScripture"/>
        <w:jc w:val="left"/>
      </w:pPr>
      <w:r>
        <w:rPr>
          <w:rFonts w:ascii="Times New Roman" w:hAnsi="Times New Roman" w:eastAsia="Times New Roman" w:cs="Times New Roman"/>
        </w:rPr>
        <w:t>“</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धोखे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दूल्हा</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दीपकों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स्थानान्तरित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Review and Herald, February 11, 1896.</w:t>
      </w:r>
    </w:p>
    <w:p>
      <w:pPr>
        <w:pStyle w:val="ArticleBody"/>
        <w:jc w:val="left"/>
      </w:pPr>
      <w:r>
        <w:rPr>
          <w:rFonts w:ascii="Times New Roman" w:hAnsi="Times New Roman" w:eastAsia="Times New Roman" w:cs="Times New Roman"/>
        </w:rPr>
        <w:t>La question est posée : « quelle voix peut “réveiller” ceux qui sont “endormis” ? » La « voix » qui les réveille dans Ésaïe, chapitre quarante, est la « voix » qui « crie » dans le « désert ».</w:t>
      </w:r>
    </w:p>
    <w:p>
      <w:pPr>
        <w:pStyle w:val="ArticleScripture"/>
        <w:jc w:val="left"/>
      </w:pPr>
      <w:r>
        <w:rPr>
          <w:rFonts w:ascii="Times New Roman" w:hAnsi="Times New Roman" w:eastAsia="Times New Roman" w:cs="Times New Roman"/>
        </w:rPr>
        <w:t>Parlez au cœur de Jérusalem, et criez-lui que son combat est accompli, que son iniquité est pardonnée ; car elle a reçu de la main de l’Éternel le double pour tous ses péchés. La « voix » de celui qui « crie » dans le désert.... Ésaïe 40:2, 3.</w:t>
      </w:r>
    </w:p>
    <w:p>
      <w:pPr>
        <w:pStyle w:val="ArticleBody"/>
        <w:jc w:val="left"/>
      </w:pPr>
      <w:r>
        <w:rPr>
          <w:rFonts w:ascii="Times New Roman" w:hAnsi="Times New Roman" w:eastAsia="Times New Roman" w:cs="Times New Roman"/>
        </w:rPr>
        <w:t>Ujumbe wa Kilio cha Usiku wa Manane pia ni ujumbe wa mvua ya masika ya mwisho.</w:t>
      </w:r>
    </w:p>
    <w:p>
      <w:pPr>
        <w:pStyle w:val="ArticleScripture"/>
        <w:jc w:val="left"/>
      </w:pPr>
      <w:r>
        <w:rPr>
          <w:rFonts w:ascii="Times New Roman" w:hAnsi="Times New Roman" w:eastAsia="Times New Roman" w:cs="Times New Roman"/>
        </w:rPr>
        <w:t>« Vous placez la venue du Seigneur trop loin. J’ai vu que la pluie de l’arrière-saison venait [aussi soudainement que] le cri de minuit, et avec une puissance décuplée. » Spalding and Magan, 5.</w:t>
      </w:r>
    </w:p>
    <w:p>
      <w:pPr>
        <w:pStyle w:val="ArticleBody"/>
        <w:jc w:val="left"/>
      </w:pPr>
      <w:r>
        <w:rPr>
          <w:rFonts w:ascii="Times New Roman" w:hAnsi="Times New Roman" w:eastAsia="Times New Roman" w:cs="Times New Roman"/>
        </w:rPr>
        <w:t>Neno moja kati ya alama nyingi zinazopatikana katika Neno la Mungu linalowakilisha ujumbe wa mvua ya mwisho ni alama inayotambuliwa kwa kurudiwa mara mbili kwa maneno au vifungu vya maneno. Kurudiwa mara mbili kwa maneno, au vifungu vya maneno, ni alama ya Kilio cha Usiku wa Manane, au ujumbe wa mvua ya mwisho katika siku za mwisho. Ishara ya kurudiwa mara mbili kwa “farijini ninyi,” huiweka mwanzo wa Isaya sura ya arobaini katika wakati wa kukawia, wakati ambapo ujumbe unaowakilishwa kama Kilio cha Usiku wa Manane cha mfano wa mabikira kumi unapaswa kutambuliwa kisha kutangazwa. Wakati huo, Kristo humtuma Mfariji kuwaamsha mabikira waliolala, ambao kwa kinabii wanawakilishwa kuwa wamelala, na katika baadhi ya vifungu vya unabii kama wamelala usingizi wa mauti. Mstari wa kwanza wa Isaya arobaini, kwa kinabii umewekwa siku tatu na nusu za kiishara ‘baada ya’ kukatishwa tamaa kwa Julai 18, 2020, kwa maana hapo ndipo Mfariji hutumwa kuwaamsha wale waliolala. Siku tatu na nusu ni alama ya nyika, na hapo ndipo “sauti” huanza “kulia.”</w:t>
      </w:r>
    </w:p>
    <w:p>
      <w:pPr>
        <w:pStyle w:val="ArticleBody"/>
        <w:jc w:val="left"/>
      </w:pPr>
      <w:r>
        <w:rPr>
          <w:rFonts w:ascii="Times New Roman" w:hAnsi="Times New Roman" w:eastAsia="Times New Roman" w:cs="Times New Roman"/>
        </w:rPr>
        <w:t>Zvakazarurwa gumi nechimwe, Ezekieri makumi matatu nenomwe, Mateo makumi maviri neshanu, nenhoroondo yavaMillerite (pamwe chete nezviratidzo zvematanho enhoroondo yevaMillerite zvinoonekwa mumafambiro ose erumutsiriro), zvinobatana mukuzivisa “maitiro akatsanangurika” okumutsa mhandara dzakarara. Maitiro acho anotanga mhandara padzinovata pakunyadziswa kukuru. Nguva yokunonoka yakatanga pakunyadziswa uku inozopedzisira yazivikanwa senguva yokunonoka. Chikamu chokupedzisira chenguva yokunonoka ndiko kusimudzirwa kweshoko reKuchema kwePakati pousiku. Kana shoko racho rasimbiswa, rinobva raziviswa kusvikira rasvika pachinhanho charo chapamusoro, kutonga.</w:t>
      </w:r>
    </w:p>
    <w:p>
      <w:pPr>
        <w:pStyle w:val="ArticleBody"/>
        <w:jc w:val="left"/>
      </w:pPr>
      <w:r>
        <w:rPr>
          <w:rFonts w:ascii="Times New Roman" w:hAnsi="Times New Roman" w:eastAsia="Times New Roman" w:cs="Times New Roman"/>
        </w:rPr>
        <w:t>Qulup-tussaasoq, Esajami “nipitut” assersuutigineqartoq, aperivoq suut nalunaarutigineqartussatut oqaatigineqarsimanersut. Assersuutaasumik oqaasertalimmik nalunaarutaa Islam pillugu saqqummiutissagaa oqaatigineqarpoq. Islamip pillugu pruffiitikkut nalunaarutaa qanittukkut takkuttussamik sapaatip-akunnerata ulluani inatsisissamut avissaartinneqarsinnaanngilaq, tassami Islam oqaluffigineqarneranut qarlortaatitut pissaaneqarmat, aammalu Saqqummersitani qarlortaatit arfineq-pingasut sapaatip-akunnerata ulluani inatsisinik atulersitsisartunut Guutip eqqartuussineranik assersuutaammata. Pissaaneqarfiit taakku tassaapput Romamiut pallorfiunngitsut ukioq 321-mi, terianniamik assersuutitut; Romamiut paaviusut ukioq 538-mi, uumasumik assersuutitut; aammalu qanittukkut takkuttussaq Amerikami Naalagaaffiit Peqatigiit iluanni sapaatip-akunnerata ulluani inatsit, pruffiiti salloqittartumik assersuutitut.</w:t>
      </w:r>
    </w:p>
    <w:p>
      <w:pPr>
        <w:pStyle w:val="ArticleBody"/>
        <w:jc w:val="left"/>
      </w:pPr>
      <w:r>
        <w:rPr>
          <w:rFonts w:ascii="Times New Roman" w:hAnsi="Times New Roman" w:eastAsia="Times New Roman" w:cs="Times New Roman"/>
        </w:rPr>
        <w:t>Li dîtina nasnameya wê peyamê ku “deng”ê ku di çolê de gazî dikir diviyabû ragihîne re, peymana ku peyva Xwedê qet têk naçe hate girêdan. “Peyman û temînat”a ku peyva Xwedê qet têk naçe, di heman çarçoveya pêxemberî de cih digire ku di Habakkuk beşa duyemîn, ayeta sêyemîn de bi vê gotinê tê îfadekirin: “di dawiyê de ew ê biaxivê, û derew nekê: ger dereng bimîne, li wê bendê be; çimkî bêguman ew ê were, ew ê dereng nemîne.” Peyama Îslamê qet têk naçe; bêguman ew ê were. Ayeta dawî ya Işaya beşa çilêmîn, wan kesan di nav xwe de tîne ku li bendê dîmenê di Habakkuk de ne.</w:t>
      </w:r>
    </w:p>
    <w:p>
      <w:pPr>
        <w:pStyle w:val="ArticleScripture"/>
        <w:jc w:val="left"/>
      </w:pPr>
      <w:r>
        <w:rPr>
          <w:rFonts w:ascii="Times New Roman" w:hAnsi="Times New Roman" w:eastAsia="Times New Roman" w:cs="Times New Roman"/>
        </w:rPr>
        <w:t>Mais ceux qui s’attendent à l’Éternel renouvelleront leur force; ils s’élèveront avec des ailes comme les aigles; ils courront, et ne se fatigueront point; ils marcheront, et ne se lasseront point. Ésaïe 40:31.</w:t>
      </w:r>
    </w:p>
    <w:p>
      <w:pPr>
        <w:pStyle w:val="ArticleBody"/>
        <w:jc w:val="left"/>
      </w:pPr>
      <w:r>
        <w:rPr>
          <w:rFonts w:ascii="Nirmala UI" w:hAnsi="Nirmala UI" w:eastAsia="Nirmala UI" w:cs="Nirmala UI"/>
        </w:rPr>
        <w:t>७</w:t>
      </w:r>
      <w:r>
        <w:rPr>
          <w:rFonts w:ascii="Times New Roman" w:hAnsi="Times New Roman" w:eastAsia="Times New Roman" w:cs="Times New Roman"/>
        </w:rPr>
        <w:t xml:space="preserve"> </w:t>
      </w:r>
      <w:r>
        <w:rPr>
          <w:rFonts w:ascii="Nirmala UI" w:hAnsi="Nirmala UI" w:eastAsia="Nirmala UI" w:cs="Nirmala UI"/>
        </w:rPr>
        <w:t>गर्जनहरूको</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उन्मोचित</w:t>
      </w:r>
      <w:r>
        <w:rPr>
          <w:rFonts w:ascii="Times New Roman" w:hAnsi="Times New Roman" w:eastAsia="Times New Roman" w:cs="Times New Roman"/>
        </w:rPr>
        <w:t xml:space="preserve"> </w:t>
      </w:r>
      <w:r>
        <w:rPr>
          <w:rFonts w:ascii="Nirmala UI" w:hAnsi="Nirmala UI" w:eastAsia="Nirmala UI" w:cs="Nirmala UI"/>
        </w:rPr>
        <w:t>हुँदैछ</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तीनवटा</w:t>
      </w:r>
      <w:r>
        <w:rPr>
          <w:rFonts w:ascii="Times New Roman" w:hAnsi="Times New Roman" w:eastAsia="Times New Roman" w:cs="Times New Roman"/>
        </w:rPr>
        <w:t xml:space="preserve"> </w:t>
      </w:r>
      <w:r>
        <w:rPr>
          <w:rFonts w:ascii="Nirmala UI" w:hAnsi="Nirmala UI" w:eastAsia="Nirmala UI" w:cs="Nirmala UI"/>
        </w:rPr>
        <w:t>मार्गचिह्नहरू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निराशासँग</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तीनवटा</w:t>
      </w:r>
      <w:r>
        <w:rPr>
          <w:rFonts w:ascii="Times New Roman" w:hAnsi="Times New Roman" w:eastAsia="Times New Roman" w:cs="Times New Roman"/>
        </w:rPr>
        <w:t xml:space="preserve"> </w:t>
      </w:r>
      <w:r>
        <w:rPr>
          <w:rFonts w:ascii="Nirmala UI" w:hAnsi="Nirmala UI" w:eastAsia="Nirmala UI" w:cs="Nirmala UI"/>
        </w:rPr>
        <w:t>मार्गचिह्नहरू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समयावधिद्वारा</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निराशाले</w:t>
      </w:r>
      <w:r>
        <w:rPr>
          <w:rFonts w:ascii="Times New Roman" w:hAnsi="Times New Roman" w:eastAsia="Times New Roman" w:cs="Times New Roman"/>
        </w:rPr>
        <w:t xml:space="preserve"> </w:t>
      </w:r>
      <w:r>
        <w:rPr>
          <w:rFonts w:ascii="Nirmala UI" w:hAnsi="Nirmala UI" w:eastAsia="Nirmala UI" w:cs="Nirmala UI"/>
        </w:rPr>
        <w:t>ढिलाइको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ढिलाइको</w:t>
      </w:r>
      <w:r>
        <w:rPr>
          <w:rFonts w:ascii="Times New Roman" w:hAnsi="Times New Roman" w:eastAsia="Times New Roman" w:cs="Times New Roman"/>
        </w:rPr>
        <w:t xml:space="preserve"> </w:t>
      </w:r>
      <w:r>
        <w:rPr>
          <w:rFonts w:ascii="Nirmala UI" w:hAnsi="Nirmala UI" w:eastAsia="Nirmala UI" w:cs="Nirmala UI"/>
        </w:rPr>
        <w:t>समयले</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सच्याइएको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भविष्यवाणीतर्फ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याउँछ।</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सन्देशले</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समयावधिको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निराशातर्फ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याउँछ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चरणहरू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समयावधिद्वारा</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गरिएअनुसार</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गर्दछन्।</w:t>
      </w:r>
    </w:p>
    <w:p>
      <w:pPr>
        <w:pStyle w:val="ArticleBody"/>
        <w:jc w:val="left"/>
      </w:pPr>
      <w:r>
        <w:rPr>
          <w:rFonts w:ascii="Times New Roman" w:hAnsi="Times New Roman" w:eastAsia="Times New Roman" w:cs="Times New Roman"/>
        </w:rPr>
        <w:t>Dans Ézéchiel trente-sept, Ézéchiel représente aussi la « voix » d’Ésaïe quarante. La voix d’Ésaïe quarante demande : « Que crierai-je ? » La « voix » d’Ézéchiel trente-sept, verset sept, alors « prophétisa selon » ce qui lui « avait été commandé ».</w:t>
      </w:r>
    </w:p>
    <w:p>
      <w:pPr>
        <w:pStyle w:val="ArticleScripture"/>
        <w:jc w:val="left"/>
      </w:pPr>
      <w:r>
        <w:rPr>
          <w:rFonts w:ascii="Times New Roman" w:hAnsi="Times New Roman" w:eastAsia="Times New Roman" w:cs="Times New Roman"/>
        </w:rPr>
        <w:t>Je prophétisai donc selon l’ordre qui m’avait été donné; et comme je prophétisais, il se fit un bruit, et voici, il y eut un mouvement, et les os se rapprochèrent, chacun selon son os. Et je regardai, et voici, les nerfs et la chair crûrent sur eux, et la peau les couvrit par-dessus; mais il n’y avait point en eux de souffle. Ézéchiel 37:7, 8.</w:t>
      </w:r>
    </w:p>
    <w:p>
      <w:pPr>
        <w:pStyle w:val="ArticleBody"/>
        <w:jc w:val="left"/>
      </w:pPr>
      <w:r>
        <w:rPr>
          <w:rFonts w:ascii="Times New Roman" w:hAnsi="Times New Roman" w:eastAsia="Times New Roman" w:cs="Times New Roman"/>
        </w:rPr>
        <w:t>La première prophétie d’Ézéchiel rassembla les os et la chair, mais ils n’étaient pas encore vivants. « Alors » Ézéchiel « prophétisa comme il » lui avait été « ordonné » une seconde fois. La seconde prophétie donna la vie aux corps. Ces deux prophéties sont figurées par la création d’Adam.</w:t>
      </w:r>
    </w:p>
    <w:p>
      <w:pPr>
        <w:pStyle w:val="ArticleScripture"/>
        <w:jc w:val="left"/>
      </w:pPr>
      <w:r>
        <w:rPr>
          <w:rFonts w:ascii="Times New Roman" w:hAnsi="Times New Roman" w:eastAsia="Times New Roman" w:cs="Times New Roman"/>
        </w:rPr>
        <w:t>Et l’Éternel Dieu forma l’homme de la poussière du sol, et souffla dans ses narines un souffle de vie ; et l’homme devint une âme vivante. Genèse 2:7.</w:t>
      </w:r>
    </w:p>
    <w:p>
      <w:pPr>
        <w:pStyle w:val="ArticleBody"/>
        <w:jc w:val="left"/>
      </w:pPr>
      <w:r>
        <w:rPr>
          <w:rFonts w:ascii="Times New Roman" w:hAnsi="Times New Roman" w:eastAsia="Times New Roman" w:cs="Times New Roman"/>
        </w:rPr>
        <w:t>لفرایند دو مرحله‌ایِ زنده ساختن استخوان‌های خشکِ مرده، نخستین‌بار در آفرینش آدم ذکر می‌شود، و بدین‌سان تأکید می‌گردد که کلام نبوّتیِ خدا همچنین قدرت خلاقهٔ اوست. خدا نخست آدم را «سرشت»، و نبوّتِ نخستِ حزقیال استخوان‌ها و بدن‌ها را به یکدیگر پیوست؛ سپس خدا «در بینی او نَفَسِ حیات دمید؛ و انسان نَفسِ زنده شد.»</w:t>
      </w:r>
    </w:p>
    <w:p>
      <w:pPr>
        <w:pStyle w:val="ArticleBody"/>
        <w:jc w:val="left"/>
      </w:pPr>
      <w:r>
        <w:rPr>
          <w:rFonts w:ascii="Times New Roman" w:hAnsi="Times New Roman" w:eastAsia="Times New Roman" w:cs="Times New Roman"/>
        </w:rPr>
        <w:t>Ezekiel-</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ভাববাণীটি</w:t>
      </w:r>
      <w:r>
        <w:rPr>
          <w:rFonts w:ascii="Times New Roman" w:hAnsi="Times New Roman" w:eastAsia="Times New Roman" w:cs="Times New Roman"/>
        </w:rPr>
        <w:t xml:space="preserve"> </w:t>
      </w:r>
      <w:r>
        <w:rPr>
          <w:rFonts w:ascii="Nirmala UI" w:hAnsi="Nirmala UI" w:eastAsia="Nirmala UI" w:cs="Nirmala UI"/>
        </w:rPr>
        <w:t>অস্থিসমূহের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w:t>
      </w:r>
      <w:r>
        <w:rPr>
          <w:rFonts w:ascii="Nirmala UI" w:hAnsi="Nirmala UI" w:eastAsia="Nirmala UI" w:cs="Nirmala UI"/>
        </w:rPr>
        <w:t>বায়ুর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নির্দেশিত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w:t>
      </w:r>
      <w:r>
        <w:rPr>
          <w:rFonts w:ascii="Nirmala UI" w:hAnsi="Nirmala UI" w:eastAsia="Nirmala UI" w:cs="Nirmala UI"/>
        </w:rPr>
        <w:t>বায়ুকে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শ্বাস</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নিহতদের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ফুঁ</w:t>
      </w:r>
      <w:r>
        <w:rPr>
          <w:rFonts w:ascii="Times New Roman" w:hAnsi="Times New Roman" w:eastAsia="Times New Roman" w:cs="Times New Roman"/>
        </w:rPr>
        <w:t xml:space="preserve"> </w:t>
      </w:r>
      <w:r>
        <w:rPr>
          <w:rFonts w:ascii="Nirmala UI" w:hAnsi="Nirmala UI" w:eastAsia="Nirmala UI" w:cs="Nirmala UI"/>
        </w:rPr>
        <w:t>দাও</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Ezekiel-</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মৃতদেহসমূহকে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পরাক্রমশালী</w:t>
      </w:r>
      <w:r>
        <w:rPr>
          <w:rFonts w:ascii="Times New Roman" w:hAnsi="Times New Roman" w:eastAsia="Times New Roman" w:cs="Times New Roman"/>
        </w:rPr>
        <w:t xml:space="preserve"> </w:t>
      </w:r>
      <w:r>
        <w:rPr>
          <w:rFonts w:ascii="Nirmala UI" w:hAnsi="Nirmala UI" w:eastAsia="Nirmala UI" w:cs="Nirmala UI"/>
        </w:rPr>
        <w:t>সৈন্যদলে</w:t>
      </w:r>
      <w:r>
        <w:rPr>
          <w:rFonts w:ascii="Times New Roman" w:hAnsi="Times New Roman" w:eastAsia="Times New Roman" w:cs="Times New Roman"/>
        </w:rPr>
        <w:t xml:space="preserve"> </w:t>
      </w:r>
      <w:r>
        <w:rPr>
          <w:rFonts w:ascii="Nirmala UI" w:hAnsi="Nirmala UI" w:eastAsia="Nirmala UI" w:cs="Nirmala UI"/>
        </w:rPr>
        <w:t>জীবিত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মৃতদেহসমূহের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বায়ুর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নির্দেশিত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বায়ুর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দেহগুলোর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শ্বাস</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শ্বাস</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প্রথমবার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উল্লেখিত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Adam-</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সৃষ্টির</w:t>
      </w:r>
      <w:r>
        <w:rPr>
          <w:rFonts w:ascii="Times New Roman" w:hAnsi="Times New Roman" w:eastAsia="Times New Roman" w:cs="Times New Roman"/>
        </w:rPr>
        <w:t xml:space="preserve"> </w:t>
      </w:r>
      <w:r>
        <w:rPr>
          <w:rFonts w:ascii="Nirmala UI" w:hAnsi="Nirmala UI" w:eastAsia="Nirmala UI" w:cs="Nirmala UI"/>
        </w:rPr>
        <w:t>প্রসঙ্গে</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জীবনশ্বাস</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সংজ্ঞায়িত</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মৃতদেহসমূহের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আসে।</w:t>
      </w:r>
    </w:p>
    <w:p>
      <w:pPr>
        <w:pStyle w:val="ArticleScripture"/>
        <w:jc w:val="left"/>
      </w:pPr>
      <w:r>
        <w:rPr>
          <w:rFonts w:ascii="Times New Roman" w:hAnsi="Times New Roman" w:eastAsia="Times New Roman" w:cs="Times New Roman"/>
        </w:rPr>
        <w:t>“Bamalayika bazinze empewo ennya, ezikiikiriziddwa embalaasi esunguwadde eyagala okwekomolako n’eyiringisa n’ewalula ku nsi yonna, ng’ereeta okuzikirira n’okufa mu kkubo lyayo.”</w:t>
      </w:r>
    </w:p>
    <w:p>
      <w:pPr>
        <w:pStyle w:val="ArticleScripture"/>
        <w:jc w:val="left"/>
      </w:pPr>
      <w:r>
        <w:rPr>
          <w:rFonts w:ascii="Times New Roman" w:hAnsi="Times New Roman" w:eastAsia="Times New Roman" w:cs="Times New Roman"/>
        </w:rPr>
        <w:t>«Трябва ли да спим на самия праг на вечния свят? Трябва ли да бъдем вяли, студени и мъртви? О, дано в нашите църкви имаме Духа и диханието на Бога, вдъхнати в Неговия народ, за да могат те да се изправят на нозете си и да живеят.» Manuscript Releases, том 20, 217.</w:t>
      </w:r>
    </w:p>
    <w:p>
      <w:pPr>
        <w:pStyle w:val="ArticleBody"/>
        <w:jc w:val="left"/>
      </w:pPr>
      <w:r>
        <w:rPr>
          <w:rFonts w:ascii="Times New Roman" w:hAnsi="Times New Roman" w:eastAsia="Times New Roman" w:cs="Times New Roman"/>
        </w:rPr>
        <w:t>Les deux questions ici sont les suivantes : dormirons-nous, et serons-nous morts ? … deux termes désignant la même condition prophétique. Le message des quatre vents retenus par des anges est le message qui fait entrer le souffle de Dieu dans les morts et les fait se lever et vivre. Le message des quatre vents est le message du cheval furieux de l’islam. Le message des quatre vents dans le livre de l’Apocalypse est le message du scellement. Le message du scellement d’Apocalypse sept, versets un à trois, est le message qui identifie que les quatre vents sont retenus jusqu’à ce que les serviteurs de Dieu soient scellés.</w:t>
      </w:r>
    </w:p>
    <w:p>
      <w:pPr>
        <w:pStyle w:val="ArticleScripture"/>
        <w:jc w:val="left"/>
      </w:pPr>
      <w:r>
        <w:rPr>
          <w:rFonts w:ascii="Times New Roman" w:hAnsi="Times New Roman" w:eastAsia="Times New Roman" w:cs="Times New Roman"/>
        </w:rPr>
        <w:t>Na ngemuva kwalezi zinto ngabona izingelosi ezine zimile emagumbini omane omhlaba, zibambe imimoya emine yomhlaba, ukuze umoya ungavunguzi emhlabeni, naphezu kolwandle, nakunoma yimuphi umuthi. Ngase ngibona enye ingelosi inyuka ivela empumalanga, inophawu lukaNkulunkulu ophilayo; yamemeza ngezwi elikhulu ezingelosini ezine, ezazinikiwe amandla okulimaza umhlaba nolwandle, yathi, Ningalimazi umhlaba, nolwandle, nemithi, size sibeke uphawu eziphongweni zezinceku zikaNkulunkulu wethu. IsAmbulo 7:1–3.</w:t>
      </w:r>
    </w:p>
    <w:p>
      <w:pPr>
        <w:pStyle w:val="ArticleBody"/>
        <w:jc w:val="left"/>
      </w:pPr>
      <w:r>
        <w:rPr>
          <w:rFonts w:ascii="Times New Roman" w:hAnsi="Times New Roman" w:eastAsia="Times New Roman" w:cs="Times New Roman"/>
        </w:rPr>
        <w:t>La seconde prophétie d’Ézéchiel était adressée au vent, et la vie que le vent communiqua aux corps provenait du message des quatre vents. Aux versets huit à dix, dans Ézéchiel trente-sept, le mot rendu soit par « vent », soit par « souffle », est, à chaque occurrence, le même mot hébreu. Dieu insuffla à Adam le souffle de vie, et dans Ézéchiel, le souffle de vie est le message du scellement des cent quarante-quatre mille qui vient des quatre vents. Ce message communique la puissance créatrice de Dieu aux corps qui ont été rassemblés dans la vallée de la mort par le premier message. Le message des quatre vents est le message de l’islam apportant le jugement sur les États-Unis à cause de la loi du dimanche. C’est le message du grand cri de minuit.</w:t>
      </w:r>
    </w:p>
    <w:p>
      <w:pPr>
        <w:pStyle w:val="ArticleBody"/>
        <w:jc w:val="left"/>
      </w:pPr>
      <w:r>
        <w:rPr>
          <w:rFonts w:ascii="Times New Roman" w:hAnsi="Times New Roman" w:eastAsia="Times New Roman" w:cs="Times New Roman"/>
        </w:rPr>
        <w:t>L’histoire cachée des sept tonnerres commence par une déception, laquelle inaugure le temps du retard. Dans Apocalypse 11, lorsque les deux prophètes furent mis à mort le 18 juillet 2020, le temps du retard commença. Ézéchiel était parmi les morts lorsque le Seigneur demanda à Ézéchiel si les deux témoins, morts dans la rue, pouvaient revivre.</w:t>
      </w:r>
    </w:p>
    <w:p>
      <w:pPr>
        <w:pStyle w:val="ArticleScripture"/>
        <w:jc w:val="left"/>
      </w:pPr>
      <w:r>
        <w:rPr>
          <w:rFonts w:ascii="Times New Roman" w:hAnsi="Times New Roman" w:eastAsia="Times New Roman" w:cs="Times New Roman"/>
        </w:rPr>
        <w:t>De hand van de HEERE was op mij, en Hij voerde mij uit in de Geest des HEEREN, en zette mij neer in het midden van de vallei, die vol beenderen was. En Hij deed mij er rondom langsgaan; en zie, er lagen er zeer vele in de open vallei; en zie, zij waren zeer dor. En Hij zeide tot mij: Mensenkind, zullen deze beenderen levend worden? En ik zeide: Heere HEERE, Gij weet het. Ezechiël 37:1–3.</w:t>
      </w:r>
    </w:p>
    <w:p>
      <w:pPr>
        <w:pStyle w:val="ArticleBody"/>
        <w:jc w:val="left"/>
      </w:pPr>
      <w:r>
        <w:rPr>
          <w:rFonts w:ascii="Times New Roman" w:hAnsi="Times New Roman" w:eastAsia="Times New Roman" w:cs="Times New Roman"/>
        </w:rPr>
        <w:t>En le verset sept, lorsque Ézéchiel prononce la première des deux prophéties, le message était simplement : « Ossements desséchés, écoutez la parole de l’Éternel. » Jean, dans l’Apocalypse, écrit : « heureux ceux qui entendent les paroles de la prophétie de ce livre. » Ézéchiel représente les ossements desséchés et morts qui sont bénis, comme ceux qui entendent l’ordre d’Ézéchiel d’écouter la Parole du Seigneur, et sa Parole est la Vérité. Au chapitre deux d’Ézéchiel, l’expérience de ceux qui entendent la parole de Dieu est décrite.</w:t>
      </w:r>
    </w:p>
    <w:p>
      <w:pPr>
        <w:pStyle w:val="ArticleScripture"/>
        <w:jc w:val="left"/>
      </w:pPr>
      <w:r>
        <w:rPr>
          <w:rFonts w:ascii="Times New Roman" w:hAnsi="Times New Roman" w:eastAsia="Times New Roman" w:cs="Times New Roman"/>
        </w:rPr>
        <w:t>Siis wuxuu igu yidhi, Wiilka Aadanaha ahow, cagahaaga ku istaag, oo waan kula hadli doonaa. Ruuxiina wuu igu soo galay markuu ila hadlay, oo cagahayga ayuu igu taagay, si aan u maqlo kii ila hadlay. Ezekiel 2:1, 2.</w:t>
      </w:r>
    </w:p>
    <w:p>
      <w:pPr>
        <w:pStyle w:val="ArticleBody"/>
        <w:jc w:val="left"/>
      </w:pPr>
      <w:r>
        <w:rPr>
          <w:rFonts w:ascii="Times New Roman" w:hAnsi="Times New Roman" w:eastAsia="Times New Roman" w:cs="Times New Roman"/>
        </w:rPr>
        <w:t>Mu Byahishuwe igice cya cumi na kimwe, igihe intumbi zumvise Ijambo ry’Umwami, Umuhumuriza azinjira muri zo maze zihagarara ku birenge byazo. Ni Umuhumuriza uzishyira ku birenge byazo.</w:t>
      </w:r>
    </w:p>
    <w:p>
      <w:pPr>
        <w:pStyle w:val="ArticleScripture"/>
        <w:jc w:val="left"/>
      </w:pPr>
      <w:r>
        <w:rPr>
          <w:rFonts w:ascii="Times New Roman" w:hAnsi="Times New Roman" w:eastAsia="Times New Roman" w:cs="Times New Roman"/>
        </w:rPr>
        <w:t>Na baada ya siku tatu na nusu, roho ya uzima itokayo kwa Mungu ikaingia ndani yao, nao wakasimama juu ya miguu yao; hofu kuu ikawapata wale waliowaona. Ufunuo 11:11.</w:t>
      </w:r>
    </w:p>
    <w:p>
      <w:pPr>
        <w:pStyle w:val="ArticleBody"/>
        <w:jc w:val="left"/>
      </w:pPr>
      <w:r>
        <w:rPr>
          <w:rFonts w:ascii="Times New Roman" w:hAnsi="Times New Roman" w:eastAsia="Times New Roman" w:cs="Times New Roman"/>
        </w:rPr>
        <w:t>Lelleeji eɓɓiraaɓe ɗin ko laawol ɗiɗiijo wonnde yeeso e nder ɗowdi ɗiɗiijo ɗiɗi, nde yeesintaɓe e gese maɓɓe ngam ngartaade maɓɓe alamiji ɗi uppitaaka e kiita ndaari Alahadji. So ɓe ndarii e sura sappo e go'o, “hulnde mawnde” waɗi e dow annduɓe ɓe.</w:t>
      </w:r>
    </w:p>
    <w:p>
      <w:pPr>
        <w:pStyle w:val="ArticleScripture"/>
        <w:jc w:val="left"/>
      </w:pPr>
      <w:r>
        <w:rPr>
          <w:rFonts w:ascii="Microsoft YaHei" w:hAnsi="Microsoft YaHei" w:eastAsia="Microsoft YaHei" w:cs="Microsoft YaHei"/>
        </w:rPr>
        <w:t>他必因惊惧越过归向自己的保障</w:t>
      </w:r>
      <w:r>
        <w:rPr>
          <w:rFonts w:ascii="Times New Roman" w:hAnsi="Times New Roman" w:eastAsia="Times New Roman" w:cs="Times New Roman"/>
        </w:rPr>
        <w:t>;</w:t>
      </w:r>
      <w:r>
        <w:rPr>
          <w:rFonts w:ascii="Microsoft YaHei" w:hAnsi="Microsoft YaHei" w:eastAsia="Microsoft YaHei" w:cs="Microsoft YaHei"/>
        </w:rPr>
        <w:t>他的首领必因旌旗惊惶</w:t>
      </w:r>
      <w:r>
        <w:rPr>
          <w:rFonts w:ascii="Times New Roman" w:hAnsi="Times New Roman" w:eastAsia="Times New Roman" w:cs="Times New Roman"/>
        </w:rPr>
        <w:t>,</w:t>
      </w:r>
      <w:r>
        <w:rPr>
          <w:rFonts w:ascii="Microsoft YaHei" w:hAnsi="Microsoft YaHei" w:eastAsia="Microsoft YaHei" w:cs="Microsoft YaHei"/>
        </w:rPr>
        <w:t>这是耶和华说的</w:t>
      </w:r>
      <w:r>
        <w:rPr>
          <w:rFonts w:ascii="Times New Roman" w:hAnsi="Times New Roman" w:eastAsia="Times New Roman" w:cs="Times New Roman"/>
        </w:rPr>
        <w:t>;</w:t>
      </w:r>
      <w:r>
        <w:rPr>
          <w:rFonts w:ascii="Microsoft YaHei" w:hAnsi="Microsoft YaHei" w:eastAsia="Microsoft YaHei" w:cs="Microsoft YaHei"/>
        </w:rPr>
        <w:t>他的火在锡安</w:t>
      </w:r>
      <w:r>
        <w:rPr>
          <w:rFonts w:ascii="Times New Roman" w:hAnsi="Times New Roman" w:eastAsia="Times New Roman" w:cs="Times New Roman"/>
        </w:rPr>
        <w:t>,</w:t>
      </w:r>
      <w:r>
        <w:rPr>
          <w:rFonts w:ascii="Microsoft YaHei" w:hAnsi="Microsoft YaHei" w:eastAsia="Microsoft YaHei" w:cs="Microsoft YaHei"/>
        </w:rPr>
        <w:t>他的炉在耶路撒冷</w:t>
      </w:r>
      <w:r>
        <w:rPr>
          <w:rFonts w:ascii="Times New Roman" w:hAnsi="Times New Roman" w:eastAsia="Times New Roman" w:cs="Times New Roman"/>
        </w:rPr>
        <w:t>.</w:t>
      </w:r>
      <w:r>
        <w:rPr>
          <w:rFonts w:ascii="Microsoft YaHei" w:hAnsi="Microsoft YaHei" w:eastAsia="Microsoft YaHei" w:cs="Microsoft YaHei"/>
        </w:rPr>
        <w:t>以赛亚书</w:t>
      </w:r>
      <w:r>
        <w:rPr>
          <w:rFonts w:ascii="Times New Roman" w:hAnsi="Times New Roman" w:eastAsia="Times New Roman" w:cs="Times New Roman"/>
        </w:rPr>
        <w:t xml:space="preserve"> 31:9</w:t>
      </w:r>
    </w:p>
    <w:p>
      <w:pPr>
        <w:pStyle w:val="ArticleBody"/>
        <w:jc w:val="left"/>
      </w:pP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पुत्रियाँ</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विश्वासियों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गठित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ज्वार</w:t>
      </w:r>
      <w:r>
        <w:rPr>
          <w:rFonts w:ascii="Times New Roman" w:hAnsi="Times New Roman" w:eastAsia="Times New Roman" w:cs="Times New Roman"/>
        </w:rPr>
        <w:t>-</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लहर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वाणियाँ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सड़क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“Wamalayika walitumwa kumsaidia yule malaika mwenye nguvu kutoka mbinguni, nami nikasikia sauti ambazo zilionekana kusikika kila mahali, Tokeni kwake, enyi watu wangu, msije mkashiriki dhambi zake, wala msije mkapokea mapigo yake; kwa maana dhambi zake zimefika hata mbinguni, naye Mungu ameyakumbuka maovu yake. Ujumbe huu ulionekana kuwa nyongeza kwa ujumbe wa tatu, nao ukaungana nao, kama vile kilio cha usiku wa manane kilivyoungana na ujumbe wa malaika wa pili mwaka 1844.” Spiritual Gifts, juzuu ya 1, 195, 196.</w:t>
      </w:r>
    </w:p>
    <w:p>
      <w:pPr>
        <w:pStyle w:val="ArticleBody"/>
        <w:jc w:val="left"/>
      </w:pPr>
      <w:r>
        <w:rPr>
          <w:rFonts w:ascii="Times New Roman" w:hAnsi="Times New Roman" w:eastAsia="Times New Roman" w:cs="Times New Roman"/>
        </w:rPr>
        <w:t>پہلا سنگِ نشان، جو سات گرجوں کی مخفی تاریخ میں ظاہر ہوتا ہے، وہ مایوسی ہے جو مہلت کے زمانہ کی ابتدا کرتی ہے۔ مہلت کا زمانہ ایک مدت ہے جسے ساڑھے تین دنوں کے طور پر پیش کیا گیا ہے، اور یہ بیابان کی ایک علامت ہے۔ بیابان میں چالیس برس کی آوارہ گردی کے اختتام پر، یشوع نے ایک عظیم لشکر کو موعودہ سرزمین میں داخل کیا۔ ساڑھے تین دنوں کے اختتام پر، حزقی ایل کو وادیِ موت میں لے جایا جاتا ہے، اور اسے حکم دیا جاتا ہے کہ مُردہ بدنوں کو یہ فرمان دے کہ “خداوند کا کلام سنو۔” حزقی ایل ایک “آواز” ہے جو بیابان میں پکارتی ہے۔ خداوند کے کلام کو سننے کا حکم بدن کے اعضا کو باہم ملا دیتا ہے، لیکن وہ ابھی زندہ نہیں ہوتے، وہ ابھی لشکر نہیں ہوتے، وہ ابھی مُہر نہیں کیے گئے ہوتے۔ “خداوند کا کلام” جو حزقی ایل باب دو میں بیان کرتا ہے، یہ واضح کرتا ہے کہ جب تسلی دینے والا آتا ہے تو خدا کے لوگ کھڑے ہوتے ہیں، اور اسی وقت وہ خداوند کا کلام بھی سنتے ہیں۔ مسیح نے وعدہ کیا تھا کہ وہ تسلی دینے والے کو بھیجے گا، اس وقت سے ساڑھے تین دن بعد جب وہ گلی میں قتل کیے گئے تھے۔</w:t>
      </w:r>
    </w:p>
    <w:p>
      <w:pPr>
        <w:pStyle w:val="ArticleBody"/>
        <w:jc w:val="left"/>
      </w:pPr>
      <w:r>
        <w:rPr>
          <w:rFonts w:ascii="Times New Roman" w:hAnsi="Times New Roman" w:eastAsia="Times New Roman" w:cs="Times New Roman"/>
        </w:rPr>
        <w:t>Une fois debout, les corps « qui ne sont pas encore vivants » vont recevoir une seconde prophétie. La « voix de celui qui crie dans le désert » d’Ésaïe demande quelle est la prophétie qu’elle doit crier. Le « message » qu’Ézéchiel et la « voix » d’Ésaïe quarante reçoivent l’ordre de présenter est le message de l’islam. Lorsque cette prophétie est proclamée, « Adam » vient à la vie comme une puissante armée. Les deux témoins vivants proclament alors le message du jugement de l’islam sur les États-Unis, à cause de l’adoption de la loi dominicale qui doit bientôt venir. Le jugement de la loi dominicale est le troisième repère de l’histoire cachée des sept tonnerres. Lorsqu’il s’accomplit, l’armée est élevée comme une bannière vers le ciel et elle est représentée dans Apocalypse quatorze.</w:t>
      </w:r>
    </w:p>
    <w:p>
      <w:pPr>
        <w:pStyle w:val="ArticleScripture"/>
        <w:jc w:val="left"/>
      </w:pPr>
      <w:r>
        <w:rPr>
          <w:rFonts w:ascii="Times New Roman" w:hAnsi="Times New Roman" w:eastAsia="Times New Roman" w:cs="Times New Roman"/>
        </w:rPr>
        <w:t>« Tuve una experiencia en los mensajes del primero, segundo y tercer ángel. Los ángeles son representados como volando en medio del cielo, proclamando al mundo un mensaje de amonestación, y teniendo una relación directa con el pueblo que vive en los postreros días de la historia de esta tierra. Nadie oye la voz de estos ángeles, porque son un símbolo que representa al pueblo de Dios que obra en armonía con el universo del cielo. Hombres y mujeres, iluminados por el Espíritu de Dios y santificados por medio de la verdad, proclaman los tres mensajes en su orden ». Selected Messages, book 2, 387.</w:t>
      </w:r>
    </w:p>
    <w:p>
      <w:pPr>
        <w:pStyle w:val="ArticleBody"/>
        <w:jc w:val="left"/>
      </w:pPr>
      <w:r>
        <w:rPr>
          <w:rFonts w:ascii="Times New Roman" w:hAnsi="Times New Roman" w:eastAsia="Times New Roman" w:cs="Times New Roman"/>
        </w:rPr>
        <w:t>L’étendard qui est élevé, c’est le troisième ange qui vole au milieu du ciel, avertissant l’humanité de ne pas accepter la marque de la bête. La puissante armée continue de présenter ce message au monde, jusqu’à ce que Micaël se lève et que le temps de grâce accordé à l’humanité prenne fin.</w:t>
      </w:r>
    </w:p>
    <w:p>
      <w:pPr>
        <w:pStyle w:val="ArticleBody"/>
        <w:jc w:val="left"/>
      </w:pPr>
      <w:r>
        <w:rPr>
          <w:rFonts w:ascii="Times New Roman" w:hAnsi="Times New Roman" w:eastAsia="Times New Roman" w:cs="Times New Roman"/>
        </w:rPr>
        <w:t>Nous poursuivrons ces réflexions dans le prochain article.</w:t>
      </w:r>
    </w:p>
    <w:p>
      <w:pPr>
        <w:pStyle w:val="ArticleScripture"/>
        <w:jc w:val="left"/>
      </w:pPr>
      <w:r>
        <w:rPr>
          <w:rFonts w:ascii="Times New Roman" w:hAnsi="Times New Roman" w:eastAsia="Times New Roman" w:cs="Times New Roman"/>
        </w:rPr>
        <w:t>Na nɔɔsɛntɛr mu no, wɔtee osu bi sɛ: Hwɛ, ayeforohyia no reba; mommra mfiri adi nkohyia no. Mateo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 Tano</dc:title>
  <dc:subject>Esaya makumi amane: Nyaradzai, nyaradzai</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